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EDC33">
      <w:pPr>
        <w:ind w:right="-26" w:rightChars="-12"/>
        <w:jc w:val="center"/>
        <w:rPr>
          <w:rFonts w:hint="eastAsia" w:ascii="方正小标宋_GBK" w:hAnsi="方正小标宋_GBK" w:eastAsia="方正小标宋_GBK" w:cs="方正小标宋_GBK"/>
          <w:w w:val="105"/>
          <w:sz w:val="36"/>
          <w:szCs w:val="30"/>
          <w:highlight w:val="none"/>
          <w:u w:val="none"/>
          <w:lang w:val="en-US" w:eastAsia="zh-CN"/>
        </w:rPr>
      </w:pPr>
      <w:r>
        <w:rPr>
          <w:rFonts w:hint="eastAsia" w:ascii="方正小标宋_GBK" w:hAnsi="方正小标宋_GBK" w:eastAsia="方正小标宋_GBK" w:cs="方正小标宋_GBK"/>
          <w:w w:val="105"/>
          <w:sz w:val="36"/>
          <w:szCs w:val="30"/>
          <w:highlight w:val="none"/>
          <w:lang w:eastAsia="zh-CN"/>
        </w:rPr>
        <w:t>贵阳农商银行超值宝</w:t>
      </w:r>
      <w:r>
        <w:rPr>
          <w:rFonts w:hint="eastAsia" w:ascii="方正小标宋_GBK" w:hAnsi="方正小标宋_GBK" w:eastAsia="方正小标宋_GBK" w:cs="方正小标宋_GBK"/>
          <w:w w:val="105"/>
          <w:sz w:val="36"/>
          <w:szCs w:val="30"/>
          <w:highlight w:val="none"/>
          <w:u w:val="none"/>
          <w:lang w:val="en-US" w:eastAsia="zh-CN"/>
        </w:rPr>
        <w:t>1年285期</w:t>
      </w:r>
    </w:p>
    <w:p w14:paraId="4164C2C8">
      <w:pPr>
        <w:ind w:right="-26" w:rightChars="-12"/>
        <w:jc w:val="center"/>
        <w:rPr>
          <w:rFonts w:hint="eastAsia" w:ascii="方正小标宋_GBK" w:hAnsi="方正小标宋_GBK" w:eastAsia="方正小标宋_GBK" w:cs="方正小标宋_GBK"/>
          <w:w w:val="105"/>
          <w:sz w:val="36"/>
          <w:szCs w:val="30"/>
          <w:highlight w:val="none"/>
          <w:lang w:eastAsia="zh-CN"/>
        </w:rPr>
      </w:pPr>
      <w:r>
        <w:rPr>
          <w:rFonts w:hint="eastAsia" w:ascii="方正小标宋_GBK" w:hAnsi="方正小标宋_GBK" w:eastAsia="方正小标宋_GBK" w:cs="方正小标宋_GBK"/>
          <w:w w:val="105"/>
          <w:sz w:val="36"/>
          <w:szCs w:val="30"/>
          <w:highlight w:val="none"/>
          <w:lang w:eastAsia="zh-CN"/>
        </w:rPr>
        <w:t>理财产品说明书</w:t>
      </w:r>
    </w:p>
    <w:p w14:paraId="38DD0109">
      <w:pPr>
        <w:ind w:right="-6519" w:rightChars="-2963" w:firstLine="480" w:firstLineChars="200"/>
        <w:rPr>
          <w:rFonts w:ascii="Times New Roman" w:hAnsi="黑体" w:eastAsia="黑体" w:cs="Times New Roman"/>
          <w:sz w:val="24"/>
          <w:szCs w:val="24"/>
          <w:highlight w:val="none"/>
          <w:lang w:eastAsia="zh-CN"/>
        </w:rPr>
      </w:pPr>
    </w:p>
    <w:p w14:paraId="3196FCEA">
      <w:pPr>
        <w:wordWrap w:val="0"/>
        <w:ind w:right="-26" w:rightChars="-12"/>
        <w:jc w:val="right"/>
        <w:rPr>
          <w:rFonts w:hint="default" w:ascii="仿宋_GB2312" w:hAnsi="Times New Roman" w:eastAsia="仿宋_GB2312" w:cs="Times New Roman"/>
          <w:color w:val="auto"/>
          <w:w w:val="100"/>
          <w:sz w:val="20"/>
          <w:szCs w:val="22"/>
          <w:highlight w:val="none"/>
          <w:lang w:val="en-US" w:eastAsia="zh-CN"/>
        </w:rPr>
      </w:pPr>
      <w:r>
        <w:rPr>
          <w:rFonts w:hint="eastAsia" w:ascii="黑体" w:eastAsia="黑体"/>
          <w:sz w:val="24"/>
          <w:highlight w:val="none"/>
        </w:rPr>
        <w:t>版本</w:t>
      </w:r>
      <w:r>
        <w:rPr>
          <w:rFonts w:hint="eastAsia" w:ascii="黑体" w:eastAsia="黑体"/>
          <w:sz w:val="24"/>
          <w:highlight w:val="none"/>
          <w:lang w:val="en-US" w:eastAsia="zh-CN"/>
        </w:rPr>
        <w:t>号</w:t>
      </w:r>
      <w:r>
        <w:rPr>
          <w:rFonts w:hint="eastAsia" w:ascii="黑体" w:eastAsia="黑体"/>
          <w:sz w:val="24"/>
          <w:highlight w:val="none"/>
        </w:rPr>
        <w:t>：</w:t>
      </w:r>
      <w:r>
        <w:rPr>
          <w:rFonts w:hint="eastAsia" w:ascii="仿宋_GB2312" w:hAnsi="Times New Roman" w:eastAsia="仿宋_GB2312" w:cs="Times New Roman"/>
          <w:color w:val="auto"/>
          <w:w w:val="100"/>
          <w:sz w:val="20"/>
          <w:szCs w:val="22"/>
          <w:highlight w:val="none"/>
          <w:lang w:val="en-US" w:eastAsia="zh-CN"/>
        </w:rPr>
        <w:t>V3.0-2026.09</w:t>
      </w:r>
    </w:p>
    <w:p w14:paraId="6E1FBE82">
      <w:pPr>
        <w:pStyle w:val="11"/>
        <w:ind w:left="10" w:firstLine="400" w:firstLineChars="200"/>
        <w:jc w:val="both"/>
        <w:rPr>
          <w:rFonts w:hint="eastAsia" w:ascii="仿宋_GB2312" w:hAnsi="Times New Roman" w:eastAsia="仿宋_GB2312" w:cs="Times New Roman"/>
          <w:sz w:val="20"/>
          <w:szCs w:val="22"/>
          <w:highlight w:val="none"/>
          <w:lang w:eastAsia="zh-CN"/>
        </w:rPr>
      </w:pPr>
      <w:r>
        <w:rPr>
          <w:rFonts w:hint="eastAsia" w:ascii="仿宋_GB2312" w:hAnsi="Times New Roman" w:eastAsia="仿宋_GB2312" w:cs="Times New Roman"/>
          <w:sz w:val="20"/>
          <w:szCs w:val="22"/>
          <w:highlight w:val="none"/>
          <w:lang w:eastAsia="zh-CN"/>
        </w:rPr>
        <w:t>产品名称：超值宝1年2</w:t>
      </w:r>
      <w:r>
        <w:rPr>
          <w:rFonts w:hint="eastAsia" w:ascii="仿宋_GB2312" w:hAnsi="Times New Roman" w:eastAsia="仿宋_GB2312" w:cs="Times New Roman"/>
          <w:sz w:val="20"/>
          <w:szCs w:val="22"/>
          <w:highlight w:val="none"/>
          <w:lang w:val="en-US" w:eastAsia="zh-CN"/>
        </w:rPr>
        <w:t>85</w:t>
      </w:r>
      <w:r>
        <w:rPr>
          <w:rFonts w:hint="eastAsia" w:ascii="仿宋_GB2312" w:hAnsi="Times New Roman" w:eastAsia="仿宋_GB2312" w:cs="Times New Roman"/>
          <w:sz w:val="20"/>
          <w:szCs w:val="22"/>
          <w:highlight w:val="none"/>
          <w:lang w:eastAsia="zh-CN"/>
        </w:rPr>
        <w:t>期理财产品</w:t>
      </w:r>
    </w:p>
    <w:p w14:paraId="3DD59538">
      <w:pPr>
        <w:pStyle w:val="11"/>
        <w:ind w:left="10" w:firstLine="400" w:firstLineChars="200"/>
        <w:jc w:val="both"/>
        <w:rPr>
          <w:rFonts w:hint="eastAsia"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r>
        <w:rPr>
          <w:rFonts w:hint="eastAsia" w:ascii="仿宋_GB2312" w:hAnsi="Times New Roman" w:eastAsia="仿宋_GB2312" w:cs="Times New Roman"/>
          <w:sz w:val="20"/>
          <w:highlight w:val="none"/>
          <w:lang w:val="en-US" w:eastAsia="zh-CN"/>
        </w:rPr>
        <w:t>C1188326000043（投资者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w:t>
      </w:r>
    </w:p>
    <w:p w14:paraId="65AB4881">
      <w:pPr>
        <w:pStyle w:val="11"/>
        <w:ind w:left="10" w:firstLine="400" w:firstLineChars="200"/>
        <w:jc w:val="both"/>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r>
        <w:rPr>
          <w:rFonts w:hint="eastAsia" w:ascii="仿宋_GB2312" w:hAnsi="Times New Roman" w:eastAsia="仿宋_GB2312" w:cs="Times New Roman"/>
          <w:sz w:val="20"/>
          <w:highlight w:val="none"/>
          <w:lang w:val="en-US" w:eastAsia="zh-CN"/>
        </w:rPr>
        <w:t>）</w:t>
      </w:r>
    </w:p>
    <w:p w14:paraId="231FB4BB">
      <w:pPr>
        <w:pStyle w:val="11"/>
        <w:ind w:left="10" w:firstLine="400" w:firstLineChars="200"/>
        <w:jc w:val="both"/>
        <w:rPr>
          <w:rFonts w:hint="eastAsia" w:ascii="仿宋_GB2312" w:hAnsi="Times New Roman" w:eastAsia="仿宋_GB2312" w:cs="Times New Roman"/>
          <w:sz w:val="20"/>
          <w:highlight w:val="none"/>
          <w:lang w:eastAsia="zh-CN"/>
        </w:rPr>
      </w:pPr>
    </w:p>
    <w:p w14:paraId="3C5E6D9E">
      <w:pPr>
        <w:pStyle w:val="11"/>
        <w:ind w:left="10" w:firstLine="400"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sz w:val="20"/>
          <w:highlight w:val="none"/>
          <w:lang w:eastAsia="zh-CN"/>
        </w:rPr>
        <w:t>尊敬的投资者，感谢您选择</w:t>
      </w:r>
      <w:r>
        <w:rPr>
          <w:rFonts w:hint="eastAsia" w:ascii="仿宋_GB2312" w:hAnsi="Times New Roman" w:eastAsia="仿宋_GB2312" w:cs="Times New Roman"/>
          <w:sz w:val="20"/>
          <w:highlight w:val="none"/>
          <w:lang w:val="en-US" w:eastAsia="zh-CN"/>
        </w:rPr>
        <w:t>贵阳农村商业银行股份有限公司（以下简称“</w:t>
      </w:r>
      <w:r>
        <w:rPr>
          <w:rFonts w:hint="eastAsia" w:ascii="仿宋_GB2312" w:hAnsi="Times New Roman" w:eastAsia="仿宋_GB2312" w:cs="Times New Roman"/>
          <w:sz w:val="20"/>
          <w:highlight w:val="none"/>
          <w:lang w:eastAsia="zh-CN"/>
        </w:rPr>
        <w:t>贵阳农商银行”）理财产品！您购买的本款产品是由贵阳农商银行自主设计、投资、运作的理财产品。</w:t>
      </w:r>
      <w:r>
        <w:rPr>
          <w:rFonts w:hint="eastAsia" w:ascii="仿宋_GB2312" w:hAnsi="Times New Roman" w:eastAsia="仿宋_GB2312" w:cs="Times New Roman"/>
          <w:b/>
          <w:bCs/>
          <w:sz w:val="20"/>
          <w:highlight w:val="none"/>
          <w:lang w:eastAsia="zh-CN"/>
        </w:rPr>
        <w:t>为保障您的合法权益，请您在进行金融投资时，警惕任何</w:t>
      </w:r>
      <w:r>
        <w:rPr>
          <w:rFonts w:hint="eastAsia" w:ascii="仿宋_GB2312" w:hAnsi="Times New Roman" w:eastAsia="仿宋_GB2312" w:cs="Times New Roman"/>
          <w:b/>
          <w:bCs/>
          <w:sz w:val="20"/>
          <w:highlight w:val="none"/>
          <w:lang w:val="en-US" w:eastAsia="zh-CN"/>
        </w:rPr>
        <w:t>个</w:t>
      </w:r>
      <w:r>
        <w:rPr>
          <w:rFonts w:hint="eastAsia" w:ascii="仿宋_GB2312" w:hAnsi="Times New Roman" w:eastAsia="仿宋_GB2312" w:cs="Times New Roman"/>
          <w:b/>
          <w:bCs/>
          <w:sz w:val="20"/>
          <w:highlight w:val="none"/>
          <w:lang w:eastAsia="zh-CN"/>
        </w:rPr>
        <w:t>人与机构假借我行理财产品之名推介、推销其他类型产品。</w:t>
      </w:r>
    </w:p>
    <w:p w14:paraId="1B8AE57D">
      <w:pPr>
        <w:numPr>
          <w:ilvl w:val="0"/>
          <w:numId w:val="0"/>
        </w:numPr>
        <w:ind w:leftChars="200" w:right="-6519" w:rightChars="-2963"/>
        <w:jc w:val="both"/>
        <w:rPr>
          <w:rFonts w:ascii="仿宋_GB2312" w:hAnsi="Times New Roman" w:eastAsia="仿宋_GB2312" w:cs="Times New Roman"/>
          <w:b/>
          <w:bCs/>
          <w:sz w:val="20"/>
          <w:highlight w:val="none"/>
          <w:lang w:eastAsia="zh-CN"/>
        </w:rPr>
      </w:pPr>
      <w:r>
        <w:rPr>
          <w:rFonts w:hint="eastAsia" w:ascii="Times New Roman" w:hAnsi="黑体" w:eastAsia="黑体" w:cs="Times New Roman"/>
          <w:sz w:val="24"/>
          <w:szCs w:val="24"/>
          <w:highlight w:val="none"/>
          <w:lang w:val="en-US" w:eastAsia="zh-CN"/>
        </w:rPr>
        <w:t>一、</w:t>
      </w:r>
      <w:r>
        <w:rPr>
          <w:rFonts w:hint="eastAsia" w:ascii="Times New Roman" w:hAnsi="黑体" w:eastAsia="黑体" w:cs="Times New Roman"/>
          <w:sz w:val="24"/>
          <w:szCs w:val="24"/>
          <w:highlight w:val="none"/>
          <w:lang w:eastAsia="zh-CN"/>
        </w:rPr>
        <w:t>重要须知</w:t>
      </w:r>
      <w:r>
        <w:rPr>
          <w:rFonts w:ascii="仿宋_GB2312" w:hAnsi="Times New Roman" w:eastAsia="仿宋_GB2312" w:cs="Times New Roman"/>
          <w:b/>
          <w:bCs/>
          <w:sz w:val="20"/>
          <w:highlight w:val="none"/>
          <w:lang w:eastAsia="zh-CN"/>
        </w:rPr>
        <w:t xml:space="preserve"> </w:t>
      </w:r>
    </w:p>
    <w:p w14:paraId="302415B8">
      <w:pPr>
        <w:pStyle w:val="11"/>
        <w:ind w:left="10" w:firstLine="402" w:firstLineChars="200"/>
        <w:jc w:val="both"/>
        <w:rPr>
          <w:rFonts w:hint="eastAsia" w:ascii="仿宋_GB2312" w:hAnsi="Times New Roman" w:eastAsia="仿宋_GB2312" w:cs="Times New Roman"/>
          <w:b/>
          <w:bCs/>
          <w:sz w:val="20"/>
          <w:highlight w:val="none"/>
          <w:lang w:val="en-US" w:eastAsia="zh-CN"/>
        </w:rPr>
      </w:pPr>
      <w:r>
        <w:rPr>
          <w:rFonts w:hint="eastAsia" w:ascii="仿宋_GB2312" w:hAnsi="Times New Roman" w:eastAsia="仿宋_GB2312" w:cs="Times New Roman"/>
          <w:b/>
          <w:bCs/>
          <w:sz w:val="20"/>
          <w:highlight w:val="none"/>
          <w:lang w:val="en-US" w:eastAsia="zh-CN"/>
        </w:rPr>
        <w:t>（一）本理财产品仅向依据中华人民共和国法律法规及其他监管规定可以购买本类理财产品的投资者发售。</w:t>
      </w:r>
    </w:p>
    <w:p w14:paraId="5E2D2A4A">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（二）</w:t>
      </w:r>
      <w:r>
        <w:rPr>
          <w:rFonts w:ascii="仿宋_GB2312" w:hAnsi="Times New Roman" w:eastAsia="仿宋_GB2312" w:cs="Times New Roman"/>
          <w:b/>
          <w:bCs/>
          <w:sz w:val="20"/>
          <w:highlight w:val="none"/>
          <w:lang w:eastAsia="zh-CN"/>
        </w:rPr>
        <w:t>在购买理财产品前，您应仔细阅读理财产品销售文件</w:t>
      </w:r>
      <w:r>
        <w:rPr>
          <w:rFonts w:hint="eastAsia" w:ascii="仿宋_GB2312" w:hAnsi="Times New Roman" w:eastAsia="仿宋_GB2312" w:cs="Times New Roman"/>
          <w:b/>
          <w:bCs/>
          <w:sz w:val="20"/>
          <w:highlight w:val="none"/>
          <w:lang w:eastAsia="zh-CN"/>
        </w:rPr>
        <w:t>，</w:t>
      </w:r>
      <w:r>
        <w:rPr>
          <w:rFonts w:ascii="仿宋_GB2312" w:hAnsi="Times New Roman" w:eastAsia="仿宋_GB2312" w:cs="Times New Roman"/>
          <w:b/>
          <w:bCs/>
          <w:sz w:val="20"/>
          <w:highlight w:val="none"/>
          <w:lang w:eastAsia="zh-CN"/>
        </w:rPr>
        <w:t>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highlight w:val="none"/>
          <w:lang w:val="en-US" w:eastAsia="zh-CN"/>
        </w:rPr>
        <w:t>本</w:t>
      </w:r>
      <w:r>
        <w:rPr>
          <w:rFonts w:ascii="仿宋_GB2312" w:hAnsi="Times New Roman" w:eastAsia="仿宋_GB2312" w:cs="Times New Roman"/>
          <w:b/>
          <w:bCs/>
          <w:sz w:val="20"/>
          <w:highlight w:val="none"/>
          <w:lang w:eastAsia="zh-CN"/>
        </w:rPr>
        <w:t xml:space="preserve">理财产品的信息披露情况，及时获取相关信息。 </w:t>
      </w:r>
    </w:p>
    <w:p w14:paraId="2505C1F3">
      <w:pPr>
        <w:pStyle w:val="11"/>
        <w:ind w:left="10" w:firstLine="402" w:firstLineChars="200"/>
        <w:jc w:val="both"/>
        <w:rPr>
          <w:rFonts w:hint="default" w:eastAsiaTheme="minorEastAsia"/>
          <w:highlight w:val="none"/>
          <w:lang w:val="en-US" w:eastAsia="zh-CN"/>
        </w:rPr>
      </w:pPr>
      <w:r>
        <w:rPr>
          <w:rFonts w:hint="eastAsia" w:ascii="仿宋_GB2312" w:hAnsi="Times New Roman" w:eastAsia="仿宋_GB2312" w:cs="Times New Roman"/>
          <w:b/>
          <w:bCs/>
          <w:sz w:val="20"/>
          <w:highlight w:val="none"/>
          <w:lang w:val="en-US" w:eastAsia="zh-CN"/>
        </w:rPr>
        <w:t>（三）无论您是否签署，如您购买本理财产品，即视为您已阅读、理解理财产品销售文件，并同意接受理财产品销售文件所有内容的约束。</w:t>
      </w:r>
    </w:p>
    <w:p w14:paraId="7D563FB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（四）</w:t>
      </w:r>
      <w:r>
        <w:rPr>
          <w:rFonts w:ascii="仿宋_GB2312" w:hAnsi="Times New Roman" w:eastAsia="仿宋_GB2312" w:cs="Times New Roman"/>
          <w:b/>
          <w:bCs/>
          <w:sz w:val="20"/>
          <w:highlight w:val="none"/>
          <w:lang w:eastAsia="zh-CN"/>
        </w:rPr>
        <w:t>理财非存款、产品有风险、投资须谨慎。</w:t>
      </w:r>
    </w:p>
    <w:p w14:paraId="6377E82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（五）</w:t>
      </w:r>
      <w:r>
        <w:rPr>
          <w:rFonts w:ascii="仿宋_GB2312" w:hAnsi="Times New Roman" w:eastAsia="仿宋_GB2312" w:cs="Times New Roman"/>
          <w:b/>
          <w:bCs/>
          <w:sz w:val="20"/>
          <w:highlight w:val="none"/>
          <w:lang w:eastAsia="zh-CN"/>
        </w:rPr>
        <w:t>理财产品过往业绩</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业绩比较基准</w:t>
      </w:r>
      <w:r>
        <w:rPr>
          <w:rFonts w:ascii="仿宋_GB2312" w:hAnsi="Times New Roman" w:eastAsia="仿宋_GB2312" w:cs="Times New Roman"/>
          <w:b/>
          <w:bCs/>
          <w:sz w:val="20"/>
          <w:highlight w:val="none"/>
          <w:lang w:eastAsia="zh-CN"/>
        </w:rPr>
        <w:t>不代表其未来表现，不等于理财产品实际收益</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投资须谨慎</w:t>
      </w:r>
      <w:r>
        <w:rPr>
          <w:rFonts w:ascii="仿宋_GB2312" w:hAnsi="Times New Roman" w:eastAsia="仿宋_GB2312" w:cs="Times New Roman"/>
          <w:b/>
          <w:bCs/>
          <w:sz w:val="20"/>
          <w:highlight w:val="none"/>
          <w:lang w:eastAsia="zh-CN"/>
        </w:rPr>
        <w:t>。</w:t>
      </w:r>
    </w:p>
    <w:p w14:paraId="122A4B71">
      <w:pPr>
        <w:pStyle w:val="11"/>
        <w:ind w:left="10" w:firstLine="480" w:firstLineChars="200"/>
        <w:jc w:val="both"/>
        <w:rPr>
          <w:rFonts w:hint="eastAsia" w:ascii="仿宋_GB2312" w:hAnsi="Times New Roman" w:eastAsia="仿宋_GB2312" w:cs="Times New Roman"/>
          <w:b/>
          <w:bCs/>
          <w:sz w:val="20"/>
          <w:highlight w:val="none"/>
          <w:lang w:val="en-US" w:eastAsia="zh-CN"/>
        </w:rPr>
      </w:pPr>
      <w:r>
        <w:rPr>
          <w:rFonts w:hint="eastAsia" w:ascii="Times New Roman" w:hAnsi="黑体" w:eastAsia="黑体" w:cs="Times New Roman"/>
          <w:b w:val="0"/>
          <w:bCs w:val="0"/>
          <w:sz w:val="24"/>
          <w:szCs w:val="24"/>
          <w:highlight w:val="none"/>
          <w:lang w:val="en-US" w:eastAsia="zh-CN"/>
        </w:rPr>
        <w:t>二、释义</w:t>
      </w:r>
    </w:p>
    <w:p w14:paraId="2F2BEDF6">
      <w:pPr>
        <w:ind w:right="-6519" w:rightChars="-2963" w:firstLine="400" w:firstLineChars="200"/>
        <w:jc w:val="both"/>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38B8ACC4">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A51397E">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指贵阳农村商业银行股份有限公司，官方网站为（https://www.gznxbank.com/html/2010000/index.html）。</w:t>
      </w:r>
    </w:p>
    <w:p w14:paraId="6898D3A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277A408B">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6EF5E3B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CACC5D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38B59AD6">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7C2019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547CF5E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9.理财产品存续期/产品存续期：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77A6A6C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10.估值日：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F001335">
      <w:pPr>
        <w:keepNext w:val="0"/>
        <w:keepLines w:val="0"/>
        <w:widowControl/>
        <w:suppressLineNumbers w:val="0"/>
        <w:spacing w:after="0" w:line="240" w:lineRule="auto"/>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3E657FCC">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lang w:val="en-US" w:eastAsia="zh-CN" w:bidi="ar"/>
        </w:rPr>
        <w:t>超值宝1年285期</w:t>
      </w:r>
      <w:r>
        <w:rPr>
          <w:rFonts w:hint="eastAsia" w:ascii="仿宋_GB2312" w:hAnsi="仿宋_GB2312" w:eastAsia="仿宋_GB2312" w:cs="仿宋_GB2312"/>
          <w:b/>
          <w:bCs/>
          <w:color w:val="auto"/>
          <w:kern w:val="0"/>
          <w:sz w:val="20"/>
          <w:szCs w:val="20"/>
          <w:highlight w:val="none"/>
          <w:u w:val="none"/>
          <w:lang w:val="en-US" w:eastAsia="zh-CN" w:bidi="ar"/>
        </w:rPr>
        <w:t>理财产品</w:t>
      </w:r>
      <w:r>
        <w:rPr>
          <w:rFonts w:hint="eastAsia" w:ascii="仿宋_GB2312" w:hAnsi="仿宋_GB2312" w:eastAsia="仿宋_GB2312" w:cs="仿宋_GB2312"/>
          <w:color w:val="auto"/>
          <w:kern w:val="0"/>
          <w:sz w:val="20"/>
          <w:szCs w:val="20"/>
          <w:highlight w:val="none"/>
          <w:lang w:val="en-US" w:eastAsia="zh-CN" w:bidi="ar"/>
        </w:rPr>
        <w:t>。</w:t>
      </w:r>
    </w:p>
    <w:p w14:paraId="125B862A">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24481B75">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w:t>
      </w:r>
      <w:r>
        <w:rPr>
          <w:rFonts w:hint="eastAsia" w:ascii="仿宋_GB2312" w:hAnsi="仿宋_GB2312" w:eastAsia="仿宋_GB2312" w:cs="仿宋_GB2312"/>
          <w:b/>
          <w:bCs/>
          <w:color w:val="auto"/>
          <w:kern w:val="0"/>
          <w:sz w:val="20"/>
          <w:szCs w:val="20"/>
          <w:highlight w:val="none"/>
          <w:lang w:val="en-US" w:eastAsia="zh-CN" w:bidi="ar"/>
        </w:rPr>
        <w:t>并扣除各类成本及费用后，</w:t>
      </w:r>
      <w:r>
        <w:rPr>
          <w:rFonts w:hint="eastAsia" w:ascii="仿宋_GB2312" w:hAnsi="仿宋_GB2312" w:eastAsia="仿宋_GB2312" w:cs="仿宋_GB2312"/>
          <w:b w:val="0"/>
          <w:bCs w:val="0"/>
          <w:color w:val="auto"/>
          <w:kern w:val="0"/>
          <w:sz w:val="20"/>
          <w:szCs w:val="20"/>
          <w:highlight w:val="none"/>
          <w:lang w:val="en-US" w:eastAsia="zh-CN" w:bidi="ar"/>
        </w:rPr>
        <w:t>除以理财产品当前总份额，即为理财产品单位净值，净值的计算按四舍五入原则保留到小数点后第四位。</w:t>
      </w:r>
    </w:p>
    <w:p w14:paraId="75A1D348">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理财产品累计净值是指理财产品单位净值加上成立以来每份累计分配收益的金额，累计净值只作为一个参照值存在，不代表未来投资收益。</w:t>
      </w:r>
    </w:p>
    <w:p w14:paraId="3F64D898">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7921980D">
      <w:pPr>
        <w:widowControl/>
        <w:ind w:left="10" w:firstLine="402" w:firstLineChars="200"/>
        <w:jc w:val="both"/>
        <w:rPr>
          <w:rFonts w:hint="default" w:ascii="仿宋_GB2312" w:hAnsi="Times New Roman" w:eastAsia="仿宋_GB2312" w:cs="Times New Roman"/>
          <w:b/>
          <w:bCs/>
          <w:sz w:val="20"/>
          <w:highlight w:val="none"/>
          <w:lang w:val="en-US" w:eastAsia="zh-CN"/>
        </w:rPr>
      </w:pPr>
      <w:r>
        <w:rPr>
          <w:rFonts w:hint="eastAsia" w:ascii="仿宋_GB2312" w:hAnsi="仿宋_GB2312" w:eastAsia="仿宋_GB2312" w:cs="仿宋_GB2312"/>
          <w:b/>
          <w:bCs/>
          <w:color w:val="auto"/>
          <w:kern w:val="0"/>
          <w:sz w:val="20"/>
          <w:szCs w:val="20"/>
          <w:highlight w:val="none"/>
          <w:lang w:val="en-US" w:eastAsia="zh-CN" w:bidi="ar"/>
        </w:rPr>
        <w:t>17.</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eastAsia" w:ascii="仿宋_GB2312" w:hAnsi="仿宋_GB2312" w:eastAsia="仿宋_GB2312" w:cs="仿宋_GB2312"/>
          <w:b/>
          <w:bCs/>
          <w:color w:val="auto"/>
          <w:kern w:val="0"/>
          <w:sz w:val="20"/>
          <w:szCs w:val="20"/>
          <w:highlight w:val="none"/>
          <w:lang w:val="en-US" w:eastAsia="zh-CN" w:bidi="ar"/>
        </w:rPr>
        <w:t>业绩比较基准是产品管理人基于产品性质、投资策略、过往经验等因素对产品设定的投资目标，业绩比较基准不是预期收益率，不代表产品的未来表现和实际收益，不构成对产品收益的承诺。</w:t>
      </w:r>
    </w:p>
    <w:p w14:paraId="607DA796">
      <w:pPr>
        <w:ind w:right="-6519" w:rightChars="-2963" w:firstLine="480" w:firstLineChars="200"/>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三</w:t>
      </w:r>
      <w:r>
        <w:rPr>
          <w:rFonts w:ascii="Times New Roman" w:hAnsi="黑体" w:eastAsia="黑体" w:cs="Times New Roman"/>
          <w:sz w:val="24"/>
          <w:szCs w:val="24"/>
          <w:highlight w:val="none"/>
          <w:lang w:eastAsia="zh-CN"/>
        </w:rPr>
        <w:t>、产品要素</w:t>
      </w:r>
    </w:p>
    <w:tbl>
      <w:tblPr>
        <w:tblStyle w:val="12"/>
        <w:tblW w:w="8699" w:type="dxa"/>
        <w:tblInd w:w="105" w:type="dxa"/>
        <w:tblLayout w:type="fixed"/>
        <w:tblCellMar>
          <w:top w:w="0" w:type="dxa"/>
          <w:left w:w="0" w:type="dxa"/>
          <w:bottom w:w="0" w:type="dxa"/>
          <w:right w:w="0" w:type="dxa"/>
        </w:tblCellMar>
      </w:tblPr>
      <w:tblGrid>
        <w:gridCol w:w="1523"/>
        <w:gridCol w:w="7176"/>
      </w:tblGrid>
      <w:tr w14:paraId="09172E49">
        <w:tblPrEx>
          <w:tblCellMar>
            <w:top w:w="0" w:type="dxa"/>
            <w:left w:w="0" w:type="dxa"/>
            <w:bottom w:w="0" w:type="dxa"/>
            <w:right w:w="0" w:type="dxa"/>
          </w:tblCellMar>
        </w:tblPrEx>
        <w:trPr>
          <w:trHeight w:val="350" w:hRule="exact"/>
        </w:trPr>
        <w:tc>
          <w:tcPr>
            <w:tcW w:w="1523" w:type="dxa"/>
            <w:tcBorders>
              <w:top w:val="single" w:color="000000" w:sz="12" w:space="0"/>
              <w:left w:val="single" w:color="000000" w:sz="12" w:space="0"/>
              <w:bottom w:val="single" w:color="000000" w:sz="4" w:space="0"/>
              <w:right w:val="single" w:color="000000" w:sz="4" w:space="0"/>
            </w:tcBorders>
            <w:vAlign w:val="center"/>
          </w:tcPr>
          <w:p w14:paraId="6771AC4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产品名称</w:t>
            </w:r>
          </w:p>
        </w:tc>
        <w:tc>
          <w:tcPr>
            <w:tcW w:w="7176" w:type="dxa"/>
            <w:tcBorders>
              <w:top w:val="single" w:color="000000" w:sz="12" w:space="0"/>
              <w:left w:val="single" w:color="000000" w:sz="4" w:space="0"/>
              <w:bottom w:val="single" w:color="000000" w:sz="4" w:space="0"/>
              <w:right w:val="single" w:color="000000" w:sz="12" w:space="0"/>
            </w:tcBorders>
            <w:vAlign w:val="center"/>
          </w:tcPr>
          <w:p w14:paraId="7C4F41DA">
            <w:pPr>
              <w:pStyle w:val="11"/>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bCs/>
                <w:sz w:val="20"/>
                <w:szCs w:val="18"/>
                <w:highlight w:val="none"/>
                <w:lang w:eastAsia="zh-CN"/>
              </w:rPr>
              <w:t>超值宝1年2</w:t>
            </w:r>
            <w:r>
              <w:rPr>
                <w:rFonts w:hint="eastAsia" w:ascii="仿宋_GB2312" w:eastAsia="仿宋_GB2312" w:cs="Times New Roman" w:hAnsiTheme="minorEastAsia"/>
                <w:b/>
                <w:bCs/>
                <w:sz w:val="20"/>
                <w:szCs w:val="18"/>
                <w:highlight w:val="none"/>
                <w:lang w:val="en-US" w:eastAsia="zh-CN"/>
              </w:rPr>
              <w:t>85</w:t>
            </w:r>
            <w:r>
              <w:rPr>
                <w:rFonts w:hint="eastAsia" w:ascii="仿宋_GB2312" w:eastAsia="仿宋_GB2312" w:cs="Times New Roman" w:hAnsiTheme="minorEastAsia"/>
                <w:b/>
                <w:bCs/>
                <w:sz w:val="20"/>
                <w:szCs w:val="18"/>
                <w:highlight w:val="none"/>
                <w:lang w:eastAsia="zh-CN"/>
              </w:rPr>
              <w:t>期理财产品</w:t>
            </w:r>
          </w:p>
        </w:tc>
      </w:tr>
      <w:tr w14:paraId="58058FD9">
        <w:tblPrEx>
          <w:tblCellMar>
            <w:top w:w="0" w:type="dxa"/>
            <w:left w:w="0" w:type="dxa"/>
            <w:bottom w:w="0" w:type="dxa"/>
            <w:right w:w="0" w:type="dxa"/>
          </w:tblCellMar>
        </w:tblPrEx>
        <w:trPr>
          <w:trHeight w:val="32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931A373">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w:t>
            </w:r>
            <w:r>
              <w:rPr>
                <w:rFonts w:hint="eastAsia" w:ascii="仿宋_GB2312" w:eastAsia="仿宋_GB2312" w:cs="Times New Roman" w:hAnsiTheme="minorEastAsia"/>
                <w:sz w:val="20"/>
                <w:szCs w:val="18"/>
                <w:highlight w:val="none"/>
                <w:lang w:val="en-US" w:eastAsia="zh-CN"/>
              </w:rPr>
              <w:t>代码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708DADCF">
            <w:pPr>
              <w:pStyle w:val="11"/>
              <w:ind w:left="10"/>
              <w:jc w:val="center"/>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GRCB0120260</w:t>
            </w:r>
            <w:r>
              <w:rPr>
                <w:rFonts w:hint="eastAsia" w:ascii="仿宋_GB2312" w:hAnsi="Times New Roman" w:eastAsia="仿宋_GB2312" w:cs="Times New Roman"/>
                <w:sz w:val="20"/>
                <w:highlight w:val="none"/>
                <w:lang w:val="en-US" w:eastAsia="zh-CN"/>
              </w:rPr>
              <w:t>45</w:t>
            </w:r>
          </w:p>
        </w:tc>
      </w:tr>
      <w:tr w14:paraId="52162A12">
        <w:tblPrEx>
          <w:tblCellMar>
            <w:top w:w="0" w:type="dxa"/>
            <w:left w:w="0" w:type="dxa"/>
            <w:bottom w:w="0" w:type="dxa"/>
            <w:right w:w="0" w:type="dxa"/>
          </w:tblCellMar>
        </w:tblPrEx>
        <w:trPr>
          <w:trHeight w:val="76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FC5EAC2">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34D8DC63">
            <w:pPr>
              <w:pStyle w:val="11"/>
              <w:ind w:left="10"/>
              <w:jc w:val="center"/>
              <w:rPr>
                <w:rFonts w:hint="eastAsia"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val="en-US" w:eastAsia="zh-CN"/>
              </w:rPr>
              <w:t>C1188326000043</w:t>
            </w:r>
          </w:p>
          <w:p w14:paraId="4B14CBD6">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val="en-US" w:eastAsia="zh-CN"/>
              </w:rPr>
              <w:t>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p>
        </w:tc>
      </w:tr>
      <w:tr w14:paraId="6C1FFA27">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60C5B31">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发行机构</w:t>
            </w:r>
          </w:p>
        </w:tc>
        <w:tc>
          <w:tcPr>
            <w:tcW w:w="7176" w:type="dxa"/>
            <w:tcBorders>
              <w:top w:val="single" w:color="000000" w:sz="4" w:space="0"/>
              <w:left w:val="single" w:color="000000" w:sz="4" w:space="0"/>
              <w:bottom w:val="single" w:color="000000" w:sz="4" w:space="0"/>
              <w:right w:val="single" w:color="000000" w:sz="12" w:space="0"/>
            </w:tcBorders>
            <w:vAlign w:val="center"/>
          </w:tcPr>
          <w:p w14:paraId="5E832D7C">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贵阳农村商业银行股份有限公司（统一社会信用代码：915201005872806375）</w:t>
            </w:r>
          </w:p>
        </w:tc>
      </w:tr>
      <w:tr w14:paraId="780D385B">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26558E">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产品类型</w:t>
            </w:r>
          </w:p>
        </w:tc>
        <w:tc>
          <w:tcPr>
            <w:tcW w:w="7176" w:type="dxa"/>
            <w:tcBorders>
              <w:top w:val="single" w:color="000000" w:sz="4" w:space="0"/>
              <w:left w:val="single" w:color="000000" w:sz="4" w:space="0"/>
              <w:bottom w:val="single" w:color="000000" w:sz="4" w:space="0"/>
              <w:right w:val="single" w:color="000000" w:sz="12" w:space="0"/>
            </w:tcBorders>
            <w:vAlign w:val="center"/>
          </w:tcPr>
          <w:p w14:paraId="136C5D6B">
            <w:pPr>
              <w:pStyle w:val="11"/>
              <w:jc w:val="center"/>
              <w:rPr>
                <w:rFonts w:ascii="仿宋_GB2312" w:hAnsi="Times New Roman" w:eastAsia="仿宋_GB2312" w:cs="Times New Roman"/>
                <w:b/>
                <w:sz w:val="20"/>
                <w:szCs w:val="18"/>
                <w:highlight w:val="none"/>
                <w:lang w:eastAsia="zh-CN"/>
              </w:rPr>
            </w:pPr>
            <w:r>
              <w:rPr>
                <w:rFonts w:hint="eastAsia" w:ascii="仿宋_GB2312" w:eastAsia="仿宋_GB2312" w:cs="Times New Roman" w:hAnsiTheme="minorEastAsia"/>
                <w:b/>
                <w:sz w:val="20"/>
                <w:szCs w:val="18"/>
                <w:highlight w:val="none"/>
                <w:lang w:eastAsia="zh-CN"/>
              </w:rPr>
              <w:t>非保本浮动收益型理财产品</w:t>
            </w:r>
          </w:p>
        </w:tc>
      </w:tr>
      <w:tr w14:paraId="1D3A9368">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761372">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投资性质</w:t>
            </w:r>
          </w:p>
        </w:tc>
        <w:tc>
          <w:tcPr>
            <w:tcW w:w="7176" w:type="dxa"/>
            <w:tcBorders>
              <w:top w:val="single" w:color="000000" w:sz="4" w:space="0"/>
              <w:left w:val="single" w:color="000000" w:sz="4" w:space="0"/>
              <w:bottom w:val="single" w:color="000000" w:sz="4" w:space="0"/>
              <w:right w:val="single" w:color="000000" w:sz="12" w:space="0"/>
            </w:tcBorders>
            <w:vAlign w:val="center"/>
          </w:tcPr>
          <w:p w14:paraId="0A5F1217">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固定收益类</w:t>
            </w:r>
            <w:r>
              <w:rPr>
                <w:rFonts w:hint="eastAsia" w:ascii="仿宋_GB2312" w:eastAsia="仿宋_GB2312" w:cs="Times New Roman" w:hAnsiTheme="minorEastAsia"/>
                <w:b/>
                <w:sz w:val="20"/>
                <w:szCs w:val="18"/>
                <w:highlight w:val="none"/>
                <w:lang w:val="en-US" w:eastAsia="zh-CN"/>
              </w:rPr>
              <w:t>产品</w:t>
            </w:r>
          </w:p>
        </w:tc>
      </w:tr>
      <w:tr w14:paraId="649BA9A4">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73F2C51">
            <w:pPr>
              <w:pStyle w:val="11"/>
              <w:jc w:val="center"/>
              <w:rPr>
                <w:rFonts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募集方式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406257C7">
            <w:pPr>
              <w:pStyle w:val="11"/>
              <w:jc w:val="center"/>
              <w:rPr>
                <w:rFonts w:hint="default"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sz w:val="20"/>
                <w:szCs w:val="18"/>
                <w:highlight w:val="none"/>
                <w:lang w:eastAsia="zh-CN"/>
              </w:rPr>
              <w:t>公募</w:t>
            </w:r>
            <w:r>
              <w:rPr>
                <w:rFonts w:hint="eastAsia" w:ascii="仿宋_GB2312" w:eastAsia="仿宋_GB2312" w:cs="Times New Roman" w:hAnsiTheme="minorEastAsia"/>
                <w:b/>
                <w:sz w:val="20"/>
                <w:szCs w:val="18"/>
                <w:highlight w:val="none"/>
                <w:lang w:val="en-US" w:eastAsia="zh-CN"/>
              </w:rPr>
              <w:t>发行</w:t>
            </w:r>
          </w:p>
        </w:tc>
      </w:tr>
      <w:tr w14:paraId="5AB91AF3">
        <w:tblPrEx>
          <w:tblCellMar>
            <w:top w:w="0" w:type="dxa"/>
            <w:left w:w="0" w:type="dxa"/>
            <w:bottom w:w="0" w:type="dxa"/>
            <w:right w:w="0" w:type="dxa"/>
          </w:tblCellMar>
        </w:tblPrEx>
        <w:trPr>
          <w:trHeight w:val="357"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42DBB91">
            <w:pPr>
              <w:pStyle w:val="11"/>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057E790D">
            <w:pPr>
              <w:pStyle w:val="11"/>
              <w:ind w:left="11" w:right="84" w:firstLine="360"/>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sz w:val="20"/>
                <w:szCs w:val="18"/>
                <w:highlight w:val="none"/>
                <w:lang w:val="en-US" w:eastAsia="zh-CN"/>
              </w:rPr>
              <w:t>封闭式净值型产品</w:t>
            </w:r>
          </w:p>
        </w:tc>
      </w:tr>
      <w:tr w14:paraId="5790EAEB">
        <w:tblPrEx>
          <w:tblCellMar>
            <w:top w:w="0" w:type="dxa"/>
            <w:left w:w="0" w:type="dxa"/>
            <w:bottom w:w="0" w:type="dxa"/>
            <w:right w:w="0" w:type="dxa"/>
          </w:tblCellMar>
        </w:tblPrEx>
        <w:trPr>
          <w:trHeight w:val="76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5A142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内部风险评级</w:t>
            </w:r>
          </w:p>
        </w:tc>
        <w:tc>
          <w:tcPr>
            <w:tcW w:w="7176" w:type="dxa"/>
            <w:tcBorders>
              <w:top w:val="single" w:color="000000" w:sz="4" w:space="0"/>
              <w:left w:val="single" w:color="000000" w:sz="4" w:space="0"/>
              <w:bottom w:val="single" w:color="000000" w:sz="4" w:space="0"/>
              <w:right w:val="single" w:color="000000" w:sz="12" w:space="0"/>
            </w:tcBorders>
            <w:vAlign w:val="center"/>
          </w:tcPr>
          <w:p w14:paraId="1BB2E9D3">
            <w:pPr>
              <w:pStyle w:val="11"/>
              <w:spacing w:after="0" w:line="240" w:lineRule="auto"/>
              <w:ind w:left="0" w:right="0" w:firstLine="0"/>
              <w:jc w:val="center"/>
              <w:rPr>
                <w:rFonts w:hint="eastAsia"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sz w:val="20"/>
                <w:szCs w:val="18"/>
                <w:highlight w:val="none"/>
                <w:lang w:val="en-US" w:eastAsia="zh-CN"/>
              </w:rPr>
              <w:t>风险等级）</w:t>
            </w:r>
          </w:p>
          <w:p w14:paraId="56499268">
            <w:pPr>
              <w:pStyle w:val="11"/>
              <w:ind w:left="11" w:right="84" w:firstLine="36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color w:val="auto"/>
                <w:sz w:val="18"/>
                <w:szCs w:val="18"/>
                <w:highlight w:val="none"/>
                <w:lang w:eastAsia="zh-CN"/>
              </w:rPr>
              <w:t>（本风险评级为贵阳农商银行内部评级结果，该评级仅供参考，不具备法律效力）</w:t>
            </w:r>
          </w:p>
        </w:tc>
      </w:tr>
      <w:tr w14:paraId="1D6CD138">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D90AB1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适合投资者</w:t>
            </w:r>
          </w:p>
        </w:tc>
        <w:tc>
          <w:tcPr>
            <w:tcW w:w="7176" w:type="dxa"/>
            <w:tcBorders>
              <w:top w:val="single" w:color="000000" w:sz="4" w:space="0"/>
              <w:left w:val="single" w:color="000000" w:sz="4" w:space="0"/>
              <w:bottom w:val="single" w:color="000000" w:sz="4" w:space="0"/>
              <w:right w:val="single" w:color="000000" w:sz="12" w:space="0"/>
            </w:tcBorders>
            <w:vAlign w:val="center"/>
          </w:tcPr>
          <w:p w14:paraId="19BFAE2F">
            <w:pPr>
              <w:pStyle w:val="11"/>
              <w:ind w:left="11" w:right="84" w:firstLine="360"/>
              <w:jc w:val="center"/>
              <w:rPr>
                <w:rFonts w:hint="eastAsia" w:ascii="仿宋_GB2312" w:eastAsia="仿宋_GB2312" w:cs="Times New Roman" w:hAnsiTheme="minorEastAsia"/>
                <w:b/>
                <w:bCs/>
                <w:color w:val="auto"/>
                <w:sz w:val="18"/>
                <w:szCs w:val="18"/>
                <w:highlight w:val="none"/>
                <w:lang w:eastAsia="zh-CN"/>
              </w:rPr>
            </w:pPr>
            <w:r>
              <w:rPr>
                <w:rFonts w:hint="eastAsia" w:ascii="仿宋_GB2312" w:eastAsia="仿宋_GB2312" w:cs="Times New Roman" w:hAnsiTheme="minorEastAsia"/>
                <w:color w:val="000000"/>
                <w:sz w:val="20"/>
                <w:szCs w:val="18"/>
                <w:highlight w:val="none"/>
                <w:lang w:eastAsia="zh-CN"/>
              </w:rPr>
              <w:t>经贵阳</w:t>
            </w:r>
            <w:r>
              <w:rPr>
                <w:rFonts w:hint="eastAsia" w:ascii="仿宋_GB2312" w:eastAsia="仿宋_GB2312" w:cs="Times New Roman" w:hAnsiTheme="minorEastAsia"/>
                <w:sz w:val="20"/>
                <w:szCs w:val="18"/>
                <w:highlight w:val="none"/>
                <w:lang w:eastAsia="zh-CN"/>
              </w:rPr>
              <w:t>农商</w:t>
            </w:r>
            <w:r>
              <w:rPr>
                <w:rFonts w:hint="eastAsia" w:ascii="仿宋_GB2312" w:eastAsia="仿宋_GB2312" w:cs="Times New Roman" w:hAnsiTheme="minorEastAsia"/>
                <w:color w:val="000000"/>
                <w:sz w:val="20"/>
                <w:szCs w:val="18"/>
                <w:highlight w:val="none"/>
                <w:lang w:eastAsia="zh-CN"/>
              </w:rPr>
              <w:t>银行评估为</w:t>
            </w:r>
            <w:r>
              <w:rPr>
                <w:rFonts w:hint="eastAsia" w:ascii="仿宋_GB2312" w:eastAsia="仿宋_GB2312" w:cs="Times New Roman" w:hAnsiTheme="minorEastAsia"/>
                <w:sz w:val="20"/>
                <w:szCs w:val="18"/>
                <w:lang w:eastAsia="zh-CN"/>
              </w:rPr>
              <w:t>稳健型、平衡型、成长型、进取型</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highlight w:val="none"/>
                <w:lang w:eastAsia="zh-CN"/>
              </w:rPr>
              <w:t>投资者</w:t>
            </w:r>
          </w:p>
        </w:tc>
      </w:tr>
      <w:tr w14:paraId="4025C149">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F37772B">
            <w:pPr>
              <w:pStyle w:val="11"/>
              <w:jc w:val="center"/>
              <w:rPr>
                <w:rFonts w:hint="eastAsia" w:ascii="仿宋_GB2312" w:eastAsia="仿宋_GB2312" w:cs="Times New Roman" w:hAnsiTheme="minorEastAsia"/>
                <w:sz w:val="20"/>
                <w:szCs w:val="18"/>
                <w:highlight w:val="none"/>
                <w:lang w:eastAsia="zh-CN"/>
              </w:rPr>
            </w:pPr>
            <w:r>
              <w:rPr>
                <w:rFonts w:hint="eastAsia" w:ascii="仿宋_GB2312" w:hAnsi="Times New Roman" w:eastAsia="仿宋_GB2312" w:cs="Times New Roman"/>
                <w:sz w:val="20"/>
                <w:szCs w:val="18"/>
                <w:highlight w:val="none"/>
                <w:lang w:val="en-US" w:eastAsia="zh-CN"/>
              </w:rPr>
              <w:t>销售/服务渠道</w:t>
            </w:r>
          </w:p>
        </w:tc>
        <w:tc>
          <w:tcPr>
            <w:tcW w:w="7176" w:type="dxa"/>
            <w:tcBorders>
              <w:top w:val="single" w:color="000000" w:sz="4" w:space="0"/>
              <w:left w:val="single" w:color="000000" w:sz="4" w:space="0"/>
              <w:bottom w:val="single" w:color="000000" w:sz="4" w:space="0"/>
              <w:right w:val="single" w:color="000000" w:sz="12" w:space="0"/>
            </w:tcBorders>
            <w:vAlign w:val="center"/>
          </w:tcPr>
          <w:p w14:paraId="3B5B4A59">
            <w:pPr>
              <w:pStyle w:val="11"/>
              <w:ind w:left="0" w:right="0" w:firstLine="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w:t>
            </w:r>
            <w:r>
              <w:rPr>
                <w:rFonts w:hint="eastAsia" w:ascii="仿宋_GB2312" w:eastAsia="仿宋_GB2312" w:cs="Times New Roman" w:hAnsiTheme="minorEastAsia"/>
                <w:spacing w:val="-2"/>
                <w:sz w:val="20"/>
                <w:szCs w:val="18"/>
                <w:highlight w:val="none"/>
                <w:u w:val="none"/>
                <w:lang w:val="en-US" w:eastAsia="zh-CN"/>
              </w:rPr>
              <w:t>手机银行</w:t>
            </w:r>
          </w:p>
        </w:tc>
      </w:tr>
      <w:tr w14:paraId="47DACB9A">
        <w:tblPrEx>
          <w:tblCellMar>
            <w:top w:w="0" w:type="dxa"/>
            <w:left w:w="0" w:type="dxa"/>
            <w:bottom w:w="0" w:type="dxa"/>
            <w:right w:w="0" w:type="dxa"/>
          </w:tblCellMar>
        </w:tblPrEx>
        <w:trPr>
          <w:trHeight w:val="42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A1CA93F">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销售/服务地域</w:t>
            </w:r>
          </w:p>
        </w:tc>
        <w:tc>
          <w:tcPr>
            <w:tcW w:w="7176" w:type="dxa"/>
            <w:tcBorders>
              <w:top w:val="single" w:color="000000" w:sz="4" w:space="0"/>
              <w:left w:val="single" w:color="000000" w:sz="4" w:space="0"/>
              <w:bottom w:val="single" w:color="000000" w:sz="4" w:space="0"/>
              <w:right w:val="single" w:color="000000" w:sz="12" w:space="0"/>
            </w:tcBorders>
            <w:vAlign w:val="center"/>
          </w:tcPr>
          <w:p w14:paraId="25B1DCA7">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val="en-US" w:eastAsia="zh-CN"/>
              </w:rPr>
              <w:t>贵州省</w:t>
            </w:r>
          </w:p>
        </w:tc>
      </w:tr>
      <w:tr w14:paraId="504C9864">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093385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本金及收益币种</w:t>
            </w:r>
          </w:p>
        </w:tc>
        <w:tc>
          <w:tcPr>
            <w:tcW w:w="7176" w:type="dxa"/>
            <w:tcBorders>
              <w:top w:val="single" w:color="000000" w:sz="4" w:space="0"/>
              <w:left w:val="single" w:color="000000" w:sz="4" w:space="0"/>
              <w:bottom w:val="single" w:color="000000" w:sz="4" w:space="0"/>
              <w:right w:val="single" w:color="000000" w:sz="12" w:space="0"/>
            </w:tcBorders>
            <w:vAlign w:val="center"/>
          </w:tcPr>
          <w:p w14:paraId="7C55DA1D">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rPr>
              <w:t>人民币</w:t>
            </w:r>
          </w:p>
        </w:tc>
      </w:tr>
      <w:tr w14:paraId="790E52C8">
        <w:tblPrEx>
          <w:tblCellMar>
            <w:top w:w="0" w:type="dxa"/>
            <w:left w:w="0" w:type="dxa"/>
            <w:bottom w:w="0" w:type="dxa"/>
            <w:right w:w="0" w:type="dxa"/>
          </w:tblCellMar>
        </w:tblPrEx>
        <w:trPr>
          <w:trHeight w:val="85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D93B470">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产品规模</w:t>
            </w:r>
          </w:p>
        </w:tc>
        <w:tc>
          <w:tcPr>
            <w:tcW w:w="7176" w:type="dxa"/>
            <w:tcBorders>
              <w:top w:val="single" w:color="000000" w:sz="4" w:space="0"/>
              <w:left w:val="single" w:color="000000" w:sz="4" w:space="0"/>
              <w:bottom w:val="single" w:color="000000" w:sz="4" w:space="0"/>
              <w:right w:val="single" w:color="000000" w:sz="12" w:space="0"/>
            </w:tcBorders>
            <w:vAlign w:val="center"/>
          </w:tcPr>
          <w:p w14:paraId="6B95A86C">
            <w:pPr>
              <w:pStyle w:val="11"/>
              <w:spacing w:after="0" w:line="240" w:lineRule="auto"/>
              <w:ind w:left="45" w:right="28"/>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产品募集上限为</w:t>
            </w:r>
            <w:r>
              <w:rPr>
                <w:rFonts w:hint="eastAsia" w:ascii="仿宋_GB2312" w:eastAsia="仿宋_GB2312" w:cs="Times New Roman" w:hAnsiTheme="minorEastAsia"/>
                <w:b/>
                <w:bCs/>
                <w:sz w:val="20"/>
                <w:highlight w:val="none"/>
                <w:u w:val="none"/>
                <w:lang w:val="en-US" w:eastAsia="zh-CN"/>
              </w:rPr>
              <w:t>40000</w:t>
            </w:r>
            <w:r>
              <w:rPr>
                <w:rFonts w:hint="eastAsia" w:ascii="仿宋_GB2312" w:eastAsia="仿宋_GB2312" w:cs="Times New Roman" w:hAnsiTheme="minorEastAsia"/>
                <w:sz w:val="20"/>
                <w:highlight w:val="none"/>
                <w:lang w:eastAsia="zh-CN"/>
              </w:rPr>
              <w:t>万</w:t>
            </w:r>
            <w:r>
              <w:rPr>
                <w:rFonts w:hint="eastAsia" w:ascii="仿宋_GB2312" w:eastAsia="仿宋_GB2312" w:cs="Times New Roman" w:hAnsiTheme="minorEastAsia"/>
                <w:sz w:val="20"/>
                <w:szCs w:val="18"/>
                <w:highlight w:val="none"/>
                <w:lang w:eastAsia="zh-CN"/>
              </w:rPr>
              <w:t>元，下限为</w:t>
            </w:r>
            <w:r>
              <w:rPr>
                <w:rFonts w:hint="eastAsia" w:ascii="仿宋_GB2312" w:eastAsia="仿宋_GB2312" w:cs="Times New Roman" w:hAnsiTheme="minorEastAsia"/>
                <w:b/>
                <w:bCs/>
                <w:sz w:val="20"/>
                <w:highlight w:val="none"/>
                <w:u w:val="none"/>
                <w:lang w:val="en-US" w:eastAsia="zh-CN"/>
              </w:rPr>
              <w:t>1000</w:t>
            </w:r>
            <w:r>
              <w:rPr>
                <w:rFonts w:hint="eastAsia" w:ascii="仿宋_GB2312" w:eastAsia="仿宋_GB2312" w:cs="Times New Roman" w:hAnsiTheme="minorEastAsia"/>
                <w:sz w:val="20"/>
                <w:szCs w:val="18"/>
                <w:highlight w:val="none"/>
                <w:lang w:eastAsia="zh-CN"/>
              </w:rPr>
              <w:t>万元。</w:t>
            </w:r>
          </w:p>
          <w:p w14:paraId="2BF1A4F5">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贵阳农商银行可根据市场情况等调整产品规模上下限。</w:t>
            </w:r>
          </w:p>
        </w:tc>
      </w:tr>
      <w:tr w14:paraId="1589E5B4">
        <w:tblPrEx>
          <w:tblCellMar>
            <w:top w:w="0" w:type="dxa"/>
            <w:left w:w="0" w:type="dxa"/>
            <w:bottom w:w="0" w:type="dxa"/>
            <w:right w:w="0" w:type="dxa"/>
          </w:tblCellMar>
        </w:tblPrEx>
        <w:trPr>
          <w:trHeight w:val="450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665DCF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业绩比较基准</w:t>
            </w:r>
          </w:p>
        </w:tc>
        <w:tc>
          <w:tcPr>
            <w:tcW w:w="7176" w:type="dxa"/>
            <w:tcBorders>
              <w:top w:val="single" w:color="000000" w:sz="4" w:space="0"/>
              <w:left w:val="single" w:color="000000" w:sz="4" w:space="0"/>
              <w:bottom w:val="single" w:color="000000" w:sz="4" w:space="0"/>
              <w:right w:val="single" w:color="000000" w:sz="12" w:space="0"/>
            </w:tcBorders>
            <w:vAlign w:val="center"/>
          </w:tcPr>
          <w:p w14:paraId="0B8C9589">
            <w:pPr>
              <w:pStyle w:val="11"/>
              <w:ind w:left="0" w:right="84" w:firstLine="0"/>
              <w:jc w:val="center"/>
              <w:rPr>
                <w:rFonts w:hint="eastAsia"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2.3</w:t>
            </w:r>
            <w:r>
              <w:rPr>
                <w:rFonts w:hint="eastAsia" w:ascii="仿宋_GB2312" w:eastAsia="仿宋_GB2312" w:cs="Times New Roman" w:hAnsiTheme="minorEastAsia"/>
                <w:b/>
                <w:bCs/>
                <w:sz w:val="20"/>
                <w:highlight w:val="none"/>
                <w:u w:val="none"/>
                <w:lang w:eastAsia="zh-CN"/>
              </w:rPr>
              <w:t>%</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3.3</w:t>
            </w:r>
            <w:r>
              <w:rPr>
                <w:rFonts w:hint="eastAsia" w:ascii="仿宋_GB2312" w:eastAsia="仿宋_GB2312" w:cs="Times New Roman" w:hAnsiTheme="minorEastAsia"/>
                <w:b/>
                <w:bCs/>
                <w:sz w:val="20"/>
                <w:highlight w:val="none"/>
                <w:lang w:eastAsia="zh-CN"/>
              </w:rPr>
              <w:t>%】/年</w:t>
            </w:r>
          </w:p>
          <w:p w14:paraId="4862B1C8">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1.业绩比较基准是产品管理人基于产品性质、投资策略、过往经验等因素对产品设定的投资目标，业绩比较基准不是预期收益率，不代表产品的未来表现和实际收益，不构成对产品收益的承诺。</w:t>
            </w:r>
            <w:r>
              <w:rPr>
                <w:rFonts w:hint="eastAsia" w:ascii="仿宋_GB2312" w:hAnsi="仿宋_GB2312" w:eastAsia="仿宋_GB2312" w:cs="仿宋_GB2312"/>
                <w:color w:val="auto"/>
                <w:kern w:val="0"/>
                <w:sz w:val="20"/>
                <w:szCs w:val="20"/>
                <w:highlight w:val="none"/>
                <w:lang w:val="en-US" w:eastAsia="zh-CN" w:bidi="ar"/>
              </w:rPr>
              <w:t>业绩比较基准由产品管理人依据理财产品的投资范围及比例、投资策略，并综合考量市场环境等因素测算。</w:t>
            </w:r>
          </w:p>
          <w:p w14:paraId="418C6714">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Times New Roman" w:eastAsia="仿宋_GB2312" w:cs="Times New Roman"/>
                <w:sz w:val="20"/>
                <w:szCs w:val="18"/>
                <w:highlight w:val="none"/>
                <w:lang w:val="en-US" w:eastAsia="zh-CN"/>
              </w:rPr>
              <w:t>2.</w:t>
            </w:r>
            <w:r>
              <w:rPr>
                <w:rFonts w:hint="eastAsia" w:ascii="仿宋_GB2312" w:hAnsi="宋体" w:eastAsia="仿宋_GB2312" w:cs="Times New Roman"/>
                <w:sz w:val="20"/>
                <w:szCs w:val="18"/>
                <w:highlight w:val="none"/>
                <w:lang w:val="en-US" w:eastAsia="zh-CN"/>
              </w:rPr>
              <w:t>业绩比较基准测算依据：根据当前市场利率水平、组合目标久期、可投资资产的收益率等因素作为测算依据，扣除相关税费等成本后，综合得出产品的业绩比较基准</w:t>
            </w:r>
          </w:p>
          <w:p w14:paraId="2EF2EDDC">
            <w:pPr>
              <w:widowControl/>
              <w:ind w:left="0" w:right="84"/>
              <w:jc w:val="both"/>
              <w:rPr>
                <w:rFonts w:hint="default" w:ascii="仿宋_GB2312" w:eastAsia="仿宋_GB2312" w:cs="Times New Roman" w:hAnsiTheme="minorEastAsia"/>
                <w:sz w:val="20"/>
                <w:szCs w:val="18"/>
                <w:highlight w:val="none"/>
                <w:lang w:val="en-US" w:eastAsia="zh-CN"/>
              </w:rPr>
            </w:pPr>
            <w:r>
              <w:rPr>
                <w:rFonts w:hint="eastAsia" w:ascii="仿宋_GB2312" w:hAnsi="Times New Roman" w:eastAsia="仿宋_GB2312" w:cs="Times New Roman"/>
                <w:sz w:val="20"/>
                <w:szCs w:val="18"/>
                <w:highlight w:val="none"/>
                <w:lang w:val="en-US" w:eastAsia="zh-CN"/>
              </w:rPr>
              <w:t>3</w:t>
            </w:r>
            <w:r>
              <w:rPr>
                <w:rFonts w:hint="eastAsia" w:ascii="仿宋_GB2312" w:hAnsi="Times New Roman" w:eastAsia="仿宋_GB2312" w:cs="Times New Roman"/>
                <w:sz w:val="20"/>
                <w:szCs w:val="18"/>
                <w:highlight w:val="none"/>
                <w:lang w:eastAsia="zh-CN"/>
              </w:rPr>
              <w:t>.</w:t>
            </w:r>
            <w:r>
              <w:rPr>
                <w:rFonts w:hint="default" w:ascii="仿宋_GB2312" w:eastAsia="仿宋_GB2312" w:cs="Times New Roman" w:hAnsiTheme="minorEastAsia"/>
                <w:sz w:val="20"/>
                <w:szCs w:val="18"/>
                <w:highlight w:val="none"/>
                <w:lang w:val="en-US" w:eastAsia="zh-CN"/>
              </w:rPr>
              <w:t>本产品主要投资于现金类资产、货币类资产、货币市场基金、债券型基金、标准化固定收益类资产及符合前述投向的信托计划、资产管理计划，投资比例为80%-100%</w:t>
            </w:r>
            <w:r>
              <w:rPr>
                <w:rFonts w:hint="eastAsia" w:ascii="仿宋_GB2312" w:eastAsia="仿宋_GB2312" w:cs="Times New Roman" w:hAnsiTheme="minorEastAsia"/>
                <w:sz w:val="20"/>
                <w:szCs w:val="18"/>
                <w:highlight w:val="none"/>
                <w:lang w:eastAsia="zh-CN"/>
              </w:rPr>
              <w:t>。</w:t>
            </w:r>
          </w:p>
          <w:p w14:paraId="5677020C">
            <w:pPr>
              <w:widowControl/>
              <w:ind w:right="84"/>
              <w:rPr>
                <w:rFonts w:ascii="仿宋_GB2312" w:eastAsia="仿宋_GB2312" w:cs="Times New Roman" w:hAnsiTheme="minorEastAsia"/>
                <w:sz w:val="20"/>
                <w:szCs w:val="18"/>
                <w:highlight w:val="none"/>
                <w:lang w:eastAsia="zh-CN"/>
              </w:rPr>
            </w:pPr>
            <w:r>
              <w:rPr>
                <w:rFonts w:hint="eastAsia" w:ascii="仿宋_GB2312" w:hAnsi="Times New Roman" w:eastAsia="仿宋_GB2312" w:cs="Times New Roman"/>
                <w:b/>
                <w:bCs/>
                <w:sz w:val="20"/>
                <w:szCs w:val="18"/>
                <w:highlight w:val="none"/>
                <w:lang w:val="en-US" w:eastAsia="zh-CN"/>
              </w:rPr>
              <w:t>4</w:t>
            </w:r>
            <w:r>
              <w:rPr>
                <w:rFonts w:hint="eastAsia" w:ascii="仿宋_GB2312" w:hAnsi="Times New Roman" w:eastAsia="仿宋_GB2312" w:cs="Times New Roman"/>
                <w:b/>
                <w:bCs/>
                <w:sz w:val="20"/>
                <w:szCs w:val="18"/>
                <w:highlight w:val="none"/>
                <w:lang w:eastAsia="zh-CN"/>
              </w:rPr>
              <w:t>.</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val="0"/>
                <w:bCs w:val="0"/>
                <w:color w:val="auto"/>
                <w:sz w:val="20"/>
                <w:szCs w:val="20"/>
                <w:highlight w:val="none"/>
                <w:u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个工作日进行公告（</w:t>
            </w:r>
            <w:r>
              <w:rPr>
                <w:rFonts w:hint="eastAsia" w:ascii="仿宋_GB2312" w:hAnsi="仿宋_GB2312" w:eastAsia="仿宋_GB2312" w:cs="仿宋_GB2312"/>
                <w:b w:val="0"/>
                <w:bCs w:val="0"/>
                <w:color w:val="auto"/>
                <w:sz w:val="20"/>
                <w:szCs w:val="20"/>
                <w:highlight w:val="none"/>
                <w:lang w:val="en-US" w:eastAsia="zh-CN"/>
              </w:rPr>
              <w:t>公告方式为贵阳农商银行官方网站等渠道）。</w:t>
            </w:r>
          </w:p>
          <w:p w14:paraId="6461A6A2">
            <w:pPr>
              <w:pStyle w:val="11"/>
              <w:ind w:left="0" w:right="84" w:firstLine="0"/>
              <w:jc w:val="both"/>
              <w:rPr>
                <w:rFonts w:ascii="仿宋_GB2312" w:eastAsia="仿宋_GB2312" w:cs="Times New Roman" w:hAnsiTheme="minorEastAsia"/>
                <w:sz w:val="20"/>
                <w:szCs w:val="18"/>
                <w:highlight w:val="none"/>
                <w:lang w:eastAsia="zh-CN"/>
              </w:rPr>
            </w:pPr>
          </w:p>
        </w:tc>
      </w:tr>
      <w:tr w14:paraId="6203006A">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725FC0C">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认购面值</w:t>
            </w:r>
          </w:p>
        </w:tc>
        <w:tc>
          <w:tcPr>
            <w:tcW w:w="7176" w:type="dxa"/>
            <w:tcBorders>
              <w:top w:val="single" w:color="000000" w:sz="4" w:space="0"/>
              <w:left w:val="single" w:color="000000" w:sz="4" w:space="0"/>
              <w:bottom w:val="single" w:color="000000" w:sz="4" w:space="0"/>
              <w:right w:val="single" w:color="000000" w:sz="12" w:space="0"/>
            </w:tcBorders>
            <w:vAlign w:val="center"/>
          </w:tcPr>
          <w:p w14:paraId="4AD74D74">
            <w:pPr>
              <w:pStyle w:val="11"/>
              <w:ind w:left="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4B86662F">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568097">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val="en-US" w:eastAsia="zh-CN"/>
              </w:rPr>
              <w:t>认购</w:t>
            </w:r>
            <w:r>
              <w:rPr>
                <w:rFonts w:hint="eastAsia" w:ascii="仿宋_GB2312" w:eastAsia="仿宋_GB2312" w:cs="Times New Roman" w:hAnsiTheme="minorEastAsia"/>
                <w:sz w:val="20"/>
                <w:szCs w:val="18"/>
                <w:highlight w:val="none"/>
                <w:lang w:eastAsia="zh-CN"/>
              </w:rPr>
              <w:t>金额</w:t>
            </w:r>
          </w:p>
        </w:tc>
        <w:tc>
          <w:tcPr>
            <w:tcW w:w="7176" w:type="dxa"/>
            <w:tcBorders>
              <w:top w:val="single" w:color="000000" w:sz="4" w:space="0"/>
              <w:left w:val="single" w:color="000000" w:sz="4" w:space="0"/>
              <w:bottom w:val="single" w:color="000000" w:sz="4" w:space="0"/>
              <w:right w:val="single" w:color="000000" w:sz="12" w:space="0"/>
            </w:tcBorders>
            <w:vAlign w:val="center"/>
          </w:tcPr>
          <w:p w14:paraId="64770F4C">
            <w:pPr>
              <w:pStyle w:val="11"/>
              <w:ind w:left="11"/>
              <w:jc w:val="center"/>
              <w:rPr>
                <w:rFonts w:hint="default" w:ascii="仿宋_GB2312" w:eastAsia="仿宋_GB2312" w:cs="Times New Roman" w:hAnsiTheme="minorEastAsia"/>
                <w:sz w:val="20"/>
                <w:szCs w:val="18"/>
                <w:highlight w:val="none"/>
                <w:lang w:val="en-US"/>
              </w:rPr>
            </w:pP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w:t>
            </w:r>
            <w:r>
              <w:rPr>
                <w:rFonts w:hint="eastAsia" w:ascii="仿宋_GB2312" w:eastAsia="仿宋_GB2312" w:cs="Times New Roman" w:hAnsiTheme="minorEastAsia"/>
                <w:sz w:val="20"/>
                <w:szCs w:val="18"/>
                <w:highlight w:val="none"/>
                <w:lang w:val="en-US" w:eastAsia="zh-CN"/>
              </w:rPr>
              <w:t>起</w:t>
            </w:r>
            <w:r>
              <w:rPr>
                <w:rFonts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万元的整数倍</w:t>
            </w:r>
            <w:r>
              <w:rPr>
                <w:rFonts w:hint="eastAsia" w:ascii="仿宋_GB2312" w:eastAsia="仿宋_GB2312" w:cs="Times New Roman" w:hAnsiTheme="minorEastAsia"/>
                <w:sz w:val="20"/>
                <w:szCs w:val="18"/>
                <w:highlight w:val="none"/>
                <w:lang w:val="en-US" w:eastAsia="zh-CN"/>
              </w:rPr>
              <w:t>递增</w:t>
            </w:r>
          </w:p>
        </w:tc>
      </w:tr>
      <w:tr w14:paraId="1BA7FF56">
        <w:tblPrEx>
          <w:tblCellMar>
            <w:top w:w="0" w:type="dxa"/>
            <w:left w:w="0" w:type="dxa"/>
            <w:bottom w:w="0" w:type="dxa"/>
            <w:right w:w="0" w:type="dxa"/>
          </w:tblCellMar>
        </w:tblPrEx>
        <w:trPr>
          <w:trHeight w:val="54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7A9DD3C">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认购上限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6BB7C94">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单个投资者</w:t>
            </w:r>
            <w:r>
              <w:rPr>
                <w:rFonts w:hint="eastAsia" w:ascii="仿宋_GB2312" w:hAnsi="Times New Roman" w:eastAsia="仿宋_GB2312" w:cs="Times New Roman"/>
                <w:sz w:val="20"/>
                <w:szCs w:val="18"/>
                <w:highlight w:val="none"/>
                <w:lang w:val="en-US" w:eastAsia="zh-CN"/>
              </w:rPr>
              <w:t>认购金</w:t>
            </w:r>
            <w:r>
              <w:rPr>
                <w:rFonts w:hint="eastAsia" w:ascii="仿宋_GB2312" w:hAnsi="Times New Roman" w:eastAsia="仿宋_GB2312" w:cs="Times New Roman"/>
                <w:sz w:val="20"/>
                <w:szCs w:val="18"/>
                <w:highlight w:val="none"/>
                <w:lang w:eastAsia="zh-CN"/>
              </w:rPr>
              <w:t>额不超过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highlight w:val="none"/>
                <w:lang w:eastAsia="zh-CN"/>
              </w:rPr>
              <w:t>万</w:t>
            </w:r>
            <w:r>
              <w:rPr>
                <w:rFonts w:hint="eastAsia" w:ascii="仿宋_GB2312" w:hAnsi="Times New Roman" w:eastAsia="仿宋_GB2312" w:cs="Times New Roman"/>
                <w:sz w:val="20"/>
                <w:szCs w:val="18"/>
                <w:highlight w:val="none"/>
                <w:lang w:val="en-US" w:eastAsia="zh-CN"/>
              </w:rPr>
              <w:t>元</w:t>
            </w:r>
            <w:r>
              <w:rPr>
                <w:rFonts w:hint="eastAsia" w:ascii="仿宋_GB2312" w:hAnsi="Times New Roman" w:eastAsia="仿宋_GB2312" w:cs="Times New Roman"/>
                <w:sz w:val="20"/>
                <w:szCs w:val="18"/>
                <w:highlight w:val="none"/>
                <w:lang w:eastAsia="zh-CN"/>
              </w:rPr>
              <w:t>，超出部分</w:t>
            </w:r>
            <w:r>
              <w:rPr>
                <w:rFonts w:hint="eastAsia" w:ascii="仿宋_GB2312" w:eastAsia="仿宋_GB2312" w:cs="Times New Roman" w:hAnsiTheme="minorEastAsia"/>
                <w:sz w:val="20"/>
                <w:szCs w:val="18"/>
                <w:highlight w:val="none"/>
                <w:lang w:eastAsia="zh-CN"/>
              </w:rPr>
              <w:t>贵阳农商银行</w:t>
            </w:r>
            <w:r>
              <w:rPr>
                <w:rFonts w:hint="eastAsia" w:ascii="仿宋_GB2312" w:hAnsi="Times New Roman" w:eastAsia="仿宋_GB2312" w:cs="Times New Roman"/>
                <w:sz w:val="20"/>
                <w:szCs w:val="18"/>
                <w:highlight w:val="none"/>
                <w:lang w:eastAsia="zh-CN"/>
              </w:rPr>
              <w:t>将根据实际情况限制</w:t>
            </w:r>
            <w:r>
              <w:rPr>
                <w:rFonts w:hint="eastAsia" w:ascii="仿宋_GB2312" w:hAnsi="Times New Roman" w:eastAsia="仿宋_GB2312" w:cs="Times New Roman"/>
                <w:sz w:val="20"/>
                <w:szCs w:val="18"/>
                <w:highlight w:val="none"/>
                <w:lang w:val="en-US" w:eastAsia="zh-CN"/>
              </w:rPr>
              <w:t>单个投资者认购</w:t>
            </w:r>
            <w:r>
              <w:rPr>
                <w:rFonts w:hint="eastAsia" w:ascii="仿宋_GB2312" w:hAnsi="Times New Roman" w:eastAsia="仿宋_GB2312" w:cs="Times New Roman"/>
                <w:sz w:val="20"/>
                <w:szCs w:val="18"/>
                <w:highlight w:val="none"/>
                <w:lang w:eastAsia="zh-CN"/>
              </w:rPr>
              <w:t>。</w:t>
            </w:r>
          </w:p>
        </w:tc>
      </w:tr>
      <w:tr w14:paraId="038379DB">
        <w:tblPrEx>
          <w:tblCellMar>
            <w:top w:w="0" w:type="dxa"/>
            <w:left w:w="0" w:type="dxa"/>
            <w:bottom w:w="0" w:type="dxa"/>
            <w:right w:w="0" w:type="dxa"/>
          </w:tblCellMar>
        </w:tblPrEx>
        <w:trPr>
          <w:trHeight w:val="91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5E2C63D">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募集期</w:t>
            </w:r>
          </w:p>
        </w:tc>
        <w:tc>
          <w:tcPr>
            <w:tcW w:w="7176" w:type="dxa"/>
            <w:tcBorders>
              <w:top w:val="single" w:color="000000" w:sz="4" w:space="0"/>
              <w:left w:val="single" w:color="000000" w:sz="4" w:space="0"/>
              <w:bottom w:val="single" w:color="000000" w:sz="4" w:space="0"/>
              <w:right w:val="single" w:color="000000" w:sz="12" w:space="0"/>
            </w:tcBorders>
            <w:vAlign w:val="center"/>
          </w:tcPr>
          <w:p w14:paraId="721FAC57">
            <w:pPr>
              <w:pStyle w:val="11"/>
              <w:spacing w:after="0" w:line="240" w:lineRule="auto"/>
              <w:ind w:left="28"/>
              <w:jc w:val="center"/>
              <w:rPr>
                <w:rFonts w:hint="eastAsia" w:ascii="仿宋_GB2312" w:eastAsia="仿宋_GB2312" w:cs="Times New Roman" w:hAnsiTheme="minorEastAsia"/>
                <w:b w:val="0"/>
                <w:bCs w:val="0"/>
                <w:sz w:val="20"/>
                <w:szCs w:val="18"/>
                <w:highlight w:val="none"/>
                <w:u w:val="single"/>
                <w:lang w:val="en-US" w:eastAsia="zh-CN"/>
              </w:rPr>
            </w:pPr>
            <w:r>
              <w:rPr>
                <w:rFonts w:hint="eastAsia" w:ascii="仿宋_GB2312" w:eastAsia="仿宋_GB2312" w:cs="Times New Roman" w:hAnsiTheme="minorEastAsia"/>
                <w:b/>
                <w:bCs/>
                <w:sz w:val="20"/>
                <w:highlight w:val="none"/>
                <w:u w:val="none"/>
                <w:lang w:val="en-US" w:eastAsia="zh-CN"/>
              </w:rPr>
              <w:t>2026年10月27日9:00至2026年11月2日16:59</w:t>
            </w:r>
          </w:p>
          <w:p w14:paraId="38E53068">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674EEE0C">
        <w:tblPrEx>
          <w:tblCellMar>
            <w:top w:w="0" w:type="dxa"/>
            <w:left w:w="0" w:type="dxa"/>
            <w:bottom w:w="0" w:type="dxa"/>
            <w:right w:w="0" w:type="dxa"/>
          </w:tblCellMar>
        </w:tblPrEx>
        <w:trPr>
          <w:trHeight w:val="90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EE87CA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成立日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0CF48AC5">
            <w:pPr>
              <w:pStyle w:val="11"/>
              <w:ind w:left="11" w:leftChars="0" w:right="89" w:rightChars="0" w:firstLine="93" w:firstLineChars="0"/>
              <w:jc w:val="center"/>
              <w:rPr>
                <w:rFonts w:hint="eastAsia"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b/>
                <w:bCs/>
                <w:sz w:val="20"/>
                <w:u w:val="none"/>
                <w:lang w:val="en-US" w:eastAsia="zh-CN"/>
              </w:rPr>
              <w:t>2026年11月3</w:t>
            </w:r>
            <w:r>
              <w:rPr>
                <w:rFonts w:hint="eastAsia" w:ascii="仿宋_GB2312" w:hAnsi="Times New Roman" w:eastAsia="仿宋_GB2312" w:cs="Times New Roman"/>
                <w:sz w:val="20"/>
                <w:szCs w:val="18"/>
                <w:highlight w:val="none"/>
                <w:lang w:eastAsia="zh-CN"/>
              </w:rPr>
              <w:t>日</w:t>
            </w:r>
          </w:p>
          <w:p w14:paraId="3E8743C5">
            <w:pPr>
              <w:pStyle w:val="11"/>
              <w:ind w:left="11"/>
              <w:jc w:val="left"/>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若产品募集期缩短或延长，产品成立日以公告为准。</w:t>
            </w:r>
          </w:p>
        </w:tc>
      </w:tr>
      <w:tr w14:paraId="193300E0">
        <w:tblPrEx>
          <w:tblCellMar>
            <w:top w:w="0" w:type="dxa"/>
            <w:left w:w="0" w:type="dxa"/>
            <w:bottom w:w="0" w:type="dxa"/>
            <w:right w:w="0" w:type="dxa"/>
          </w:tblCellMar>
        </w:tblPrEx>
        <w:trPr>
          <w:trHeight w:val="1174"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7E1C9E5">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产品期限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2E02F72">
            <w:pPr>
              <w:pStyle w:val="11"/>
              <w:ind w:right="29"/>
              <w:jc w:val="both"/>
              <w:rPr>
                <w:rFonts w:ascii="仿宋_GB2312" w:eastAsia="仿宋_GB2312" w:cs="Times New Roman" w:hAnsiTheme="minorEastAsia"/>
                <w:b/>
                <w:bCs/>
                <w:sz w:val="20"/>
                <w:szCs w:val="18"/>
                <w:highlight w:val="none"/>
                <w:lang w:eastAsia="zh-CN"/>
              </w:rPr>
            </w:pPr>
            <w:r>
              <w:rPr>
                <w:rFonts w:hint="eastAsia" w:ascii="仿宋_GB2312" w:eastAsia="仿宋_GB2312" w:cs="Times New Roman" w:hAnsiTheme="minorEastAsia"/>
                <w:b/>
                <w:bCs/>
                <w:sz w:val="20"/>
                <w:szCs w:val="18"/>
                <w:highlight w:val="none"/>
                <w:lang w:eastAsia="zh-CN"/>
              </w:rPr>
              <w:t>1.</w:t>
            </w:r>
            <w:r>
              <w:rPr>
                <w:rFonts w:hint="eastAsia" w:ascii="仿宋_GB2312" w:eastAsia="仿宋_GB2312" w:cs="Times New Roman" w:hAnsiTheme="minorEastAsia"/>
                <w:b/>
                <w:bCs/>
                <w:sz w:val="20"/>
                <w:szCs w:val="18"/>
                <w:highlight w:val="none"/>
                <w:lang w:val="en-US" w:eastAsia="zh-CN"/>
              </w:rPr>
              <w:t>本期产品期限</w:t>
            </w:r>
            <w:r>
              <w:rPr>
                <w:rFonts w:hint="eastAsia" w:ascii="仿宋_GB2312" w:eastAsia="仿宋_GB2312" w:cs="Times New Roman" w:hAnsiTheme="minorEastAsia"/>
                <w:b/>
                <w:bCs/>
                <w:sz w:val="20"/>
                <w:szCs w:val="18"/>
                <w:highlight w:val="none"/>
                <w:u w:val="none"/>
                <w:lang w:val="en-US" w:eastAsia="zh-CN"/>
              </w:rPr>
              <w:t>365</w:t>
            </w:r>
            <w:r>
              <w:rPr>
                <w:rFonts w:hint="eastAsia" w:ascii="仿宋_GB2312" w:eastAsia="仿宋_GB2312" w:cs="Times New Roman" w:hAnsiTheme="minorEastAsia"/>
                <w:b/>
                <w:bCs/>
                <w:sz w:val="20"/>
                <w:szCs w:val="18"/>
                <w:highlight w:val="none"/>
                <w:lang w:val="en-US" w:eastAsia="zh-CN"/>
              </w:rPr>
              <w:t>天</w:t>
            </w:r>
            <w:r>
              <w:rPr>
                <w:rFonts w:hint="eastAsia" w:ascii="仿宋_GB2312" w:eastAsia="仿宋_GB2312" w:cs="Times New Roman" w:hAnsiTheme="minorEastAsia"/>
                <w:b/>
                <w:bCs/>
                <w:sz w:val="20"/>
                <w:szCs w:val="18"/>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75544C7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2.贵阳农商银行有权提前终止产品。贵阳农商银行提前终止产品时，将至少于提前终止日之前</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lang w:eastAsia="zh-CN"/>
              </w:rPr>
              <w:t>个工作日</w:t>
            </w:r>
            <w:r>
              <w:rPr>
                <w:rFonts w:hint="eastAsia" w:ascii="仿宋_GB2312" w:eastAsia="仿宋_GB2312" w:cs="Times New Roman" w:hAnsiTheme="minorEastAsia"/>
                <w:sz w:val="20"/>
                <w:szCs w:val="18"/>
                <w:highlight w:val="none"/>
                <w:lang w:val="en-US" w:eastAsia="zh-CN"/>
              </w:rPr>
              <w:t>内通过贵阳农商银行官方网站等渠道公布</w:t>
            </w:r>
            <w:r>
              <w:rPr>
                <w:rFonts w:hint="eastAsia" w:ascii="仿宋_GB2312" w:eastAsia="仿宋_GB2312" w:cs="Times New Roman" w:hAnsiTheme="minorEastAsia"/>
                <w:sz w:val="20"/>
                <w:szCs w:val="18"/>
                <w:highlight w:val="none"/>
                <w:lang w:eastAsia="zh-CN"/>
              </w:rPr>
              <w:t>。</w:t>
            </w:r>
          </w:p>
        </w:tc>
      </w:tr>
      <w:tr w14:paraId="07FD8EA4">
        <w:tblPrEx>
          <w:tblCellMar>
            <w:top w:w="0" w:type="dxa"/>
            <w:left w:w="0" w:type="dxa"/>
            <w:bottom w:w="0" w:type="dxa"/>
            <w:right w:w="0" w:type="dxa"/>
          </w:tblCellMar>
        </w:tblPrEx>
        <w:trPr>
          <w:trHeight w:val="133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89AF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产品到期日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7144C39">
            <w:pPr>
              <w:pStyle w:val="11"/>
              <w:numPr>
                <w:ilvl w:val="-1"/>
                <w:numId w:val="0"/>
              </w:numPr>
              <w:ind w:left="0"/>
              <w:jc w:val="both"/>
              <w:rPr>
                <w:rFonts w:hint="eastAsia" w:ascii="仿宋_GB2312" w:hAnsi="Times New Roman" w:eastAsia="仿宋_GB2312" w:cs="Times New Roman"/>
                <w:sz w:val="20"/>
                <w:szCs w:val="18"/>
                <w:highlight w:val="none"/>
                <w:lang w:eastAsia="zh-CN"/>
              </w:rPr>
            </w:pPr>
            <w:r>
              <w:rPr>
                <w:rFonts w:hint="eastAsia" w:ascii="仿宋_GB2312" w:hAnsi="Times New Roman" w:eastAsia="仿宋_GB2312" w:cs="Times New Roman"/>
                <w:sz w:val="20"/>
                <w:szCs w:val="18"/>
                <w:highlight w:val="none"/>
                <w:u w:val="none"/>
                <w:lang w:val="en-US" w:eastAsia="zh-CN"/>
              </w:rPr>
              <w:t>1.</w:t>
            </w:r>
            <w:r>
              <w:rPr>
                <w:rFonts w:hint="eastAsia" w:ascii="仿宋_GB2312" w:eastAsia="仿宋_GB2312" w:cs="Times New Roman" w:hAnsiTheme="minorEastAsia"/>
                <w:b/>
                <w:bCs/>
                <w:sz w:val="20"/>
                <w:u w:val="none"/>
                <w:lang w:val="en-US" w:eastAsia="zh-CN"/>
              </w:rPr>
              <w:t>2027年11月3</w:t>
            </w:r>
            <w:r>
              <w:rPr>
                <w:rFonts w:hint="eastAsia" w:ascii="仿宋_GB2312" w:hAnsi="Times New Roman" w:eastAsia="仿宋_GB2312" w:cs="Times New Roman"/>
                <w:sz w:val="20"/>
                <w:szCs w:val="18"/>
                <w:highlight w:val="none"/>
                <w:lang w:eastAsia="zh-CN"/>
              </w:rPr>
              <w:t>日</w:t>
            </w:r>
            <w:r>
              <w:rPr>
                <w:rFonts w:hint="eastAsia"/>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w:t>
            </w:r>
            <w:r>
              <w:rPr>
                <w:rFonts w:hint="eastAsia" w:ascii="仿宋_GB2312" w:eastAsia="仿宋_GB2312" w:cs="Times New Roman" w:hAnsiTheme="minorEastAsia"/>
                <w:b/>
                <w:bCs/>
                <w:sz w:val="20"/>
                <w:szCs w:val="18"/>
                <w:highlight w:val="none"/>
                <w:lang w:val="en-US" w:eastAsia="zh-CN"/>
              </w:rPr>
              <w:t>到期日</w:t>
            </w:r>
            <w:r>
              <w:rPr>
                <w:rFonts w:hint="eastAsia" w:ascii="仿宋_GB2312" w:eastAsia="仿宋_GB2312" w:cs="Times New Roman" w:hAnsiTheme="minorEastAsia"/>
                <w:b/>
                <w:bCs/>
                <w:sz w:val="20"/>
                <w:szCs w:val="18"/>
                <w:highlight w:val="none"/>
                <w:lang w:eastAsia="zh-CN"/>
              </w:rPr>
              <w:t>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1C5AC30E">
            <w:pPr>
              <w:pStyle w:val="11"/>
              <w:numPr>
                <w:ilvl w:val="-1"/>
                <w:numId w:val="0"/>
              </w:numPr>
              <w:ind w:left="0"/>
              <w:jc w:val="both"/>
              <w:rPr>
                <w:rFonts w:hint="default" w:ascii="仿宋_GB2312" w:hAnsi="Times New Roman" w:eastAsia="仿宋_GB2312" w:cs="Times New Roman"/>
                <w:sz w:val="20"/>
                <w:szCs w:val="18"/>
                <w:highlight w:val="none"/>
                <w:lang w:val="en-US" w:eastAsia="zh-CN"/>
              </w:rPr>
            </w:pPr>
            <w:r>
              <w:rPr>
                <w:rFonts w:hint="eastAsia" w:ascii="仿宋_GB2312" w:eastAsia="仿宋_GB2312" w:cs="Times New Roman" w:hAnsiTheme="minorEastAsia"/>
                <w:b w:val="0"/>
                <w:bCs w:val="0"/>
                <w:sz w:val="20"/>
                <w:szCs w:val="18"/>
                <w:highlight w:val="none"/>
                <w:lang w:val="en-US" w:eastAsia="zh-CN"/>
              </w:rPr>
              <w:t>2.</w:t>
            </w:r>
            <w:r>
              <w:rPr>
                <w:rFonts w:hint="eastAsia" w:ascii="仿宋_GB2312" w:eastAsia="仿宋_GB2312" w:cs="Times New Roman" w:hAnsiTheme="minorEastAsia"/>
                <w:sz w:val="20"/>
                <w:szCs w:val="18"/>
                <w:highlight w:val="none"/>
                <w:lang w:val="en-US" w:eastAsia="zh-CN"/>
              </w:rPr>
              <w:t>如产品到期日遇非工作日，则产品到期日顺延至下一个工作日。</w:t>
            </w:r>
          </w:p>
          <w:p w14:paraId="2A6FA338">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val="0"/>
                <w:bCs w:val="0"/>
                <w:sz w:val="20"/>
                <w:szCs w:val="18"/>
                <w:highlight w:val="none"/>
                <w:lang w:val="en-US" w:eastAsia="zh-CN"/>
              </w:rPr>
              <w:t>3.</w:t>
            </w:r>
            <w:r>
              <w:rPr>
                <w:rFonts w:hint="eastAsia" w:ascii="仿宋_GB2312" w:eastAsia="仿宋_GB2312" w:cs="Times New Roman" w:hAnsiTheme="minorEastAsia"/>
                <w:sz w:val="20"/>
                <w:szCs w:val="18"/>
                <w:highlight w:val="none"/>
                <w:lang w:val="en-US" w:eastAsia="zh-CN"/>
              </w:rPr>
              <w:t>到期日至资金到账日之间不计息。</w:t>
            </w:r>
          </w:p>
        </w:tc>
      </w:tr>
      <w:tr w14:paraId="247A390F">
        <w:tblPrEx>
          <w:tblCellMar>
            <w:top w:w="0" w:type="dxa"/>
            <w:left w:w="0" w:type="dxa"/>
            <w:bottom w:w="0" w:type="dxa"/>
            <w:right w:w="0" w:type="dxa"/>
          </w:tblCellMar>
        </w:tblPrEx>
        <w:trPr>
          <w:trHeight w:val="68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27010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资金到账日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D808CC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产品到期日或提前终止日后</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rPr>
              <w:t>个工作日内。如产品到期日或提前终止日遇非工作日顺延至下一个工作日</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highlight w:val="none"/>
                <w:lang w:val="en-US" w:eastAsia="zh-CN"/>
              </w:rPr>
              <w:t>资金到账日相应顺延</w:t>
            </w:r>
            <w:r>
              <w:rPr>
                <w:rFonts w:hint="eastAsia" w:ascii="仿宋_GB2312" w:eastAsia="仿宋_GB2312" w:cs="Times New Roman" w:hAnsiTheme="minorEastAsia"/>
                <w:sz w:val="20"/>
                <w:szCs w:val="18"/>
                <w:highlight w:val="none"/>
              </w:rPr>
              <w:t>。</w:t>
            </w:r>
          </w:p>
        </w:tc>
      </w:tr>
      <w:tr w14:paraId="0EB39382">
        <w:tblPrEx>
          <w:tblCellMar>
            <w:top w:w="0" w:type="dxa"/>
            <w:left w:w="0" w:type="dxa"/>
            <w:bottom w:w="0" w:type="dxa"/>
            <w:right w:w="0" w:type="dxa"/>
          </w:tblCellMar>
        </w:tblPrEx>
        <w:trPr>
          <w:trHeight w:val="105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52A429D">
            <w:pPr>
              <w:pStyle w:val="11"/>
              <w:ind w:right="7"/>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税款</w:t>
            </w:r>
          </w:p>
        </w:tc>
        <w:tc>
          <w:tcPr>
            <w:tcW w:w="7176" w:type="dxa"/>
            <w:tcBorders>
              <w:top w:val="single" w:color="000000" w:sz="4" w:space="0"/>
              <w:left w:val="single" w:color="000000" w:sz="4" w:space="0"/>
              <w:bottom w:val="single" w:color="000000" w:sz="4" w:space="0"/>
              <w:right w:val="single" w:color="000000" w:sz="12" w:space="0"/>
            </w:tcBorders>
            <w:vAlign w:val="center"/>
          </w:tcPr>
          <w:p w14:paraId="14226127">
            <w:pPr>
              <w:pStyle w:val="11"/>
              <w:ind w:left="0" w:right="41" w:firstLine="0" w:firstLineChars="0"/>
              <w:jc w:val="both"/>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6F960652">
        <w:tblPrEx>
          <w:tblCellMar>
            <w:top w:w="0" w:type="dxa"/>
            <w:left w:w="0" w:type="dxa"/>
            <w:bottom w:w="0" w:type="dxa"/>
            <w:right w:w="0" w:type="dxa"/>
          </w:tblCellMar>
        </w:tblPrEx>
        <w:trPr>
          <w:trHeight w:val="261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EE4588">
            <w:pPr>
              <w:pStyle w:val="11"/>
              <w:ind w:right="7"/>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最不利情况示例</w:t>
            </w:r>
          </w:p>
        </w:tc>
        <w:tc>
          <w:tcPr>
            <w:tcW w:w="7176" w:type="dxa"/>
            <w:tcBorders>
              <w:top w:val="single" w:color="000000" w:sz="4" w:space="0"/>
              <w:left w:val="single" w:color="000000" w:sz="4" w:space="0"/>
              <w:bottom w:val="single" w:color="000000" w:sz="4" w:space="0"/>
              <w:right w:val="single" w:color="000000" w:sz="12" w:space="0"/>
            </w:tcBorders>
            <w:vAlign w:val="center"/>
          </w:tcPr>
          <w:p w14:paraId="0892BEFB">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8DDF454">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6FD3D78E">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4FEE35A6">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76E57D2D">
            <w:pPr>
              <w:pStyle w:val="11"/>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3F672C5B">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411E693">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10C2E691">
            <w:pPr>
              <w:pStyle w:val="11"/>
              <w:numPr>
                <w:ilvl w:val="-1"/>
                <w:numId w:val="0"/>
              </w:numPr>
              <w:ind w:left="0" w:right="41" w:firstLine="0" w:firstLineChars="0"/>
              <w:jc w:val="both"/>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21F8B735">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四</w:t>
      </w:r>
      <w:r>
        <w:rPr>
          <w:rFonts w:ascii="Times New Roman" w:hAnsi="黑体" w:eastAsia="黑体" w:cs="Times New Roman"/>
          <w:sz w:val="24"/>
          <w:szCs w:val="24"/>
          <w:highlight w:val="none"/>
          <w:lang w:eastAsia="zh-CN"/>
        </w:rPr>
        <w:t>、投资管理</w:t>
      </w:r>
    </w:p>
    <w:p w14:paraId="01959993">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（一）投资范围</w:t>
      </w:r>
    </w:p>
    <w:p w14:paraId="1700A2B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本产品募集资金投资于现金类资产、货币市场工具、货币市场基金、标准化固定收益类资产和其他符合监管要求的资产，具体如下：</w:t>
      </w:r>
    </w:p>
    <w:p w14:paraId="470B511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1.现金类资产：包括但不限于活期存款、定期存款、协议存款等；</w:t>
      </w:r>
    </w:p>
    <w:p w14:paraId="39B42D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2.货币类资产：</w:t>
      </w:r>
      <w:r>
        <w:rPr>
          <w:rFonts w:hint="eastAsia" w:ascii="仿宋_GB2312" w:eastAsia="仿宋_GB2312" w:cs="Times New Roman" w:hAnsiTheme="minorEastAsia"/>
          <w:sz w:val="20"/>
          <w:highlight w:val="none"/>
          <w:lang w:eastAsia="zh-CN"/>
        </w:rPr>
        <w:t>同业存单（发行人主体信用评级</w:t>
      </w:r>
      <w:r>
        <w:rPr>
          <w:rFonts w:ascii="仿宋_GB2312" w:eastAsia="仿宋_GB2312" w:cs="Times New Roman" w:hAnsiTheme="minorEastAsia"/>
          <w:sz w:val="20"/>
          <w:highlight w:val="none"/>
          <w:lang w:eastAsia="zh-CN"/>
        </w:rPr>
        <w:t>AA及以上）、期限在一年以内（含一年）的债券回购、货币市场基金；</w:t>
      </w:r>
    </w:p>
    <w:p w14:paraId="0B38CE2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3.标准化固定收益类资产：包括但不限于国债、中央银行票据、同业存单、金融债、企业债、公司债、中期票据、短期融资券、超短期融资券、定向债务融资工具（PPN）、资产支持证券（ABS）、资产支持票据（ABN）</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公募证券投资基金</w:t>
      </w:r>
      <w:r>
        <w:rPr>
          <w:rFonts w:ascii="仿宋_GB2312" w:eastAsia="仿宋_GB2312" w:cs="Times New Roman" w:hAnsiTheme="minorEastAsia"/>
          <w:sz w:val="20"/>
          <w:highlight w:val="none"/>
          <w:lang w:eastAsia="zh-CN"/>
        </w:rPr>
        <w:t>等；</w:t>
      </w:r>
    </w:p>
    <w:p w14:paraId="6A40B1C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4.符合前述投向的信托计划、资产管理计划</w:t>
      </w:r>
      <w:r>
        <w:rPr>
          <w:rFonts w:hint="eastAsia" w:ascii="仿宋_GB2312" w:eastAsia="仿宋_GB2312" w:cs="Times New Roman" w:hAnsiTheme="minorEastAsia"/>
          <w:sz w:val="20"/>
          <w:highlight w:val="none"/>
          <w:lang w:eastAsia="zh-CN"/>
        </w:rPr>
        <w:t>；</w:t>
      </w:r>
    </w:p>
    <w:p w14:paraId="10FA91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5.其他符合监管要求的资产。</w:t>
      </w:r>
    </w:p>
    <w:p w14:paraId="528B8899">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各类资产的投资比例为：现金类资产、货币类资产、标准化固定收益类资产</w:t>
      </w:r>
      <w:r>
        <w:rPr>
          <w:rFonts w:hint="eastAsia" w:ascii="仿宋_GB2312" w:eastAsia="仿宋_GB2312" w:cs="Times New Roman" w:hAnsiTheme="minorEastAsia"/>
          <w:sz w:val="20"/>
          <w:highlight w:val="none"/>
          <w:lang w:eastAsia="zh-CN"/>
        </w:rPr>
        <w:t>及</w:t>
      </w:r>
      <w:r>
        <w:rPr>
          <w:rFonts w:ascii="仿宋_GB2312" w:eastAsia="仿宋_GB2312" w:cs="Times New Roman" w:hAnsiTheme="minorEastAsia"/>
          <w:sz w:val="20"/>
          <w:highlight w:val="none"/>
          <w:lang w:eastAsia="zh-CN"/>
        </w:rPr>
        <w:t>符合前述投向的信托计划、资产管理计划的比例为80%-100%；其他符合监管要求的资产0%-20%</w:t>
      </w:r>
      <w:r>
        <w:rPr>
          <w:rFonts w:hint="eastAsia" w:ascii="仿宋_GB2312" w:eastAsia="仿宋_GB2312" w:cs="Times New Roman" w:hAnsiTheme="minorEastAsia"/>
          <w:sz w:val="20"/>
          <w:highlight w:val="none"/>
          <w:lang w:eastAsia="zh-CN"/>
        </w:rPr>
        <w:t>。</w:t>
      </w:r>
    </w:p>
    <w:p w14:paraId="5A2A228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贵阳农商银行秉承价值投资的理念，通过资产组合管理实现本产品安全性、流动性与收益性的平衡。</w:t>
      </w:r>
    </w:p>
    <w:p w14:paraId="0A7B1808">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（二）产品管理人、产品托管人、理财投资合作机构的基本信息及主要职责</w:t>
      </w:r>
    </w:p>
    <w:p w14:paraId="0290844A">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1.产品管理人：贵阳农村商业银行股份有限公司</w:t>
      </w:r>
    </w:p>
    <w:p w14:paraId="07D50C3A">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主要职责：产品管理人负责</w:t>
      </w:r>
      <w:r>
        <w:rPr>
          <w:rFonts w:hint="eastAsia" w:ascii="仿宋_GB2312" w:eastAsia="仿宋_GB2312" w:cs="Times New Roman" w:hAnsiTheme="minorEastAsia"/>
          <w:kern w:val="0"/>
          <w:sz w:val="20"/>
          <w:szCs w:val="18"/>
          <w:highlight w:val="none"/>
          <w:lang w:val="en-US" w:eastAsia="zh-CN" w:bidi="ar-SA"/>
        </w:rPr>
        <w:t>理财产品宣传推广</w:t>
      </w:r>
      <w:r>
        <w:rPr>
          <w:rFonts w:hint="eastAsia" w:ascii="仿宋_GB2312" w:hAnsi="仿宋_GB2312" w:eastAsia="仿宋_GB2312" w:cs="仿宋_GB2312"/>
          <w:color w:val="auto"/>
          <w:kern w:val="0"/>
          <w:sz w:val="20"/>
          <w:szCs w:val="20"/>
          <w:highlight w:val="none"/>
          <w:lang w:val="en-US" w:eastAsia="zh-CN" w:bidi="ar-SA"/>
        </w:rPr>
        <w:t>；</w:t>
      </w:r>
      <w:r>
        <w:rPr>
          <w:rFonts w:hint="eastAsia" w:ascii="仿宋_GB2312" w:eastAsia="仿宋_GB2312" w:cs="Times New Roman" w:hAnsiTheme="minorEastAsia"/>
          <w:kern w:val="0"/>
          <w:sz w:val="20"/>
          <w:szCs w:val="18"/>
          <w:highlight w:val="none"/>
          <w:lang w:val="en-US" w:eastAsia="zh-CN" w:bidi="ar-SA"/>
        </w:rPr>
        <w:t>投资者风险承受能力评估和投资者适当性管理；信息披露；对投资者提出的理财产品份额认购申请进行管理；资产估值；与投资者签订理财产品销售文件；</w:t>
      </w:r>
      <w:r>
        <w:rPr>
          <w:rFonts w:hint="eastAsia" w:ascii="仿宋_GB2312" w:eastAsia="仿宋_GB2312" w:cs="Times New Roman" w:hAnsiTheme="minorEastAsia"/>
          <w:sz w:val="20"/>
          <w:highlight w:val="none"/>
          <w:lang w:val="en-US" w:eastAsia="zh-CN"/>
        </w:rPr>
        <w:t>接受投资者的委托和授权；按照本产品说明书约定的投资范围进行投资和资产管理；代表理财产品签订投资和资产管理过程中涉及到的协议、合同等文本。</w:t>
      </w:r>
    </w:p>
    <w:p w14:paraId="6F2B25D2">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联系地址：贵州省贵阳市观山湖区长岭北路会展商务区TB-1贵阳农村商业银行股份有限公司大楼</w:t>
      </w:r>
    </w:p>
    <w:p w14:paraId="709A05E9">
      <w:pPr>
        <w:pStyle w:val="3"/>
        <w:numPr>
          <w:ilvl w:val="-1"/>
          <w:numId w:val="0"/>
        </w:numPr>
        <w:spacing w:before="0"/>
        <w:ind w:left="0" w:leftChars="0" w:right="151"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联系方式：0851-96688</w:t>
      </w:r>
    </w:p>
    <w:p w14:paraId="7D79AF01">
      <w:pPr>
        <w:pStyle w:val="3"/>
        <w:numPr>
          <w:ilvl w:val="-1"/>
          <w:numId w:val="0"/>
        </w:numPr>
        <w:spacing w:before="0" w:beforeLines="0" w:after="0" w:afterLines="0" w:line="240" w:lineRule="auto"/>
        <w:ind w:left="0" w:leftChars="0" w:right="153" w:firstLine="402" w:firstLineChars="200"/>
        <w:jc w:val="both"/>
        <w:rPr>
          <w:rFonts w:hint="default" w:ascii="仿宋_GB2312" w:eastAsia="仿宋_GB2312" w:cs="Times New Roman" w:hAnsiTheme="minorEastAsia"/>
          <w:b/>
          <w:color w:val="auto"/>
          <w:sz w:val="20"/>
          <w:highlight w:val="none"/>
          <w:u w:val="single"/>
          <w:lang w:val="en-US" w:eastAsia="zh-CN"/>
        </w:rPr>
      </w:pPr>
      <w:r>
        <w:rPr>
          <w:rFonts w:hint="eastAsia" w:ascii="仿宋_GB2312" w:eastAsia="仿宋_GB2312" w:cs="Times New Roman" w:hAnsiTheme="minorEastAsia"/>
          <w:b/>
          <w:sz w:val="20"/>
          <w:highlight w:val="none"/>
          <w:lang w:val="en-US" w:eastAsia="zh-CN"/>
        </w:rPr>
        <w:t>2.产品托管人：</w:t>
      </w:r>
      <w:r>
        <w:rPr>
          <w:rFonts w:hint="eastAsia" w:ascii="仿宋_GB2312" w:eastAsia="仿宋_GB2312" w:cs="Times New Roman" w:hAnsiTheme="minorEastAsia"/>
          <w:b/>
          <w:color w:val="auto"/>
          <w:sz w:val="20"/>
          <w:highlight w:val="none"/>
          <w:lang w:val="en-US" w:eastAsia="zh-CN"/>
        </w:rPr>
        <w:t>中</w:t>
      </w:r>
      <w:r>
        <w:rPr>
          <w:rFonts w:hint="eastAsia" w:ascii="仿宋_GB2312" w:eastAsia="仿宋_GB2312" w:cs="Times New Roman" w:hAnsiTheme="minorEastAsia"/>
          <w:b/>
          <w:color w:val="auto"/>
          <w:sz w:val="20"/>
          <w:highlight w:val="none"/>
          <w:u w:val="none"/>
          <w:lang w:val="en-US" w:eastAsia="zh-CN"/>
        </w:rPr>
        <w:t>国工商银行股份有限公司</w:t>
      </w:r>
    </w:p>
    <w:p w14:paraId="5860607F">
      <w:pPr>
        <w:pStyle w:val="3"/>
        <w:numPr>
          <w:ilvl w:val="0"/>
          <w:numId w:val="0"/>
        </w:numPr>
        <w:spacing w:before="19"/>
        <w:ind w:right="153"/>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sz w:val="20"/>
          <w:highlight w:val="none"/>
          <w:lang w:eastAsia="zh-CN"/>
        </w:rPr>
        <w:t>产品托管人</w:t>
      </w:r>
      <w:r>
        <w:rPr>
          <w:rFonts w:hint="eastAsia" w:ascii="仿宋_GB2312" w:eastAsia="仿宋_GB2312" w:cs="Times New Roman" w:hAnsiTheme="minorEastAsia"/>
          <w:sz w:val="20"/>
          <w:highlight w:val="none"/>
          <w:lang w:val="en-US" w:eastAsia="zh-CN"/>
        </w:rPr>
        <w:t>主要负责依法依规提供账户开立、财产保管、清算交割、会计核算、资产估值复核、信息披露、投资监督以及托管合同约定的相关服务。</w:t>
      </w:r>
    </w:p>
    <w:p w14:paraId="2CB6C072">
      <w:pPr>
        <w:pStyle w:val="3"/>
        <w:numPr>
          <w:ilvl w:val="0"/>
          <w:numId w:val="0"/>
        </w:numPr>
        <w:spacing w:before="19"/>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 xml:space="preserve">联系地址：广州市越秀区大沙头路29号工银大厦                                                                    </w:t>
      </w:r>
    </w:p>
    <w:p w14:paraId="3012D698">
      <w:pPr>
        <w:pStyle w:val="3"/>
        <w:numPr>
          <w:ilvl w:val="0"/>
          <w:numId w:val="0"/>
        </w:numPr>
        <w:spacing w:before="19"/>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联系方式：020-83786666</w:t>
      </w:r>
    </w:p>
    <w:p w14:paraId="3EF8522C">
      <w:pPr>
        <w:pStyle w:val="3"/>
        <w:numPr>
          <w:ilvl w:val="-1"/>
          <w:numId w:val="0"/>
        </w:numPr>
        <w:ind w:left="0" w:leftChars="0" w:right="151" w:firstLine="402" w:firstLineChars="200"/>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sz w:val="20"/>
          <w:highlight w:val="none"/>
          <w:lang w:val="en-US" w:eastAsia="zh-CN"/>
        </w:rPr>
        <w:t>3.理财投资合作机构</w:t>
      </w:r>
    </w:p>
    <w:p w14:paraId="7DC9C42B">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highlight w:val="none"/>
          <w:lang w:val="en-US" w:eastAsia="zh-CN" w:bidi="ar-SA"/>
        </w:rPr>
      </w:pPr>
      <w:r>
        <w:rPr>
          <w:rFonts w:hint="eastAsia" w:ascii="仿宋_GB2312" w:eastAsia="仿宋_GB2312" w:cs="Times New Roman" w:hAnsiTheme="minorEastAsia"/>
          <w:sz w:val="20"/>
          <w:highlight w:val="none"/>
          <w:lang w:val="en-US" w:eastAsia="zh-CN"/>
        </w:rPr>
        <w:t>理财投资合作机构</w:t>
      </w:r>
      <w:r>
        <w:rPr>
          <w:rFonts w:hint="eastAsia" w:ascii="仿宋_GB2312" w:eastAsia="仿宋_GB2312" w:cs="Times New Roman" w:hAnsiTheme="minorEastAsia"/>
          <w:kern w:val="0"/>
          <w:sz w:val="20"/>
          <w:szCs w:val="18"/>
          <w:highlight w:val="none"/>
          <w:lang w:val="en-US" w:eastAsia="zh-CN" w:bidi="ar-SA"/>
        </w:rPr>
        <w:t>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厦门国际信托有限公司、鑫沅资产管理有限公司、方正富邦基金管理有限公司</w:t>
      </w:r>
      <w:r>
        <w:rPr>
          <w:rFonts w:hint="eastAsia" w:ascii="仿宋_GB2312" w:eastAsia="仿宋_GB2312" w:cs="Times New Roman" w:hAnsiTheme="minorEastAsia"/>
          <w:kern w:val="0"/>
          <w:sz w:val="20"/>
          <w:szCs w:val="18"/>
          <w:highlight w:val="none"/>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0B1FB4CF">
      <w:pPr>
        <w:pStyle w:val="3"/>
        <w:numPr>
          <w:ilvl w:val="0"/>
          <w:numId w:val="0"/>
        </w:numPr>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kern w:val="0"/>
          <w:sz w:val="20"/>
          <w:szCs w:val="18"/>
          <w:highlight w:val="none"/>
          <w:lang w:val="en-US" w:eastAsia="zh-CN" w:bidi="ar-SA"/>
        </w:rPr>
        <w:t>理财投资合作机构为进行受托资金的投资管理，根据合同约定从事受托投资或提供投资顾问等服务，具体职责以投资管理人与投资合作机构签署的合同为准。</w:t>
      </w:r>
    </w:p>
    <w:p w14:paraId="2CD6476F">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五</w:t>
      </w:r>
      <w:r>
        <w:rPr>
          <w:rFonts w:ascii="Times New Roman" w:hAnsi="黑体" w:eastAsia="黑体" w:cs="Times New Roman"/>
          <w:sz w:val="24"/>
          <w:szCs w:val="24"/>
          <w:highlight w:val="none"/>
          <w:lang w:eastAsia="zh-CN"/>
        </w:rPr>
        <w:t>、产品运作说明</w:t>
      </w:r>
    </w:p>
    <w:p w14:paraId="54D998AA">
      <w:pPr>
        <w:pStyle w:val="3"/>
        <w:spacing w:before="0"/>
        <w:ind w:left="0" w:right="153"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（一）存续期产品规模</w:t>
      </w:r>
    </w:p>
    <w:p w14:paraId="0029EB3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1.本期产品规模上限</w:t>
      </w:r>
      <w:r>
        <w:rPr>
          <w:rFonts w:hint="eastAsia" w:ascii="仿宋_GB2312" w:hAnsi="仿宋_GB2312" w:eastAsia="仿宋_GB2312" w:cs="仿宋_GB2312"/>
          <w:sz w:val="20"/>
          <w:szCs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u w:val="none"/>
          <w:lang w:val="en-US" w:eastAsia="zh-CN"/>
        </w:rPr>
        <w:t>0000</w:t>
      </w:r>
      <w:r>
        <w:rPr>
          <w:rFonts w:hint="eastAsia" w:ascii="仿宋_GB2312" w:eastAsia="仿宋_GB2312" w:cs="Times New Roman" w:hAnsiTheme="minorEastAsia"/>
          <w:b/>
          <w:bCs/>
          <w:sz w:val="20"/>
          <w:highlight w:val="none"/>
          <w:u w:val="none"/>
          <w:lang w:val="en-US" w:eastAsia="zh-CN"/>
        </w:rPr>
        <w:t>万元</w:t>
      </w:r>
      <w:r>
        <w:rPr>
          <w:rFonts w:ascii="仿宋_GB2312" w:eastAsia="仿宋_GB2312" w:cs="Times New Roman" w:hAnsiTheme="minorEastAsia"/>
          <w:sz w:val="20"/>
          <w:highlight w:val="none"/>
          <w:lang w:eastAsia="zh-CN"/>
        </w:rPr>
        <w:t>。在本期产品募集期内，对本期产品的认购</w:t>
      </w:r>
      <w:r>
        <w:rPr>
          <w:rFonts w:hint="eastAsia" w:ascii="仿宋_GB2312" w:hAnsi="仿宋_GB2312" w:eastAsia="仿宋_GB2312" w:cs="仿宋_GB2312"/>
          <w:sz w:val="20"/>
          <w:szCs w:val="20"/>
          <w:highlight w:val="none"/>
          <w:lang w:val="en-US" w:eastAsia="zh-CN"/>
        </w:rPr>
        <w:t>金额</w:t>
      </w:r>
      <w:r>
        <w:rPr>
          <w:rFonts w:ascii="仿宋_GB2312" w:eastAsia="仿宋_GB2312" w:cs="Times New Roman" w:hAnsiTheme="minorEastAsia"/>
          <w:sz w:val="20"/>
          <w:highlight w:val="none"/>
          <w:lang w:eastAsia="zh-CN"/>
        </w:rPr>
        <w:t>达到本期理财产品规模上限，则贵阳农商银行有权</w:t>
      </w:r>
      <w:r>
        <w:rPr>
          <w:rFonts w:hint="eastAsia" w:ascii="仿宋_GB2312" w:eastAsia="仿宋_GB2312" w:cs="Times New Roman" w:hAnsiTheme="minorEastAsia"/>
          <w:sz w:val="20"/>
          <w:highlight w:val="none"/>
          <w:lang w:eastAsia="zh-CN"/>
        </w:rPr>
        <w:t>自行决定是否即时</w:t>
      </w:r>
      <w:r>
        <w:rPr>
          <w:rFonts w:ascii="仿宋_GB2312" w:eastAsia="仿宋_GB2312" w:cs="Times New Roman" w:hAnsiTheme="minorEastAsia"/>
          <w:sz w:val="20"/>
          <w:highlight w:val="none"/>
          <w:lang w:eastAsia="zh-CN"/>
        </w:rPr>
        <w:t>停止本期产品的认购，已经认购成功的</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投资权益不受影响。</w:t>
      </w:r>
    </w:p>
    <w:p w14:paraId="57B1A906">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eastAsia="仿宋_GB2312" w:cs="Times New Roman" w:hAnsiTheme="minorEastAsia"/>
          <w:b/>
          <w:bCs/>
          <w:sz w:val="20"/>
          <w:szCs w:val="18"/>
          <w:highlight w:val="none"/>
          <w:u w:val="none"/>
          <w:lang w:val="en-US" w:eastAsia="zh-CN"/>
        </w:rPr>
        <w:t>1000</w:t>
      </w:r>
      <w:r>
        <w:rPr>
          <w:rFonts w:hint="default"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sz w:val="20"/>
          <w:highlight w:val="none"/>
          <w:lang w:eastAsia="zh-CN"/>
        </w:rPr>
        <w:t>元时，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54B390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ascii="仿宋_GB2312" w:eastAsia="仿宋_GB2312" w:cs="Times New Roman" w:hAnsiTheme="minorEastAsia"/>
          <w:sz w:val="20"/>
          <w:highlight w:val="none"/>
          <w:lang w:eastAsia="zh-CN"/>
        </w:rPr>
        <w:t>.贵阳农商银行可根据市场情况等调整产品规模上、下限，并至少于调整规模上下限之日之前</w:t>
      </w:r>
      <w:r>
        <w:rPr>
          <w:rFonts w:hint="eastAsia" w:ascii="仿宋_GB2312" w:eastAsia="仿宋_GB2312" w:cs="Times New Roman" w:hAnsiTheme="minorEastAsia"/>
          <w:sz w:val="20"/>
          <w:highlight w:val="none"/>
          <w:u w:val="none"/>
          <w:lang w:val="en-US" w:eastAsia="zh-CN"/>
        </w:rPr>
        <w:t>2</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40BF3AD2">
      <w:pPr>
        <w:pStyle w:val="3"/>
        <w:spacing w:before="0"/>
        <w:ind w:left="0" w:right="153" w:firstLine="402" w:firstLineChars="200"/>
        <w:jc w:val="both"/>
        <w:rPr>
          <w:rFonts w:hint="eastAsia" w:ascii="仿宋_GB2312" w:eastAsia="仿宋_GB2312" w:cs="Times New Roman" w:hAnsiTheme="minorEastAsia"/>
          <w:b/>
          <w:sz w:val="20"/>
          <w:highlight w:val="none"/>
          <w:lang w:eastAsia="zh-CN"/>
        </w:rPr>
      </w:pPr>
      <w:r>
        <w:rPr>
          <w:rFonts w:hint="eastAsia" w:ascii="仿宋_GB2312" w:eastAsia="仿宋_GB2312" w:cs="Times New Roman" w:hAnsiTheme="minorEastAsia"/>
          <w:b/>
          <w:sz w:val="20"/>
          <w:highlight w:val="none"/>
          <w:lang w:eastAsia="zh-CN"/>
        </w:rPr>
        <w:t>（二）认购/赎回</w:t>
      </w:r>
    </w:p>
    <w:p w14:paraId="0F0161E9">
      <w:pPr>
        <w:pStyle w:val="3"/>
        <w:spacing w:before="0"/>
        <w:ind w:left="0" w:right="153" w:firstLine="402" w:firstLineChars="200"/>
        <w:jc w:val="both"/>
        <w:rPr>
          <w:rFonts w:hint="eastAsia"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1.募集期</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highlight w:val="none"/>
          <w:lang w:eastAsia="zh-CN"/>
        </w:rPr>
        <w:t>，投资者认购本产品，应提前将认购资金存入投资者认购账户，认购</w:t>
      </w:r>
      <w:r>
        <w:rPr>
          <w:rFonts w:hint="eastAsia" w:ascii="仿宋_GB2312" w:eastAsia="仿宋_GB2312" w:cs="Times New Roman" w:hAnsiTheme="minorEastAsia"/>
          <w:b/>
          <w:bCs w:val="0"/>
          <w:sz w:val="20"/>
          <w:highlight w:val="none"/>
          <w:lang w:val="en-US" w:eastAsia="zh-CN"/>
        </w:rPr>
        <w:t>资金实时</w:t>
      </w:r>
      <w:r>
        <w:rPr>
          <w:rFonts w:hint="eastAsia" w:ascii="仿宋_GB2312" w:eastAsia="仿宋_GB2312" w:cs="Times New Roman" w:hAnsiTheme="minorEastAsia"/>
          <w:b/>
          <w:bCs w:val="0"/>
          <w:sz w:val="20"/>
          <w:highlight w:val="none"/>
          <w:lang w:eastAsia="zh-CN"/>
        </w:rPr>
        <w:t>冻结，贵阳农商银行于产品成立日进行认购资金扣划。产品募集期内，投资者将认购</w:t>
      </w:r>
      <w:r>
        <w:rPr>
          <w:rFonts w:hint="eastAsia" w:ascii="仿宋_GB2312" w:eastAsia="仿宋_GB2312" w:cs="Times New Roman" w:hAnsiTheme="minorEastAsia"/>
          <w:b/>
          <w:bCs w:val="0"/>
          <w:sz w:val="20"/>
          <w:highlight w:val="none"/>
          <w:lang w:val="en-US" w:eastAsia="zh-CN"/>
        </w:rPr>
        <w:t>资</w:t>
      </w:r>
      <w:r>
        <w:rPr>
          <w:rFonts w:hint="eastAsia" w:ascii="仿宋_GB2312" w:eastAsia="仿宋_GB2312" w:cs="Times New Roman" w:hAnsiTheme="minorEastAsia"/>
          <w:b/>
          <w:bCs w:val="0"/>
          <w:sz w:val="20"/>
          <w:highlight w:val="none"/>
          <w:lang w:eastAsia="zh-CN"/>
        </w:rPr>
        <w:t>金存入投资者认购账户之日至本产品成立日（不含）期间，认购资金的活期存款利息（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将转入</w:t>
      </w:r>
      <w:r>
        <w:rPr>
          <w:rFonts w:hint="eastAsia" w:ascii="仿宋_GB2312" w:eastAsia="仿宋_GB2312" w:cs="Times New Roman" w:hAnsiTheme="minorEastAsia"/>
          <w:b/>
          <w:bCs w:val="0"/>
          <w:sz w:val="20"/>
          <w:highlight w:val="none"/>
          <w:lang w:eastAsia="zh-CN"/>
        </w:rPr>
        <w:t>投资者</w:t>
      </w:r>
      <w:r>
        <w:rPr>
          <w:rFonts w:hint="eastAsia" w:ascii="仿宋_GB2312" w:eastAsia="仿宋_GB2312" w:cs="Times New Roman" w:hAnsiTheme="minorEastAsia"/>
          <w:b/>
          <w:bCs w:val="0"/>
          <w:sz w:val="20"/>
          <w:highlight w:val="none"/>
          <w:lang w:val="en-US" w:eastAsia="zh-CN"/>
        </w:rPr>
        <w:t>认购账户</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但</w:t>
      </w:r>
      <w:r>
        <w:rPr>
          <w:rFonts w:hint="eastAsia" w:ascii="仿宋_GB2312" w:eastAsia="仿宋_GB2312" w:cs="Times New Roman" w:hAnsiTheme="minorEastAsia"/>
          <w:b/>
          <w:bCs w:val="0"/>
          <w:sz w:val="20"/>
          <w:highlight w:val="none"/>
          <w:lang w:eastAsia="zh-CN"/>
        </w:rPr>
        <w:t>募集期内的活期存款利息（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）不计入认购资金。</w:t>
      </w:r>
    </w:p>
    <w:p w14:paraId="3797610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本期产品</w:t>
      </w:r>
      <w:r>
        <w:rPr>
          <w:rFonts w:hint="eastAsia" w:ascii="仿宋_GB2312" w:eastAsia="仿宋_GB2312" w:cs="Times New Roman" w:hAnsiTheme="minorEastAsia"/>
          <w:b/>
          <w:bCs/>
          <w:sz w:val="20"/>
          <w:highlight w:val="none"/>
          <w:lang w:val="en-US" w:eastAsia="zh-CN"/>
        </w:rPr>
        <w:t>存续期间</w:t>
      </w:r>
      <w:r>
        <w:rPr>
          <w:rFonts w:ascii="仿宋_GB2312" w:eastAsia="仿宋_GB2312" w:cs="Times New Roman" w:hAnsiTheme="minorEastAsia"/>
          <w:b/>
          <w:bCs/>
          <w:sz w:val="20"/>
          <w:highlight w:val="none"/>
          <w:lang w:eastAsia="zh-CN"/>
        </w:rPr>
        <w:t>，不开放申购、追加投资和赎回。</w:t>
      </w:r>
    </w:p>
    <w:p w14:paraId="0A4E80BD">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六</w:t>
      </w:r>
      <w:r>
        <w:rPr>
          <w:rFonts w:ascii="Times New Roman" w:hAnsi="黑体" w:eastAsia="黑体" w:cs="Times New Roman"/>
          <w:highlight w:val="none"/>
          <w:lang w:eastAsia="zh-CN"/>
        </w:rPr>
        <w:t>、产品资产估值</w:t>
      </w:r>
    </w:p>
    <w:p w14:paraId="1A44181B">
      <w:pPr>
        <w:pStyle w:val="3"/>
        <w:spacing w:before="4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（一）资产估值范围</w:t>
      </w:r>
    </w:p>
    <w:p w14:paraId="0D8B45E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1.本产品资产总值包括理财产品项下现金类资产、货币市场工具、货币市场基金、标准化固定收益类资产和其他符合监管要求的资产总和。</w:t>
      </w:r>
    </w:p>
    <w:p w14:paraId="5BF4C0F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2.产品资产估值的目的是客观、准确地反映资产价值，确定产品资产净值，并为产品份额的兑付提供计价依据。</w:t>
      </w:r>
    </w:p>
    <w:p w14:paraId="33DDA7DB">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（二）资产估值方法</w:t>
      </w:r>
    </w:p>
    <w:p w14:paraId="753C496E">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ascii="仿宋_GB2312" w:eastAsia="仿宋_GB2312" w:cs="Times New Roman" w:hAnsiTheme="minorEastAsia"/>
          <w:sz w:val="20"/>
          <w:highlight w:val="none"/>
          <w:lang w:eastAsia="zh-CN"/>
        </w:rPr>
        <w:t>1.</w:t>
      </w:r>
      <w:r>
        <w:rPr>
          <w:rFonts w:hint="eastAsia" w:ascii="仿宋_GB2312" w:eastAsia="仿宋_GB2312" w:cs="Times New Roman" w:hAnsiTheme="minorEastAsia"/>
          <w:sz w:val="20"/>
          <w:highlight w:val="none"/>
          <w:lang w:val="en-US" w:eastAsia="zh-CN"/>
        </w:rPr>
        <w:t>估值日</w:t>
      </w:r>
    </w:p>
    <w:p w14:paraId="788AD365">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本理财产品成立后，产品管理人将于每个自然日进行估值。</w:t>
      </w:r>
    </w:p>
    <w:p w14:paraId="61B6184B">
      <w:pPr>
        <w:pStyle w:val="3"/>
        <w:numPr>
          <w:ilvl w:val="-1"/>
          <w:numId w:val="0"/>
        </w:numPr>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2.估值方法</w:t>
      </w:r>
    </w:p>
    <w:p w14:paraId="6108483E">
      <w:pPr>
        <w:pStyle w:val="3"/>
        <w:spacing w:before="0" w:beforeLines="0" w:after="0" w:afterLines="0" w:line="279" w:lineRule="auto"/>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283760DA">
      <w:pPr>
        <w:pStyle w:val="3"/>
        <w:spacing w:before="0" w:beforeLines="0" w:afterLines="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69F32D9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106A775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4505CE3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5C608325">
      <w:pPr>
        <w:pStyle w:val="3"/>
        <w:ind w:left="0"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（3）</w:t>
      </w:r>
      <w:r>
        <w:rPr>
          <w:rFonts w:hint="eastAsia" w:ascii="仿宋_GB2312" w:hAnsi="仿宋_GB2312" w:eastAsia="仿宋_GB2312" w:cs="仿宋_GB2312"/>
          <w:color w:val="auto"/>
          <w:kern w:val="0"/>
          <w:sz w:val="20"/>
          <w:szCs w:val="20"/>
          <w:highlight w:val="none"/>
          <w:lang w:val="en-US" w:eastAsia="zh-CN" w:bidi="ar"/>
        </w:rPr>
        <w:t xml:space="preserve">债券回购以成本(含回购费用)列示,按回购利率在实际持有期间内逐日计提利息。 </w:t>
      </w:r>
    </w:p>
    <w:p w14:paraId="40B5D400">
      <w:pPr>
        <w:pStyle w:val="3"/>
        <w:spacing w:before="0"/>
        <w:ind w:left="0" w:right="153"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（4）</w:t>
      </w:r>
      <w:r>
        <w:rPr>
          <w:rFonts w:hint="eastAsia" w:ascii="仿宋_GB2312" w:hAnsi="仿宋_GB2312" w:eastAsia="仿宋_GB2312" w:cs="仿宋_GB2312"/>
          <w:color w:val="auto"/>
          <w:sz w:val="20"/>
          <w:szCs w:val="20"/>
          <w:highlight w:val="none"/>
          <w:lang w:eastAsia="zh-CN"/>
        </w:rPr>
        <w:t>标准化固定收益类资产</w:t>
      </w:r>
    </w:p>
    <w:p w14:paraId="3297F7B5">
      <w:pPr>
        <w:keepNext w:val="0"/>
        <w:keepLines w:val="0"/>
        <w:widowControl/>
        <w:suppressLineNumbers w:val="0"/>
        <w:ind w:firstLine="400" w:firstLineChars="200"/>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kern w:val="0"/>
          <w:sz w:val="20"/>
          <w:szCs w:val="20"/>
          <w:highlight w:val="none"/>
          <w:lang w:val="en-US" w:eastAsia="zh-CN" w:bidi="ar"/>
        </w:rPr>
        <w:t>银行间债券、资产支持证券等有价证券按中央国债登记结算有限责任公司（简称“中债登”）公布的在估值日的估值数据进行估值。若中债登对同一债券给出多个估值数据，优先使用有“推荐”标注（若有）的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 xml:space="preserve">估值数据。其中对于含投资人回售权的标准化债权类资产，回售登记期截止日（含当日）后未行使回售权的按照长待偿期所对应的价格进行估值。未上市债券按成本估值。 </w:t>
      </w:r>
    </w:p>
    <w:p w14:paraId="1C404182">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交易所债券、资产支持证券等有价证券按中证指数有限公司公布的中证债券估值数据进行估值。</w:t>
      </w:r>
    </w:p>
    <w:p w14:paraId="79A86571">
      <w:pPr>
        <w:widowControl/>
        <w:ind w:firstLine="0" w:firstLineChars="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估值数据。其中对于含投资人回售权的标准化债权类资产，回售登记期截止日（含当日）后未行使回售权的按照长待偿期所对应的价格进行估值。未上市债券按成本估值。</w:t>
      </w:r>
    </w:p>
    <w:p w14:paraId="6AB16045">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同一债券同时在两个或两个以上市场交易的，按债券所处的市场的估值方法分别估值。</w:t>
      </w:r>
    </w:p>
    <w:p w14:paraId="6AC89E2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65979FD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其</w:t>
      </w:r>
      <w:r>
        <w:rPr>
          <w:rFonts w:ascii="仿宋_GB2312" w:eastAsia="仿宋_GB2312" w:cs="Times New Roman" w:hAnsiTheme="minorEastAsia"/>
          <w:sz w:val="20"/>
          <w:highlight w:val="none"/>
          <w:lang w:eastAsia="zh-CN"/>
        </w:rPr>
        <w:t>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3F33B88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2A016FC4">
      <w:pPr>
        <w:pStyle w:val="3"/>
        <w:spacing w:before="7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（三）估值错误的处理</w:t>
      </w:r>
    </w:p>
    <w:p w14:paraId="30F9801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产品管理人和产品托管人将采取必要、适当合理的措施确保产品资产估值的准确性、及时性。当产品单位净值出现错误时，产品管理人应当立即予以纠正，并采取合理的措施防止损失进一步扩大。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6D4F5E6A">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（四）暂停估值</w:t>
      </w:r>
    </w:p>
    <w:p w14:paraId="6AF601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暂停估值/恢复估值时，</w:t>
      </w:r>
      <w:r>
        <w:rPr>
          <w:rFonts w:hint="eastAsia" w:ascii="仿宋_GB2312" w:eastAsia="仿宋_GB2312" w:cs="Times New Roman" w:hAnsiTheme="minorEastAsia"/>
          <w:sz w:val="20"/>
          <w:szCs w:val="18"/>
          <w:highlight w:val="none"/>
          <w:lang w:val="en-US" w:eastAsia="zh-CN"/>
        </w:rPr>
        <w:t>贵阳农商银行将于官方网站等渠道通知投资者。</w:t>
      </w:r>
    </w:p>
    <w:p w14:paraId="7CA2625B">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七</w:t>
      </w:r>
      <w:r>
        <w:rPr>
          <w:rFonts w:ascii="Times New Roman" w:hAnsi="黑体" w:eastAsia="黑体" w:cs="Times New Roman"/>
          <w:highlight w:val="none"/>
          <w:lang w:eastAsia="zh-CN"/>
        </w:rPr>
        <w:t>、理财收益</w:t>
      </w:r>
      <w:r>
        <w:rPr>
          <w:rFonts w:hint="eastAsia" w:ascii="Times New Roman" w:hAnsi="黑体" w:eastAsia="黑体" w:cs="Times New Roman"/>
          <w:highlight w:val="none"/>
          <w:lang w:val="en-US" w:eastAsia="zh-CN"/>
        </w:rPr>
        <w:t>与费用、税收</w:t>
      </w:r>
      <w:r>
        <w:rPr>
          <w:rFonts w:ascii="Times New Roman" w:hAnsi="黑体" w:eastAsia="黑体" w:cs="Times New Roman"/>
          <w:highlight w:val="none"/>
          <w:lang w:eastAsia="zh-CN"/>
        </w:rPr>
        <w:t>说明</w:t>
      </w:r>
    </w:p>
    <w:p w14:paraId="43D8C03C">
      <w:pPr>
        <w:pStyle w:val="3"/>
        <w:spacing w:before="0"/>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w:t>
      </w:r>
      <w:r>
        <w:rPr>
          <w:rFonts w:hint="eastAsia" w:ascii="仿宋_GB2312" w:eastAsia="仿宋_GB2312" w:cs="Times New Roman" w:hAnsiTheme="minorEastAsia"/>
          <w:b/>
          <w:sz w:val="20"/>
          <w:szCs w:val="20"/>
          <w:highlight w:val="none"/>
          <w:lang w:val="en-US" w:eastAsia="zh-CN"/>
        </w:rPr>
        <w:t>一</w:t>
      </w:r>
      <w:r>
        <w:rPr>
          <w:rFonts w:ascii="仿宋_GB2312" w:eastAsia="仿宋_GB2312" w:cs="Times New Roman" w:hAnsiTheme="minorEastAsia"/>
          <w:b/>
          <w:sz w:val="20"/>
          <w:szCs w:val="20"/>
          <w:highlight w:val="none"/>
          <w:lang w:eastAsia="zh-CN"/>
        </w:rPr>
        <w:t>）费用</w:t>
      </w:r>
    </w:p>
    <w:p w14:paraId="6173AAC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1.本产品产生以下费用：</w:t>
      </w:r>
    </w:p>
    <w:p w14:paraId="218A4E9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固定销售费：</w:t>
      </w:r>
      <w:r>
        <w:rPr>
          <w:rFonts w:ascii="仿宋_GB2312" w:eastAsia="仿宋_GB2312" w:cs="Times New Roman" w:hAnsiTheme="minorEastAsia"/>
          <w:sz w:val="20"/>
          <w:highlight w:val="none"/>
          <w:lang w:eastAsia="zh-CN"/>
        </w:rPr>
        <w:t>本产品销售费按前一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年费率计提。S=E×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÷当年天数，S为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应计提的销售费，E为前一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日产品资产净值（下同）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67515E3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固定管理费</w:t>
      </w:r>
      <w:r>
        <w:rPr>
          <w:rFonts w:ascii="仿宋_GB2312" w:eastAsia="仿宋_GB2312" w:cs="Times New Roman" w:hAnsiTheme="minorEastAsia"/>
          <w:sz w:val="20"/>
          <w:highlight w:val="none"/>
          <w:lang w:eastAsia="zh-CN"/>
        </w:rPr>
        <w:t>：本产品管理费按前一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年费率计提。M=E×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÷当年天数，M为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应计提的管理费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7ED22C59">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w:t>
      </w:r>
      <w:r>
        <w:rPr>
          <w:rFonts w:hint="eastAsia" w:ascii="仿宋_GB2312" w:eastAsia="仿宋_GB2312" w:cs="Times New Roman" w:hAnsiTheme="minorEastAsia"/>
          <w:b/>
          <w:bCs/>
          <w:sz w:val="20"/>
          <w:highlight w:val="none"/>
          <w:lang w:val="en-US" w:eastAsia="zh-CN"/>
        </w:rPr>
        <w:t>托管</w:t>
      </w:r>
      <w:r>
        <w:rPr>
          <w:rFonts w:ascii="仿宋_GB2312" w:eastAsia="仿宋_GB2312" w:cs="Times New Roman" w:hAnsiTheme="minorEastAsia"/>
          <w:b/>
          <w:bCs/>
          <w:sz w:val="20"/>
          <w:highlight w:val="none"/>
          <w:lang w:eastAsia="zh-CN"/>
        </w:rPr>
        <w:t>费</w:t>
      </w:r>
      <w:r>
        <w:rPr>
          <w:rFonts w:ascii="仿宋_GB2312" w:eastAsia="仿宋_GB2312" w:cs="Times New Roman" w:hAnsiTheme="minorEastAsia"/>
          <w:sz w:val="20"/>
          <w:highlight w:val="none"/>
          <w:lang w:eastAsia="zh-CN"/>
        </w:rPr>
        <w:t>：本产品</w:t>
      </w:r>
      <w:r>
        <w:rPr>
          <w:rFonts w:hint="eastAsia" w:ascii="仿宋_GB2312" w:eastAsia="仿宋_GB2312" w:cs="Times New Roman" w:hAnsiTheme="minorEastAsia"/>
          <w:sz w:val="20"/>
          <w:highlight w:val="none"/>
          <w:lang w:val="en-US" w:eastAsia="zh-CN"/>
        </w:rPr>
        <w:t>托管费</w:t>
      </w:r>
      <w:r>
        <w:rPr>
          <w:rFonts w:ascii="仿宋_GB2312" w:eastAsia="仿宋_GB2312" w:cs="Times New Roman" w:hAnsiTheme="minorEastAsia"/>
          <w:sz w:val="20"/>
          <w:highlight w:val="none"/>
          <w:lang w:eastAsia="zh-CN"/>
        </w:rPr>
        <w:t>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=E×</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w:t>
      </w:r>
      <w:r>
        <w:rPr>
          <w:rFonts w:hint="eastAsia" w:ascii="仿宋_GB2312" w:eastAsia="仿宋_GB2312" w:cs="Times New Roman" w:hAnsiTheme="minorEastAsia"/>
          <w:sz w:val="20"/>
          <w:highlight w:val="none"/>
          <w:lang w:val="en-US" w:eastAsia="zh-CN"/>
        </w:rPr>
        <w:t>托管</w:t>
      </w:r>
      <w:r>
        <w:rPr>
          <w:rFonts w:ascii="仿宋_GB2312" w:eastAsia="仿宋_GB2312" w:cs="Times New Roman" w:hAnsiTheme="minorEastAsia"/>
          <w:sz w:val="20"/>
          <w:highlight w:val="none"/>
          <w:lang w:eastAsia="zh-CN"/>
        </w:rPr>
        <w:t>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5B6EB1F1">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）超额业绩报酬：</w:t>
      </w:r>
      <w:r>
        <w:rPr>
          <w:rFonts w:hint="eastAsia" w:ascii="仿宋_GB2312" w:eastAsia="仿宋_GB2312" w:cs="Times New Roman" w:hAnsiTheme="minorEastAsia"/>
          <w:sz w:val="20"/>
          <w:highlight w:val="none"/>
          <w:lang w:eastAsia="zh-CN"/>
        </w:rPr>
        <w:t>本产品设</w:t>
      </w:r>
      <w:r>
        <w:rPr>
          <w:rFonts w:hint="eastAsia" w:ascii="仿宋_GB2312" w:eastAsia="仿宋_GB2312" w:cs="Times New Roman" w:hAnsiTheme="minorEastAsia"/>
          <w:sz w:val="20"/>
          <w:highlight w:val="none"/>
          <w:lang w:val="en-US" w:eastAsia="zh-CN"/>
        </w:rPr>
        <w:t>定</w:t>
      </w:r>
      <w:r>
        <w:rPr>
          <w:rFonts w:hint="eastAsia" w:ascii="仿宋_GB2312" w:eastAsia="仿宋_GB2312" w:cs="Times New Roman" w:hAnsiTheme="minorEastAsia"/>
          <w:sz w:val="20"/>
          <w:highlight w:val="none"/>
          <w:lang w:eastAsia="zh-CN"/>
        </w:rPr>
        <w:t>业绩比较基准，</w:t>
      </w:r>
      <w:r>
        <w:rPr>
          <w:rFonts w:hint="eastAsia" w:ascii="仿宋_GB2312" w:eastAsia="仿宋_GB2312" w:cs="Times New Roman" w:hAnsiTheme="minorEastAsia"/>
          <w:b/>
          <w:bCs/>
          <w:sz w:val="20"/>
          <w:highlight w:val="none"/>
          <w:lang w:eastAsia="zh-CN"/>
        </w:rPr>
        <w:t>产品年化收益率</w:t>
      </w:r>
      <w:r>
        <w:rPr>
          <w:rFonts w:hint="eastAsia" w:ascii="仿宋_GB2312" w:eastAsia="仿宋_GB2312" w:cs="Times New Roman" w:hAnsiTheme="minorEastAsia"/>
          <w:b/>
          <w:bCs/>
          <w:sz w:val="20"/>
          <w:highlight w:val="none"/>
          <w:lang w:val="en-US" w:eastAsia="zh-CN"/>
        </w:rPr>
        <w:t>大于2.3%</w:t>
      </w:r>
      <w:r>
        <w:rPr>
          <w:rFonts w:hint="eastAsia" w:ascii="仿宋_GB2312" w:eastAsia="仿宋_GB2312" w:cs="Times New Roman" w:hAnsiTheme="minorEastAsia"/>
          <w:b/>
          <w:bCs/>
          <w:sz w:val="20"/>
          <w:highlight w:val="none"/>
          <w:lang w:eastAsia="zh-CN"/>
        </w:rPr>
        <w:t>时</w:t>
      </w:r>
      <w:r>
        <w:rPr>
          <w:rFonts w:hint="eastAsia" w:ascii="仿宋_GB2312" w:eastAsia="仿宋_GB2312" w:cs="Times New Roman" w:hAnsiTheme="minorEastAsia"/>
          <w:sz w:val="20"/>
          <w:highlight w:val="none"/>
          <w:lang w:eastAsia="zh-CN"/>
        </w:rPr>
        <w:t>，产品管理人有权收取超额业绩报酬，但固定管理费与超额业绩报酬合计最高不超过产品总投资收益的</w:t>
      </w:r>
      <w:r>
        <w:rPr>
          <w:rFonts w:hint="eastAsia" w:ascii="仿宋_GB2312" w:hAnsi="仿宋_GB2312" w:eastAsia="仿宋_GB2312" w:cs="仿宋_GB2312"/>
          <w:b/>
          <w:bCs/>
          <w:sz w:val="20"/>
          <w:highlight w:val="none"/>
          <w:u w:val="none"/>
          <w:lang w:val="en-US" w:eastAsia="zh-CN"/>
        </w:rPr>
        <w:t>30%</w:t>
      </w:r>
      <w:r>
        <w:rPr>
          <w:rFonts w:hint="eastAsia" w:ascii="仿宋_GB2312" w:eastAsia="仿宋_GB2312" w:cs="Times New Roman" w:hAnsiTheme="minorEastAsia"/>
          <w:sz w:val="20"/>
          <w:highlight w:val="none"/>
          <w:lang w:eastAsia="zh-CN"/>
        </w:rPr>
        <w:t>。</w:t>
      </w:r>
    </w:p>
    <w:p w14:paraId="21B9A444">
      <w:pPr>
        <w:pStyle w:val="3"/>
        <w:spacing w:before="0"/>
        <w:ind w:left="0" w:right="153" w:firstLine="402"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超额业绩报酬计算方法</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产品年化收益率&gt;</w:t>
      </w:r>
      <w:r>
        <w:rPr>
          <w:rFonts w:hint="eastAsia" w:ascii="仿宋_GB2312" w:eastAsia="仿宋_GB2312" w:cs="Times New Roman" w:hAnsiTheme="minorEastAsia"/>
          <w:b/>
          <w:bCs/>
          <w:sz w:val="20"/>
          <w:highlight w:val="none"/>
          <w:lang w:val="en-US" w:eastAsia="zh-CN"/>
        </w:rPr>
        <w:t>2.3%时</w:t>
      </w:r>
      <w:r>
        <w:rPr>
          <w:rFonts w:hint="eastAsia" w:ascii="仿宋_GB2312" w:hAnsi="仿宋_GB2312" w:eastAsia="仿宋_GB2312" w:cs="仿宋_GB2312"/>
          <w:sz w:val="20"/>
          <w:highlight w:val="none"/>
          <w:lang w:eastAsia="zh-CN"/>
        </w:rPr>
        <w:t>，产品管理人超额业绩报酬=（产品总投资收益-固定销售费-固定管理费-固定托管费-</w:t>
      </w:r>
      <w:r>
        <w:rPr>
          <w:rFonts w:hint="eastAsia" w:ascii="仿宋_GB2312" w:eastAsia="仿宋_GB2312" w:cs="Times New Roman" w:hAnsiTheme="minorEastAsia"/>
          <w:b/>
          <w:bCs/>
          <w:sz w:val="20"/>
          <w:highlight w:val="none"/>
          <w:lang w:val="en-US" w:eastAsia="zh-CN"/>
        </w:rPr>
        <w:t>其他相关费用</w:t>
      </w:r>
      <w:r>
        <w:rPr>
          <w:rFonts w:hint="eastAsia" w:ascii="仿宋_GB2312" w:eastAsia="仿宋_GB2312" w:cs="Times New Roman" w:hAnsiTheme="minorEastAsia"/>
          <w:b/>
          <w:bCs/>
          <w:sz w:val="20"/>
          <w:highlight w:val="none"/>
          <w:lang w:eastAsia="zh-CN"/>
        </w:rPr>
        <w:t>（如有）</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按产品</w:t>
      </w:r>
      <w:r>
        <w:rPr>
          <w:rFonts w:hint="eastAsia" w:ascii="仿宋_GB2312" w:eastAsia="仿宋_GB2312" w:cs="Times New Roman" w:hAnsiTheme="minorEastAsia"/>
          <w:color w:val="auto"/>
          <w:sz w:val="20"/>
          <w:highlight w:val="none"/>
          <w:lang w:val="en-US" w:eastAsia="zh-CN"/>
        </w:rPr>
        <w:t>年化收益率</w:t>
      </w:r>
      <w:r>
        <w:rPr>
          <w:rFonts w:hint="eastAsia" w:ascii="仿宋_GB2312" w:eastAsia="仿宋_GB2312" w:cs="Times New Roman" w:hAnsiTheme="minorEastAsia"/>
          <w:color w:val="auto"/>
          <w:sz w:val="20"/>
          <w:highlight w:val="none"/>
          <w:u w:val="single"/>
          <w:lang w:val="en-US" w:eastAsia="zh-CN"/>
        </w:rPr>
        <w:t>2.3</w:t>
      </w:r>
      <w:r>
        <w:rPr>
          <w:rFonts w:hint="eastAsia" w:ascii="仿宋_GB2312" w:eastAsia="仿宋_GB2312" w:cs="Times New Roman" w:hAnsiTheme="minorEastAsia"/>
          <w:color w:val="auto"/>
          <w:sz w:val="20"/>
          <w:highlight w:val="none"/>
          <w:lang w:val="en-US" w:eastAsia="zh-CN"/>
        </w:rPr>
        <w:t>%</w:t>
      </w:r>
      <w:r>
        <w:rPr>
          <w:rFonts w:hint="eastAsia" w:ascii="仿宋_GB2312" w:eastAsia="仿宋_GB2312" w:cs="Times New Roman" w:hAnsiTheme="minorEastAsia"/>
          <w:color w:val="auto"/>
          <w:sz w:val="20"/>
          <w:highlight w:val="none"/>
          <w:lang w:eastAsia="zh-CN"/>
        </w:rPr>
        <w:t>计算出的收益</w:t>
      </w:r>
      <w:r>
        <w:rPr>
          <w:rFonts w:hint="eastAsia" w:ascii="仿宋_GB2312" w:hAnsi="仿宋_GB2312" w:eastAsia="仿宋_GB2312" w:cs="仿宋_GB2312"/>
          <w:sz w:val="20"/>
          <w:highlight w:val="none"/>
          <w:lang w:eastAsia="zh-CN"/>
        </w:rPr>
        <w:t>）</w:t>
      </w:r>
      <w:r>
        <w:rPr>
          <w:rFonts w:ascii="仿宋_GB2312" w:eastAsia="仿宋_GB2312" w:cs="Times New Roman" w:hAnsiTheme="minorEastAsia"/>
          <w:color w:val="auto"/>
          <w:sz w:val="20"/>
          <w:highlight w:val="none"/>
          <w:u w:val="none"/>
          <w:lang w:eastAsia="zh-CN"/>
        </w:rPr>
        <w:t>×</w:t>
      </w:r>
      <w:r>
        <w:rPr>
          <w:rFonts w:hint="eastAsia" w:ascii="仿宋_GB2312" w:hAnsi="仿宋_GB2312" w:eastAsia="仿宋_GB2312" w:cs="仿宋_GB2312"/>
          <w:b/>
          <w:bCs/>
          <w:sz w:val="20"/>
          <w:highlight w:val="none"/>
          <w:u w:val="none"/>
          <w:lang w:val="en-US" w:eastAsia="zh-CN"/>
        </w:rPr>
        <w:t>70%。</w:t>
      </w:r>
    </w:p>
    <w:p w14:paraId="4A082E51">
      <w:pPr>
        <w:pStyle w:val="3"/>
        <w:spacing w:before="0"/>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到期</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1ED25E81">
      <w:pPr>
        <w:pStyle w:val="3"/>
        <w:numPr>
          <w:ilvl w:val="0"/>
          <w:numId w:val="0"/>
        </w:numPr>
        <w:spacing w:before="0"/>
        <w:ind w:leftChars="200" w:right="153" w:rightChars="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5</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其他相关费用</w:t>
      </w:r>
    </w:p>
    <w:p w14:paraId="63A1E58D">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1A68494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6E00D6A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/年、固定托管费</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6529972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2D735B17">
      <w:pPr>
        <w:pStyle w:val="3"/>
        <w:spacing w:before="0"/>
        <w:ind w:left="0" w:right="151" w:firstLine="402" w:firstLineChars="200"/>
        <w:jc w:val="both"/>
        <w:rPr>
          <w:rFonts w:ascii="仿宋_GB2312" w:hAnsi="Times New Roman" w:eastAsia="仿宋_GB2312" w:cs="Times New Roman"/>
          <w:b/>
          <w:color w:val="auto"/>
          <w:sz w:val="20"/>
          <w:szCs w:val="20"/>
          <w:highlight w:val="none"/>
          <w:lang w:eastAsia="zh-CN"/>
        </w:rPr>
      </w:pP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val="en-US" w:eastAsia="zh-CN"/>
        </w:rPr>
        <w:t>二</w:t>
      </w: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eastAsia="zh-CN"/>
        </w:rPr>
        <w:t>投资者</w:t>
      </w:r>
      <w:r>
        <w:rPr>
          <w:rFonts w:ascii="仿宋_GB2312" w:eastAsia="仿宋_GB2312" w:cs="Times New Roman" w:hAnsiTheme="minorEastAsia"/>
          <w:b/>
          <w:color w:val="auto"/>
          <w:sz w:val="20"/>
          <w:szCs w:val="20"/>
          <w:highlight w:val="none"/>
          <w:lang w:eastAsia="zh-CN"/>
        </w:rPr>
        <w:t>收益</w:t>
      </w:r>
    </w:p>
    <w:p w14:paraId="086BA6A5">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hAnsi="仿宋_GB2312" w:eastAsia="仿宋_GB2312" w:cs="仿宋_GB2312"/>
          <w:color w:val="auto"/>
          <w:sz w:val="20"/>
          <w:szCs w:val="20"/>
          <w:highlight w:val="none"/>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highlight w:val="none"/>
          <w:lang w:val="en-US" w:eastAsia="zh-CN"/>
        </w:rPr>
        <w:t>和其他相关费用（如有）</w:t>
      </w:r>
      <w:r>
        <w:rPr>
          <w:rFonts w:hint="eastAsia" w:ascii="仿宋_GB2312" w:hAnsi="仿宋_GB2312" w:eastAsia="仿宋_GB2312" w:cs="仿宋_GB2312"/>
          <w:color w:val="auto"/>
          <w:sz w:val="20"/>
          <w:szCs w:val="20"/>
          <w:highlight w:val="none"/>
          <w:lang w:eastAsia="zh-CN"/>
        </w:rPr>
        <w:t>等全部费用后的收益</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到期日或提前终止日，管理人按投资者实际持有份额</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到期日产品单位净值进行兑付，投资者到期可得资金计算公式如下：</w:t>
      </w:r>
    </w:p>
    <w:p w14:paraId="5BA1537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投资者可得资金</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持有份额×</w:t>
      </w:r>
      <w:r>
        <w:rPr>
          <w:rFonts w:hint="eastAsia" w:ascii="仿宋_GB2312" w:eastAsia="仿宋_GB2312" w:cs="Times New Roman" w:hAnsiTheme="minorEastAsia"/>
          <w:sz w:val="20"/>
          <w:highlight w:val="none"/>
          <w:lang w:eastAsia="zh-CN"/>
        </w:rPr>
        <w:t>到期日</w:t>
      </w:r>
      <w:r>
        <w:rPr>
          <w:rFonts w:ascii="仿宋_GB2312" w:eastAsia="仿宋_GB2312" w:cs="Times New Roman" w:hAnsiTheme="minorEastAsia"/>
          <w:sz w:val="20"/>
          <w:highlight w:val="none"/>
          <w:lang w:eastAsia="zh-CN"/>
        </w:rPr>
        <w:t>产品单位净值</w:t>
      </w:r>
    </w:p>
    <w:p w14:paraId="688467F8">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计算示例</w:t>
      </w:r>
    </w:p>
    <w:p w14:paraId="26E40157">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1</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到期日单位净值为1.0630元，则投资者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56E79A16">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得资金=100,000.00×1.0630=106,300.00（元）</w:t>
      </w:r>
    </w:p>
    <w:p w14:paraId="6A0E88D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100,000.00×1.0630</w:t>
      </w:r>
      <w:r>
        <w:rPr>
          <w:rFonts w:hint="eastAsia" w:ascii="仿宋_GB2312" w:hAnsi="仿宋_GB2312" w:eastAsia="仿宋_GB2312" w:cs="仿宋_GB2312"/>
          <w:sz w:val="20"/>
          <w:highlight w:val="none"/>
          <w:lang w:val="en-US" w:eastAsia="zh-CN"/>
        </w:rPr>
        <w:t>-</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=6,300.00（元）</w:t>
      </w:r>
    </w:p>
    <w:p w14:paraId="61C19CCB">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2</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sz w:val="20"/>
          <w:highlight w:val="none"/>
          <w:lang w:eastAsia="zh-CN"/>
        </w:rPr>
        <w:t>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4633989F">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得资金=100,000.00×0.9800=98,000.00（元）</w:t>
      </w:r>
    </w:p>
    <w:p w14:paraId="01578E05">
      <w:pPr>
        <w:pStyle w:val="3"/>
        <w:spacing w:before="0"/>
        <w:ind w:left="0" w:leftChars="0" w:right="153" w:firstLine="400" w:firstLineChars="200"/>
        <w:jc w:val="both"/>
        <w:rPr>
          <w:rFonts w:hint="eastAsia" w:ascii="仿宋_GB2312" w:hAnsi="仿宋_GB2312" w:eastAsia="仿宋_GB2312" w:cs="仿宋_GB2312"/>
          <w:b/>
          <w:bCs/>
          <w:sz w:val="20"/>
          <w:szCs w:val="20"/>
          <w:highlight w:val="none"/>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07C7166F">
      <w:pPr>
        <w:pStyle w:val="3"/>
        <w:spacing w:before="0"/>
        <w:ind w:left="0" w:leftChars="0" w:right="153" w:firstLine="402" w:firstLineChars="200"/>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b/>
          <w:bCs/>
          <w:sz w:val="20"/>
          <w:szCs w:val="20"/>
          <w:highlight w:val="none"/>
          <w:lang w:eastAsia="zh-CN"/>
        </w:rPr>
        <w:t>上述示例采用假设数据计算，</w:t>
      </w:r>
      <w:r>
        <w:rPr>
          <w:rFonts w:hint="eastAsia" w:ascii="仿宋_GB2312" w:hAnsi="仿宋_GB2312" w:eastAsia="仿宋_GB2312" w:cs="仿宋_GB2312"/>
          <w:b/>
          <w:bCs/>
          <w:sz w:val="20"/>
          <w:szCs w:val="20"/>
          <w:highlight w:val="none"/>
          <w:lang w:val="en-US" w:eastAsia="zh-CN"/>
        </w:rPr>
        <w:t>仅作为告知投资者公式计算方法使用，但</w:t>
      </w:r>
      <w:r>
        <w:rPr>
          <w:rFonts w:hint="eastAsia" w:ascii="仿宋_GB2312" w:hAnsi="仿宋_GB2312" w:eastAsia="仿宋_GB2312" w:cs="仿宋_GB2312"/>
          <w:b/>
          <w:bCs/>
          <w:sz w:val="20"/>
          <w:szCs w:val="20"/>
          <w:highlight w:val="none"/>
          <w:lang w:eastAsia="zh-CN"/>
        </w:rPr>
        <w:t>测算收益不等于实际收益，实际收益以</w:t>
      </w:r>
      <w:r>
        <w:rPr>
          <w:rFonts w:hint="eastAsia" w:ascii="仿宋_GB2312" w:hAnsi="仿宋_GB2312" w:eastAsia="仿宋_GB2312" w:cs="仿宋_GB2312"/>
          <w:b/>
          <w:bCs/>
          <w:sz w:val="20"/>
          <w:szCs w:val="20"/>
          <w:highlight w:val="none"/>
          <w:lang w:val="en-US" w:eastAsia="zh-CN"/>
        </w:rPr>
        <w:t>兑付</w:t>
      </w:r>
      <w:r>
        <w:rPr>
          <w:rFonts w:hint="eastAsia" w:ascii="仿宋_GB2312" w:hAnsi="仿宋_GB2312" w:eastAsia="仿宋_GB2312" w:cs="仿宋_GB2312"/>
          <w:b/>
          <w:bCs/>
          <w:sz w:val="20"/>
          <w:szCs w:val="20"/>
          <w:highlight w:val="none"/>
          <w:lang w:eastAsia="zh-CN"/>
        </w:rPr>
        <w:t>为准，投资须谨慎；如发生最不利情况，投资者将损失全部本金。</w:t>
      </w:r>
    </w:p>
    <w:p w14:paraId="1AFE0869">
      <w:pPr>
        <w:pStyle w:val="3"/>
        <w:spacing w:before="0"/>
        <w:ind w:left="0" w:right="153" w:firstLine="402" w:firstLineChars="200"/>
        <w:jc w:val="both"/>
        <w:rPr>
          <w:rFonts w:hint="eastAsia" w:ascii="仿宋_GB2312" w:hAnsi="仿宋_GB2312" w:eastAsia="仿宋_GB2312" w:cs="仿宋_GB2312"/>
          <w:b/>
          <w:sz w:val="20"/>
          <w:szCs w:val="20"/>
          <w:highlight w:val="none"/>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时产品管理人实际支付的收益为准。产品历史业绩不代表其未来表现，不等于理财产品实际收益，更不构成本产品业绩表现的保证，投资须谨慎。</w:t>
      </w:r>
    </w:p>
    <w:p w14:paraId="14593DE8">
      <w:pPr>
        <w:pStyle w:val="3"/>
        <w:spacing w:before="0"/>
        <w:ind w:left="0" w:right="153" w:firstLine="402" w:firstLineChars="200"/>
        <w:jc w:val="both"/>
        <w:rPr>
          <w:rFonts w:ascii="仿宋_GB2312" w:hAnsi="仿宋_GB2312" w:eastAsia="仿宋_GB2312" w:cs="仿宋_GB2312"/>
          <w:b/>
          <w:sz w:val="20"/>
          <w:szCs w:val="20"/>
          <w:highlight w:val="none"/>
          <w:lang w:eastAsia="zh-CN"/>
        </w:rPr>
      </w:pPr>
      <w:r>
        <w:rPr>
          <w:rFonts w:hint="eastAsia" w:ascii="仿宋_GB2312" w:hAnsi="仿宋_GB2312" w:eastAsia="仿宋_GB2312" w:cs="仿宋_GB2312"/>
          <w:b/>
          <w:sz w:val="20"/>
          <w:szCs w:val="20"/>
          <w:highlight w:val="none"/>
          <w:lang w:eastAsia="zh-CN"/>
        </w:rPr>
        <w:t>（</w:t>
      </w:r>
      <w:r>
        <w:rPr>
          <w:rFonts w:hint="eastAsia" w:ascii="仿宋_GB2312" w:hAnsi="仿宋_GB2312" w:eastAsia="仿宋_GB2312" w:cs="仿宋_GB2312"/>
          <w:b/>
          <w:sz w:val="20"/>
          <w:szCs w:val="20"/>
          <w:highlight w:val="none"/>
          <w:lang w:val="en-US" w:eastAsia="zh-CN"/>
        </w:rPr>
        <w:t>三</w:t>
      </w:r>
      <w:r>
        <w:rPr>
          <w:rFonts w:hint="eastAsia" w:ascii="仿宋_GB2312" w:hAnsi="仿宋_GB2312" w:eastAsia="仿宋_GB2312" w:cs="仿宋_GB2312"/>
          <w:b/>
          <w:sz w:val="20"/>
          <w:szCs w:val="20"/>
          <w:highlight w:val="none"/>
          <w:lang w:eastAsia="zh-CN"/>
        </w:rPr>
        <w:t>）税收</w:t>
      </w:r>
    </w:p>
    <w:p w14:paraId="1900E8F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261980DF">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八</w:t>
      </w:r>
      <w:r>
        <w:rPr>
          <w:rFonts w:ascii="Times New Roman" w:hAnsi="黑体" w:eastAsia="黑体" w:cs="Times New Roman"/>
          <w:highlight w:val="none"/>
          <w:lang w:eastAsia="zh-CN"/>
        </w:rPr>
        <w:t>、提前终止</w:t>
      </w:r>
    </w:p>
    <w:p w14:paraId="59A0B40B">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一</w:t>
      </w:r>
      <w:r>
        <w:rPr>
          <w:rFonts w:ascii="仿宋_GB2312" w:eastAsia="仿宋_GB2312" w:cs="Times New Roman" w:hAnsiTheme="minorEastAsia"/>
          <w:b/>
          <w:sz w:val="20"/>
          <w:highlight w:val="none"/>
          <w:lang w:eastAsia="zh-CN"/>
        </w:rPr>
        <w:t>）</w:t>
      </w:r>
      <w:r>
        <w:rPr>
          <w:rFonts w:hint="eastAsia" w:ascii="仿宋_GB2312" w:hAnsi="Times New Roman" w:eastAsia="仿宋_GB2312" w:cs="Times New Roman"/>
          <w:b/>
          <w:bCs/>
          <w:sz w:val="20"/>
          <w:szCs w:val="18"/>
          <w:highlight w:val="none"/>
          <w:lang w:val="en-US" w:eastAsia="zh-CN" w:bidi="ar-SA"/>
        </w:rPr>
        <w:t>投资者不得提前终止或提前赎回本产品</w:t>
      </w:r>
      <w:r>
        <w:rPr>
          <w:rFonts w:hint="eastAsia" w:ascii="仿宋_GB2312" w:eastAsia="仿宋_GB2312" w:cs="Times New Roman" w:hAnsiTheme="minorEastAsia"/>
          <w:b/>
          <w:sz w:val="20"/>
          <w:highlight w:val="none"/>
          <w:lang w:eastAsia="zh-CN"/>
        </w:rPr>
        <w:t>。</w:t>
      </w:r>
    </w:p>
    <w:p w14:paraId="672CD664">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szCs w:val="18"/>
          <w:highlight w:val="none"/>
          <w:lang w:val="en-US" w:eastAsia="zh-CN"/>
        </w:rPr>
        <w:t>通过贵阳农商银行官方网站等渠道公布，</w:t>
      </w:r>
      <w:r>
        <w:rPr>
          <w:rFonts w:ascii="仿宋_GB2312" w:eastAsia="仿宋_GB2312" w:cs="Times New Roman" w:hAnsiTheme="minorEastAsia"/>
          <w:b/>
          <w:sz w:val="20"/>
          <w:highlight w:val="none"/>
          <w:lang w:eastAsia="zh-CN"/>
        </w:rPr>
        <w:t>并在提前终止日后</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个工作日内</w:t>
      </w:r>
      <w:r>
        <w:rPr>
          <w:rFonts w:hint="eastAsia" w:ascii="仿宋_GB2312" w:eastAsia="仿宋_GB2312" w:cs="Times New Roman" w:hAnsiTheme="minorEastAsia"/>
          <w:b/>
          <w:sz w:val="20"/>
          <w:highlight w:val="none"/>
          <w:lang w:val="en-US" w:eastAsia="zh-CN"/>
        </w:rPr>
        <w:t>将投资者理财资金划转至</w:t>
      </w:r>
      <w:r>
        <w:rPr>
          <w:rFonts w:hint="eastAsia" w:ascii="仿宋_GB2312" w:eastAsia="仿宋_GB2312" w:cs="Times New Roman" w:hAnsiTheme="minorEastAsia"/>
          <w:b/>
          <w:sz w:val="20"/>
          <w:highlight w:val="none"/>
          <w:lang w:eastAsia="zh-CN"/>
        </w:rPr>
        <w:t>投资者</w:t>
      </w:r>
      <w:r>
        <w:rPr>
          <w:rFonts w:hint="eastAsia" w:ascii="仿宋_GB2312" w:eastAsia="仿宋_GB2312" w:cs="Times New Roman" w:hAnsiTheme="minorEastAsia"/>
          <w:b/>
          <w:sz w:val="20"/>
          <w:highlight w:val="none"/>
          <w:lang w:val="en-US" w:eastAsia="zh-CN"/>
        </w:rPr>
        <w:t>认购账户</w:t>
      </w:r>
      <w:r>
        <w:rPr>
          <w:rFonts w:ascii="仿宋_GB2312" w:eastAsia="仿宋_GB2312" w:cs="Times New Roman" w:hAnsiTheme="minorEastAsia"/>
          <w:b/>
          <w:sz w:val="20"/>
          <w:highlight w:val="none"/>
          <w:lang w:eastAsia="zh-CN"/>
        </w:rPr>
        <w:t>。</w:t>
      </w:r>
      <w:r>
        <w:rPr>
          <w:rFonts w:ascii="仿宋_GB2312" w:eastAsia="仿宋_GB2312" w:cs="Times New Roman" w:hAnsiTheme="minorEastAsia"/>
          <w:b/>
          <w:sz w:val="20"/>
          <w:highlight w:val="none"/>
          <w:u w:val="none"/>
          <w:lang w:eastAsia="zh-CN"/>
        </w:rPr>
        <w:t>终止日至资金实际到账日之间，</w:t>
      </w:r>
      <w:r>
        <w:rPr>
          <w:rFonts w:hint="eastAsia" w:ascii="仿宋_GB2312" w:eastAsia="仿宋_GB2312" w:cs="Times New Roman" w:hAnsiTheme="minorEastAsia"/>
          <w:b/>
          <w:sz w:val="20"/>
          <w:highlight w:val="none"/>
          <w:u w:val="none"/>
          <w:lang w:eastAsia="zh-CN"/>
        </w:rPr>
        <w:t>投资者</w:t>
      </w:r>
      <w:r>
        <w:rPr>
          <w:rFonts w:ascii="仿宋_GB2312" w:eastAsia="仿宋_GB2312" w:cs="Times New Roman" w:hAnsiTheme="minorEastAsia"/>
          <w:b/>
          <w:sz w:val="20"/>
          <w:highlight w:val="none"/>
          <w:u w:val="none"/>
          <w:lang w:eastAsia="zh-CN"/>
        </w:rPr>
        <w:t>资金不计息</w:t>
      </w:r>
      <w:r>
        <w:rPr>
          <w:rFonts w:ascii="仿宋_GB2312" w:eastAsia="仿宋_GB2312" w:cs="Times New Roman" w:hAnsiTheme="minorEastAsia"/>
          <w:b/>
          <w:sz w:val="20"/>
          <w:highlight w:val="none"/>
          <w:lang w:eastAsia="zh-CN"/>
        </w:rPr>
        <w:t>。</w:t>
      </w:r>
    </w:p>
    <w:p w14:paraId="7BF05462">
      <w:pPr>
        <w:pStyle w:val="3"/>
        <w:spacing w:before="0"/>
        <w:ind w:left="0" w:right="151" w:firstLine="402" w:firstLineChars="200"/>
        <w:jc w:val="both"/>
        <w:rPr>
          <w:rFonts w:ascii="仿宋_GB2312" w:hAnsi="Times New Roman" w:eastAsia="仿宋_GB2312" w:cs="Times New Roman"/>
          <w:bCs/>
          <w:sz w:val="20"/>
          <w:highlight w:val="none"/>
          <w:lang w:eastAsia="zh-CN"/>
        </w:rPr>
      </w:pP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三）</w:t>
      </w:r>
      <w:r>
        <w:rPr>
          <w:rFonts w:ascii="仿宋_GB2312" w:eastAsia="仿宋_GB2312" w:cs="Times New Roman" w:hAnsiTheme="minorEastAsia"/>
          <w:b/>
          <w:bCs w:val="0"/>
          <w:sz w:val="20"/>
          <w:highlight w:val="none"/>
          <w:lang w:eastAsia="zh-CN"/>
        </w:rPr>
        <w:t>贵阳农商银行提前终止本期产品的情形包括但不限于：</w:t>
      </w:r>
    </w:p>
    <w:p w14:paraId="76CBDC7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 xml:space="preserve">.因不可抗力原因导致理财产品无法继续运作；                                   </w:t>
      </w:r>
    </w:p>
    <w:p w14:paraId="5458F7F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 xml:space="preserve">.遇有市场剧烈波动、异常风险事件等情形导致理财产品净值出现大幅波动或严重影响理财产品的资产安全；                                                            </w:t>
      </w:r>
    </w:p>
    <w:p w14:paraId="6EBB27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.所投资市场要求或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协议等相关法律文件约定，或者继续存续无法实现投资目标；</w:t>
      </w:r>
    </w:p>
    <w:p w14:paraId="6A95EB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eastAsia" w:ascii="仿宋_GB2312" w:eastAsia="仿宋_GB2312" w:cs="Times New Roman" w:hAnsiTheme="minorEastAsia"/>
          <w:sz w:val="20"/>
          <w:highlight w:val="none"/>
          <w:lang w:eastAsia="zh-CN"/>
        </w:rPr>
        <w:t>.因相关投资管理机构解散、破产、撤销、被取消业务资格等原因无法继续履行相应职责导致产品无法继续运作；</w:t>
      </w:r>
    </w:p>
    <w:p w14:paraId="75A322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协议等相关法律文件约定的行为导致理财产品被动提前终止；</w:t>
      </w:r>
    </w:p>
    <w:p w14:paraId="0E84431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.因法律法规变化或国家金融政策调整、紧急措施出台影响产品继续正常运作；</w:t>
      </w:r>
    </w:p>
    <w:p w14:paraId="7C82B9B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eastAsia" w:ascii="仿宋_GB2312" w:eastAsia="仿宋_GB2312" w:cs="Times New Roman" w:hAnsiTheme="minorEastAsia"/>
          <w:sz w:val="20"/>
          <w:highlight w:val="none"/>
          <w:lang w:eastAsia="zh-CN"/>
        </w:rPr>
        <w:t>.法律法规规定或监管部门认定的其他情形。</w:t>
      </w:r>
    </w:p>
    <w:p w14:paraId="4EB25251">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九</w:t>
      </w:r>
      <w:r>
        <w:rPr>
          <w:rFonts w:ascii="Times New Roman" w:hAnsi="黑体" w:eastAsia="黑体" w:cs="Times New Roman"/>
          <w:highlight w:val="none"/>
          <w:lang w:eastAsia="zh-CN"/>
        </w:rPr>
        <w:t>、理财产品到期兑付</w:t>
      </w:r>
    </w:p>
    <w:p w14:paraId="0CD666D2">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（一）正常兑付</w:t>
      </w:r>
    </w:p>
    <w:p w14:paraId="12CA866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val="en-US" w:eastAsia="zh-CN"/>
        </w:rPr>
        <w:t>投资者可得资金兑付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val="en-US" w:eastAsia="zh-CN"/>
        </w:rPr>
        <w:t>投资者认购</w:t>
      </w:r>
      <w:r>
        <w:rPr>
          <w:rFonts w:ascii="仿宋_GB2312" w:eastAsia="仿宋_GB2312" w:cs="Times New Roman" w:hAnsiTheme="minorEastAsia"/>
          <w:sz w:val="20"/>
          <w:highlight w:val="none"/>
          <w:lang w:eastAsia="zh-CN"/>
        </w:rPr>
        <w:t>账户</w:t>
      </w:r>
      <w:r>
        <w:rPr>
          <w:rFonts w:hint="eastAsia" w:ascii="仿宋_GB2312" w:eastAsia="仿宋_GB2312" w:cs="Times New Roman" w:hAnsiTheme="minorEastAsia"/>
          <w:b w:val="0"/>
          <w:bCs w:val="0"/>
          <w:sz w:val="20"/>
          <w:highlight w:val="none"/>
          <w:lang w:eastAsia="zh-CN"/>
        </w:rPr>
        <w:t>，</w:t>
      </w:r>
      <w:r>
        <w:rPr>
          <w:rFonts w:ascii="仿宋_GB2312" w:eastAsia="仿宋_GB2312" w:cs="Times New Roman" w:hAnsiTheme="minorEastAsia"/>
          <w:b w:val="0"/>
          <w:bCs w:val="0"/>
          <w:sz w:val="20"/>
          <w:highlight w:val="none"/>
          <w:lang w:eastAsia="zh-CN"/>
        </w:rPr>
        <w:t>到期日</w:t>
      </w:r>
      <w:r>
        <w:rPr>
          <w:rFonts w:hint="eastAsia" w:ascii="仿宋_GB2312" w:eastAsia="仿宋_GB2312" w:cs="Times New Roman" w:hAnsiTheme="minorEastAsia"/>
          <w:b w:val="0"/>
          <w:bCs w:val="0"/>
          <w:sz w:val="20"/>
          <w:highlight w:val="none"/>
          <w:lang w:val="en-US" w:eastAsia="zh-CN"/>
        </w:rPr>
        <w:t>至资金到账日之间不计息。</w:t>
      </w:r>
    </w:p>
    <w:p w14:paraId="3463BD1B">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）展期</w:t>
      </w:r>
    </w:p>
    <w:p w14:paraId="497E9E6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产品到期前，贵阳农商银行根据市场和产品运行情况等，有权利决定是否延长产品期限。如贵阳农商银行决定延长产品期限，将至少于产品到期日之前</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w:t>
      </w:r>
      <w:r>
        <w:rPr>
          <w:rFonts w:hint="eastAsia" w:ascii="仿宋_GB2312" w:eastAsia="仿宋_GB2312" w:cs="Times New Roman" w:hAnsiTheme="minorEastAsia"/>
          <w:b w:val="0"/>
          <w:bCs w:val="0"/>
          <w:sz w:val="20"/>
          <w:szCs w:val="18"/>
          <w:highlight w:val="none"/>
          <w:lang w:val="en-US" w:eastAsia="zh-CN"/>
        </w:rPr>
        <w:t>公布</w:t>
      </w:r>
      <w:r>
        <w:rPr>
          <w:rFonts w:ascii="仿宋_GB2312" w:eastAsia="仿宋_GB2312" w:cs="Times New Roman" w:hAnsiTheme="minorEastAsia"/>
          <w:sz w:val="20"/>
          <w:highlight w:val="none"/>
          <w:lang w:eastAsia="zh-CN"/>
        </w:rPr>
        <w:t>延长后的产品期限及到期日等信息。</w:t>
      </w:r>
    </w:p>
    <w:p w14:paraId="609D875D">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三</w:t>
      </w:r>
      <w:r>
        <w:rPr>
          <w:rFonts w:ascii="仿宋_GB2312" w:eastAsia="仿宋_GB2312" w:cs="Times New Roman" w:hAnsiTheme="minorEastAsia"/>
          <w:b/>
          <w:sz w:val="20"/>
          <w:highlight w:val="none"/>
          <w:lang w:eastAsia="zh-CN"/>
        </w:rPr>
        <w:t>）非正常情况</w:t>
      </w:r>
      <w:r>
        <w:rPr>
          <w:rFonts w:hint="eastAsia" w:ascii="仿宋_GB2312" w:eastAsia="仿宋_GB2312" w:cs="Times New Roman" w:hAnsiTheme="minorEastAsia"/>
          <w:b/>
          <w:sz w:val="20"/>
          <w:highlight w:val="none"/>
          <w:lang w:eastAsia="zh-CN"/>
        </w:rPr>
        <w:t>兑付</w:t>
      </w:r>
    </w:p>
    <w:p w14:paraId="6EFF34A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highlight w:val="none"/>
          <w:lang w:eastAsia="zh-CN"/>
        </w:rPr>
        <w:t>，造成本产品的基础资产无法及时、足额</w:t>
      </w:r>
      <w:r>
        <w:rPr>
          <w:rFonts w:hint="eastAsia" w:ascii="仿宋_GB2312" w:eastAsia="仿宋_GB2312" w:cs="Times New Roman" w:hAnsiTheme="minorEastAsia"/>
          <w:sz w:val="20"/>
          <w:highlight w:val="none"/>
          <w:lang w:eastAsia="zh-CN"/>
        </w:rPr>
        <w:t>变现</w:t>
      </w:r>
      <w:r>
        <w:rPr>
          <w:rFonts w:ascii="仿宋_GB2312" w:eastAsia="仿宋_GB2312" w:cs="Times New Roman" w:hAnsiTheme="minorEastAsia"/>
          <w:sz w:val="20"/>
          <w:highlight w:val="none"/>
          <w:lang w:eastAsia="zh-CN"/>
        </w:rPr>
        <w:t>，贵阳农商银行</w:t>
      </w:r>
      <w:r>
        <w:rPr>
          <w:rFonts w:hint="eastAsia" w:ascii="仿宋_GB2312" w:eastAsia="仿宋_GB2312" w:cs="Times New Roman" w:hAnsiTheme="minorEastAsia"/>
          <w:sz w:val="20"/>
          <w:highlight w:val="none"/>
          <w:lang w:val="en-US" w:eastAsia="zh-CN"/>
        </w:rPr>
        <w:t>有权</w:t>
      </w:r>
      <w:r>
        <w:rPr>
          <w:rFonts w:ascii="仿宋_GB2312" w:eastAsia="仿宋_GB2312" w:cs="Times New Roman" w:hAnsiTheme="minorEastAsia"/>
          <w:sz w:val="20"/>
          <w:highlight w:val="none"/>
          <w:lang w:eastAsia="zh-CN"/>
        </w:rPr>
        <w:t>根据实际情况</w:t>
      </w:r>
      <w:r>
        <w:rPr>
          <w:rFonts w:hint="eastAsia" w:ascii="仿宋_GB2312" w:eastAsia="仿宋_GB2312" w:cs="Times New Roman" w:hAnsiTheme="minorEastAsia"/>
          <w:sz w:val="20"/>
          <w:highlight w:val="none"/>
          <w:lang w:val="en-US" w:eastAsia="zh-CN"/>
        </w:rPr>
        <w:t>自行决定采取</w:t>
      </w:r>
      <w:r>
        <w:rPr>
          <w:rFonts w:ascii="仿宋_GB2312" w:eastAsia="仿宋_GB2312" w:cs="Times New Roman" w:hAnsiTheme="minorEastAsia"/>
          <w:sz w:val="20"/>
          <w:highlight w:val="none"/>
          <w:lang w:eastAsia="zh-CN"/>
        </w:rPr>
        <w:t>提前兑付、延</w:t>
      </w:r>
      <w:r>
        <w:rPr>
          <w:rFonts w:hint="eastAsia" w:ascii="仿宋_GB2312" w:eastAsia="仿宋_GB2312" w:cs="Times New Roman" w:hAnsiTheme="minorEastAsia"/>
          <w:sz w:val="20"/>
          <w:highlight w:val="none"/>
          <w:lang w:val="en-US" w:eastAsia="zh-CN"/>
        </w:rPr>
        <w:t>期</w:t>
      </w:r>
      <w:r>
        <w:rPr>
          <w:rFonts w:ascii="仿宋_GB2312" w:eastAsia="仿宋_GB2312" w:cs="Times New Roman" w:hAnsiTheme="minorEastAsia"/>
          <w:sz w:val="20"/>
          <w:highlight w:val="none"/>
          <w:lang w:eastAsia="zh-CN"/>
        </w:rPr>
        <w:t>兑付或者分次兑付</w:t>
      </w:r>
      <w:r>
        <w:rPr>
          <w:rFonts w:hint="eastAsia" w:ascii="仿宋_GB2312" w:eastAsia="仿宋_GB2312" w:cs="Times New Roman" w:hAnsiTheme="minorEastAsia"/>
          <w:sz w:val="20"/>
          <w:highlight w:val="none"/>
          <w:lang w:val="en-US" w:eastAsia="zh-CN"/>
        </w:rPr>
        <w:t>等方式</w:t>
      </w:r>
      <w:r>
        <w:rPr>
          <w:rFonts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进行兑付</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并于具体实施前的</w:t>
      </w:r>
      <w:r>
        <w:rPr>
          <w:rFonts w:hint="eastAsia" w:ascii="仿宋_GB2312" w:eastAsia="仿宋_GB2312" w:cs="Times New Roman" w:hAnsiTheme="minorEastAsia"/>
          <w:b w:val="0"/>
          <w:bCs/>
          <w:sz w:val="20"/>
          <w:highlight w:val="none"/>
          <w:u w:val="none"/>
          <w:lang w:val="en-US" w:eastAsia="zh-CN"/>
        </w:rPr>
        <w:t>3</w:t>
      </w:r>
      <w:r>
        <w:rPr>
          <w:rFonts w:hint="eastAsia" w:ascii="仿宋_GB2312" w:eastAsia="仿宋_GB2312" w:cs="Times New Roman" w:hAnsiTheme="minorEastAsia"/>
          <w:sz w:val="20"/>
          <w:highlight w:val="none"/>
          <w:lang w:val="en-US" w:eastAsia="zh-CN"/>
        </w:rPr>
        <w:t>个工作日通过贵阳农商银行官方网站等渠道公布</w:t>
      </w:r>
      <w:r>
        <w:rPr>
          <w:rFonts w:ascii="仿宋_GB2312" w:eastAsia="仿宋_GB2312" w:cs="Times New Roman" w:hAnsiTheme="minorEastAsia"/>
          <w:sz w:val="20"/>
          <w:highlight w:val="none"/>
          <w:lang w:eastAsia="zh-CN"/>
        </w:rPr>
        <w:t>。</w:t>
      </w:r>
    </w:p>
    <w:p w14:paraId="3E8A411D">
      <w:pPr>
        <w:pStyle w:val="13"/>
        <w:ind w:left="0" w:right="153"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十</w:t>
      </w:r>
      <w:r>
        <w:rPr>
          <w:rFonts w:ascii="Times New Roman" w:hAnsi="黑体" w:eastAsia="黑体" w:cs="Times New Roman"/>
          <w:highlight w:val="none"/>
          <w:lang w:eastAsia="zh-CN"/>
        </w:rPr>
        <w:t>、信息披露</w:t>
      </w:r>
    </w:p>
    <w:p w14:paraId="029DFE1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79D48FA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4D4498E9">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4F6AB11">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b w:val="0"/>
          <w:bCs/>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62DBAB64">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774FCC1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068A9B38">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b w:val="0"/>
          <w:bCs/>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71BE1883">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1F50AFD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1D0AB568">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10F5FEDF">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10CABF23">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三</w:t>
      </w:r>
      <w:r>
        <w:rPr>
          <w:rFonts w:hint="eastAsia" w:ascii="仿宋_GB2312" w:eastAsia="仿宋_GB2312" w:cs="Times New Roman" w:hAnsiTheme="minorEastAsia"/>
          <w:spacing w:val="-2"/>
          <w:sz w:val="20"/>
          <w:highlight w:val="none"/>
          <w:lang w:eastAsia="zh-CN"/>
        </w:rPr>
        <w:t>）信息披露的责任</w:t>
      </w:r>
    </w:p>
    <w:p w14:paraId="0CEB11CF">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1.</w:t>
      </w:r>
      <w:r>
        <w:rPr>
          <w:rFonts w:hint="eastAsia" w:ascii="仿宋_GB2312" w:eastAsia="仿宋_GB2312" w:cs="Times New Roman" w:hAnsiTheme="minorEastAsia"/>
          <w:spacing w:val="-2"/>
          <w:sz w:val="20"/>
          <w:highlight w:val="none"/>
          <w:lang w:eastAsia="zh-CN"/>
        </w:rPr>
        <w:t>贵阳农村商业银行股份有限公司</w:t>
      </w:r>
    </w:p>
    <w:p w14:paraId="3F250E6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根据《中华人民共和国消费者权益保护法》《中国人民银行金融消费者权益保护实施办法》 《</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》《商业银行理财业务监督管理办法》</w:t>
      </w:r>
      <w:r>
        <w:rPr>
          <w:rFonts w:hint="eastAsia" w:ascii="仿宋_GB2312" w:eastAsia="仿宋_GB2312" w:cs="Times New Roman" w:hAnsiTheme="minorEastAsia"/>
          <w:sz w:val="20"/>
          <w:highlight w:val="none"/>
          <w:lang w:val="en-US" w:eastAsia="zh-CN"/>
        </w:rPr>
        <w:t>等</w:t>
      </w:r>
      <w:r>
        <w:rPr>
          <w:rFonts w:hint="eastAsia" w:ascii="仿宋_GB2312" w:eastAsia="仿宋_GB2312" w:cs="Times New Roman" w:hAnsiTheme="minorEastAsia"/>
          <w:sz w:val="20"/>
          <w:highlight w:val="none"/>
          <w:lang w:eastAsia="zh-CN"/>
        </w:rPr>
        <w:t>的要求，主动、真实、准确、完整、及时地向理财投资者提供理财产品信息披露服务。</w:t>
      </w:r>
    </w:p>
    <w:p w14:paraId="7468A93E">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2.</w:t>
      </w:r>
      <w:r>
        <w:rPr>
          <w:rFonts w:hint="eastAsia" w:ascii="仿宋_GB2312" w:eastAsia="仿宋_GB2312" w:cs="Times New Roman" w:hAnsiTheme="minorEastAsia"/>
          <w:spacing w:val="-2"/>
          <w:sz w:val="20"/>
          <w:highlight w:val="none"/>
          <w:lang w:eastAsia="zh-CN"/>
        </w:rPr>
        <w:t>投资者</w:t>
      </w:r>
    </w:p>
    <w:p w14:paraId="1FC6263B">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投资者应定期通过相关披露渠道获知有关本理财产品相关信息。</w:t>
      </w:r>
    </w:p>
    <w:p w14:paraId="528A32CA">
      <w:pPr>
        <w:pStyle w:val="3"/>
        <w:spacing w:before="0"/>
        <w:ind w:left="0" w:right="151" w:firstLine="394" w:firstLineChars="200"/>
        <w:jc w:val="both"/>
        <w:rPr>
          <w:rFonts w:ascii="仿宋_GB2312" w:hAnsi="Times New Roman" w:eastAsia="仿宋_GB2312" w:cs="Times New Roman"/>
          <w:sz w:val="20"/>
          <w:highlight w:val="none"/>
          <w:lang w:eastAsia="zh-CN"/>
        </w:rPr>
      </w:pPr>
      <w:r>
        <w:rPr>
          <w:rFonts w:hint="eastAsia" w:ascii="仿宋_GB2312" w:eastAsia="仿宋_GB2312" w:cs="Times New Roman" w:hAnsiTheme="minorEastAsia"/>
          <w:b/>
          <w:spacing w:val="-2"/>
          <w:sz w:val="20"/>
          <w:highlight w:val="none"/>
          <w:lang w:eastAsia="zh-CN"/>
        </w:rPr>
        <w:t>（</w:t>
      </w:r>
      <w:r>
        <w:rPr>
          <w:rFonts w:hint="eastAsia" w:ascii="仿宋_GB2312" w:eastAsia="仿宋_GB2312" w:cs="Times New Roman" w:hAnsiTheme="minorEastAsia"/>
          <w:b/>
          <w:spacing w:val="-2"/>
          <w:sz w:val="20"/>
          <w:highlight w:val="none"/>
          <w:lang w:val="en-US" w:eastAsia="zh-CN"/>
        </w:rPr>
        <w:t>四</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同意，贵阳农商银行通过</w:t>
      </w:r>
      <w:r>
        <w:rPr>
          <w:rFonts w:hint="eastAsia" w:ascii="仿宋_GB2312" w:eastAsia="仿宋_GB2312" w:cs="Times New Roman" w:hAnsiTheme="minorEastAsia"/>
          <w:b/>
          <w:spacing w:val="-2"/>
          <w:sz w:val="20"/>
          <w:highlight w:val="none"/>
          <w:lang w:eastAsia="zh-CN"/>
        </w:rPr>
        <w:t>相关</w:t>
      </w:r>
      <w:r>
        <w:rPr>
          <w:rFonts w:ascii="仿宋_GB2312" w:eastAsia="仿宋_GB2312" w:cs="Times New Roman" w:hAnsiTheme="minorEastAsia"/>
          <w:b/>
          <w:spacing w:val="-2"/>
          <w:sz w:val="20"/>
          <w:highlight w:val="none"/>
          <w:lang w:eastAsia="zh-CN"/>
        </w:rPr>
        <w:t>披露</w:t>
      </w:r>
      <w:r>
        <w:rPr>
          <w:rFonts w:hint="eastAsia" w:ascii="仿宋_GB2312" w:eastAsia="仿宋_GB2312" w:cs="Times New Roman" w:hAnsiTheme="minorEastAsia"/>
          <w:b/>
          <w:spacing w:val="-2"/>
          <w:sz w:val="20"/>
          <w:highlight w:val="none"/>
          <w:lang w:eastAsia="zh-CN"/>
        </w:rPr>
        <w:t>渠道</w:t>
      </w:r>
      <w:r>
        <w:rPr>
          <w:rFonts w:ascii="仿宋_GB2312" w:eastAsia="仿宋_GB2312" w:cs="Times New Roman" w:hAnsiTheme="minorEastAsia"/>
          <w:b/>
          <w:spacing w:val="-2"/>
          <w:sz w:val="20"/>
          <w:highlight w:val="none"/>
          <w:lang w:eastAsia="zh-CN"/>
        </w:rPr>
        <w:t>进行信息披露，如果</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未及时查询，或由于通讯故障、</w:t>
      </w:r>
      <w:r>
        <w:rPr>
          <w:rFonts w:ascii="仿宋_GB2312" w:eastAsia="仿宋_GB2312" w:cs="Times New Roman" w:hAnsiTheme="minorEastAsia"/>
          <w:b/>
          <w:sz w:val="20"/>
          <w:highlight w:val="none"/>
          <w:lang w:eastAsia="zh-CN"/>
        </w:rPr>
        <w:t>系统故障以及其他不可抗力等因素的影响使得</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无法及时了解产品信息，</w:t>
      </w:r>
      <w:r>
        <w:rPr>
          <w:rFonts w:hint="eastAsia" w:ascii="仿宋_GB2312" w:eastAsia="仿宋_GB2312" w:cs="Times New Roman" w:hAnsiTheme="minorEastAsia"/>
          <w:b/>
          <w:sz w:val="20"/>
          <w:highlight w:val="none"/>
          <w:lang w:val="en-US" w:eastAsia="zh-CN"/>
        </w:rPr>
        <w:t>可能导致投资者产生风险，此类风险</w:t>
      </w:r>
      <w:r>
        <w:rPr>
          <w:rFonts w:ascii="仿宋_GB2312" w:eastAsia="仿宋_GB2312" w:cs="Times New Roman" w:hAnsiTheme="minorEastAsia"/>
          <w:b/>
          <w:sz w:val="20"/>
          <w:highlight w:val="none"/>
          <w:lang w:eastAsia="zh-CN"/>
        </w:rPr>
        <w:t>包括但不限于因</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未及时获知信息而错过资金使用和再投资的机会等，</w:t>
      </w:r>
      <w:r>
        <w:rPr>
          <w:rFonts w:hint="eastAsia" w:ascii="仿宋_GB2312" w:eastAsia="仿宋_GB2312" w:cs="Times New Roman" w:hAnsiTheme="minorEastAsia"/>
          <w:b/>
          <w:sz w:val="20"/>
          <w:highlight w:val="none"/>
          <w:lang w:val="en-US" w:eastAsia="zh-CN"/>
        </w:rPr>
        <w:t>由此产生的风险及损失（如有）</w:t>
      </w:r>
      <w:r>
        <w:rPr>
          <w:rFonts w:ascii="仿宋_GB2312" w:eastAsia="仿宋_GB2312" w:cs="Times New Roman" w:hAnsiTheme="minorEastAsia"/>
          <w:b/>
          <w:sz w:val="20"/>
          <w:highlight w:val="none"/>
          <w:lang w:eastAsia="zh-CN"/>
        </w:rPr>
        <w:t>由</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自行承担。</w:t>
      </w:r>
    </w:p>
    <w:p w14:paraId="46D1035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五</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贵阳农商银行为</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提供本产品相关信息查询。本产品存续期内，</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可凭本人身份证件和《贵阳农商银行理财产品协议》在贵阳农商银行</w:t>
      </w:r>
      <w:r>
        <w:rPr>
          <w:rFonts w:hint="eastAsia" w:ascii="仿宋_GB2312" w:eastAsia="仿宋_GB2312" w:cs="Times New Roman" w:hAnsiTheme="minorEastAsia"/>
          <w:sz w:val="20"/>
          <w:highlight w:val="none"/>
          <w:lang w:val="en-US" w:eastAsia="zh-CN"/>
        </w:rPr>
        <w:t>任一</w:t>
      </w:r>
      <w:r>
        <w:rPr>
          <w:rFonts w:ascii="仿宋_GB2312" w:eastAsia="仿宋_GB2312" w:cs="Times New Roman" w:hAnsiTheme="minorEastAsia"/>
          <w:sz w:val="20"/>
          <w:highlight w:val="none"/>
          <w:lang w:eastAsia="zh-CN"/>
        </w:rPr>
        <w:t>营业网点查询相关信息。</w:t>
      </w:r>
    </w:p>
    <w:p w14:paraId="08D495D7">
      <w:pPr>
        <w:pStyle w:val="13"/>
        <w:ind w:left="0" w:right="151" w:firstLine="480" w:firstLineChars="200"/>
        <w:jc w:val="both"/>
        <w:rPr>
          <w:rFonts w:ascii="Times New Roman" w:hAnsi="黑体" w:eastAsia="黑体" w:cs="Times New Roman"/>
          <w:highlight w:val="none"/>
          <w:lang w:eastAsia="zh-CN"/>
        </w:rPr>
      </w:pPr>
      <w:r>
        <w:rPr>
          <w:rFonts w:hint="eastAsia" w:ascii="Times New Roman" w:hAnsi="黑体" w:eastAsia="黑体" w:cs="Times New Roman"/>
          <w:highlight w:val="none"/>
          <w:lang w:eastAsia="zh-CN"/>
        </w:rPr>
        <w:t>十</w:t>
      </w:r>
      <w:r>
        <w:rPr>
          <w:rFonts w:hint="eastAsia" w:ascii="Times New Roman" w:hAnsi="黑体" w:eastAsia="黑体" w:cs="Times New Roman"/>
          <w:highlight w:val="none"/>
          <w:lang w:val="en-US" w:eastAsia="zh-CN"/>
        </w:rPr>
        <w:t>一</w:t>
      </w:r>
      <w:r>
        <w:rPr>
          <w:rFonts w:hint="eastAsia" w:ascii="Times New Roman" w:hAnsi="黑体" w:eastAsia="黑体" w:cs="Times New Roman"/>
          <w:highlight w:val="none"/>
          <w:lang w:eastAsia="zh-CN"/>
        </w:rPr>
        <w:t>、</w:t>
      </w:r>
      <w:r>
        <w:rPr>
          <w:rFonts w:hint="eastAsia" w:ascii="Times New Roman" w:hAnsi="黑体" w:eastAsia="黑体" w:cs="Times New Roman"/>
          <w:b/>
          <w:bCs/>
          <w:highlight w:val="none"/>
          <w:lang w:eastAsia="zh-CN"/>
        </w:rPr>
        <w:t>保密义务</w:t>
      </w:r>
    </w:p>
    <w:p w14:paraId="244283F2">
      <w:pPr>
        <w:pStyle w:val="3"/>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highlight w:val="none"/>
          <w:lang w:val="en-US" w:eastAsia="zh-CN"/>
        </w:rPr>
        <w:t>和监管要求</w:t>
      </w:r>
      <w:r>
        <w:rPr>
          <w:rFonts w:hint="eastAsia"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val="en-US" w:eastAsia="zh-CN"/>
        </w:rPr>
        <w:t>托管机构、</w:t>
      </w:r>
      <w:r>
        <w:rPr>
          <w:rFonts w:hint="eastAsia" w:ascii="仿宋_GB2312" w:eastAsia="仿宋_GB2312" w:cs="Times New Roman" w:hAnsiTheme="minorEastAsia"/>
          <w:sz w:val="20"/>
          <w:highlight w:val="none"/>
          <w:lang w:eastAsia="zh-CN"/>
        </w:rPr>
        <w:t>银行业理财登记托管中心有限公司及监管机构提供投资者身份信息及理财产品持有信息等相关信息。</w:t>
      </w:r>
    </w:p>
    <w:p w14:paraId="62CE6465">
      <w:pPr>
        <w:pStyle w:val="3"/>
        <w:spacing w:before="0" w:beforeLines="0" w:after="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1A3D537F">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1099A482">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金融账户与交易信息：开户申请、理财产品认购申请等各类申请信息，开户确认、认购确认、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9993D65">
      <w:pPr>
        <w:pStyle w:val="3"/>
        <w:spacing w:before="0" w:beforeLines="0" w:after="0" w:afterLines="0" w:line="240" w:lineRule="auto"/>
        <w:ind w:left="0" w:leftChars="0" w:right="0" w:firstLine="400"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0FE591A8">
      <w:pPr>
        <w:pStyle w:val="3"/>
        <w:numPr>
          <w:ilvl w:val="0"/>
          <w:numId w:val="1"/>
        </w:numPr>
        <w:spacing w:beforeLines="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0E631A16">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p w14:paraId="694F998E">
      <w:pPr>
        <w:pStyle w:val="13"/>
        <w:ind w:left="0" w:right="151"/>
        <w:jc w:val="center"/>
        <w:rPr>
          <w:rFonts w:hint="eastAsia" w:ascii="方正小标宋_GBK" w:hAnsi="方正小标宋_GBK" w:eastAsia="方正小标宋_GBK" w:cs="方正小标宋_GBK"/>
          <w:sz w:val="36"/>
          <w:szCs w:val="36"/>
          <w:highlight w:val="none"/>
          <w:lang w:eastAsia="zh-CN"/>
        </w:rPr>
      </w:pPr>
    </w:p>
    <w:p w14:paraId="24541643">
      <w:pPr>
        <w:pStyle w:val="13"/>
        <w:ind w:left="0" w:right="151"/>
        <w:jc w:val="center"/>
        <w:rPr>
          <w:rFonts w:hint="eastAsia" w:ascii="方正小标宋_GBK" w:hAnsi="方正小标宋_GBK" w:eastAsia="方正小标宋_GBK" w:cs="方正小标宋_GBK"/>
          <w:sz w:val="36"/>
          <w:szCs w:val="36"/>
          <w:highlight w:val="none"/>
          <w:lang w:eastAsia="zh-CN"/>
        </w:rPr>
      </w:pPr>
    </w:p>
    <w:p w14:paraId="3EB3D4FD">
      <w:pPr>
        <w:pStyle w:val="13"/>
        <w:ind w:left="0" w:right="151"/>
        <w:jc w:val="center"/>
        <w:rPr>
          <w:rFonts w:hint="eastAsia" w:ascii="方正小标宋_GBK" w:hAnsi="方正小标宋_GBK" w:eastAsia="方正小标宋_GBK" w:cs="方正小标宋_GBK"/>
          <w:sz w:val="36"/>
          <w:szCs w:val="36"/>
          <w:highlight w:val="none"/>
          <w:lang w:eastAsia="zh-CN"/>
        </w:rPr>
      </w:pPr>
    </w:p>
    <w:p w14:paraId="679BFB43">
      <w:pPr>
        <w:pStyle w:val="13"/>
        <w:ind w:left="0" w:right="151"/>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贵阳农商银行理财产品协议</w:t>
      </w:r>
    </w:p>
    <w:p w14:paraId="01D9508F">
      <w:pPr>
        <w:snapToGrid w:val="0"/>
        <w:spacing w:line="240" w:lineRule="exact"/>
        <w:ind w:firstLine="402" w:firstLineChars="200"/>
        <w:jc w:val="both"/>
        <w:rPr>
          <w:rFonts w:ascii="仿宋_GB2312" w:hAnsi="宋体" w:eastAsia="仿宋_GB2312"/>
          <w:b/>
          <w:sz w:val="20"/>
          <w:szCs w:val="20"/>
          <w:highlight w:val="none"/>
          <w:lang w:eastAsia="zh-CN"/>
        </w:rPr>
      </w:pPr>
      <w:r>
        <w:rPr>
          <w:rFonts w:hint="eastAsia" w:ascii="仿宋_GB2312" w:hAnsi="宋体" w:eastAsia="仿宋_GB2312"/>
          <w:b/>
          <w:sz w:val="20"/>
          <w:szCs w:val="20"/>
          <w:highlight w:val="none"/>
          <w:lang w:eastAsia="zh-CN"/>
        </w:rPr>
        <w:t>贵阳农商银行理财产品协议（以下简称“本协议”）为</w:t>
      </w:r>
      <w:r>
        <w:rPr>
          <w:rFonts w:hint="eastAsia" w:ascii="仿宋_GB2312" w:hAnsi="宋体" w:eastAsia="仿宋_GB2312"/>
          <w:b/>
          <w:sz w:val="20"/>
          <w:szCs w:val="20"/>
          <w:highlight w:val="none"/>
          <w:lang w:val="en-US" w:eastAsia="zh-CN"/>
        </w:rPr>
        <w:t>理财产品销售文件</w:t>
      </w:r>
      <w:r>
        <w:rPr>
          <w:rFonts w:hint="eastAsia" w:ascii="仿宋_GB2312" w:hAnsi="宋体" w:eastAsia="仿宋_GB2312"/>
          <w:b/>
          <w:sz w:val="20"/>
          <w:szCs w:val="20"/>
          <w:highlight w:val="none"/>
          <w:lang w:eastAsia="zh-CN"/>
        </w:rPr>
        <w:t>不可分割的组成部分，请在签署本协议前，仔细阅读本协议各条款。</w:t>
      </w:r>
    </w:p>
    <w:p w14:paraId="0A54846B">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甲方：投资者</w:t>
      </w:r>
    </w:p>
    <w:p w14:paraId="617B1809">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乙方：贵阳农商银行理财产品销售机构（如为线下购买，理财产品销售机构为甲方购买理财产品的营业网点；如为线上购买，理财产品销售机构为甲方在乙方的开户网点）</w:t>
      </w:r>
    </w:p>
    <w:p w14:paraId="4D6C5D8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经甲方与乙方协商一致，就甲方向乙方购买理财产品，达成协议如下：</w:t>
      </w:r>
    </w:p>
    <w:p w14:paraId="6A86E7F0">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3E8F86EE">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二、甲方声明：甲方为具有完全民事行为能力的</w:t>
      </w:r>
      <w:r>
        <w:rPr>
          <w:rFonts w:hint="eastAsia" w:ascii="仿宋_GB2312" w:hAnsi="宋体" w:eastAsia="仿宋_GB2312"/>
          <w:sz w:val="20"/>
          <w:szCs w:val="20"/>
          <w:highlight w:val="none"/>
          <w:lang w:val="en-US" w:eastAsia="zh-CN"/>
        </w:rPr>
        <w:t>个</w:t>
      </w:r>
      <w:r>
        <w:rPr>
          <w:rFonts w:hint="eastAsia" w:ascii="仿宋_GB2312" w:hAnsi="宋体" w:eastAsia="仿宋_GB2312"/>
          <w:sz w:val="20"/>
          <w:szCs w:val="20"/>
          <w:highlight w:val="none"/>
          <w:lang w:eastAsia="zh-CN"/>
        </w:rPr>
        <w:t>人。甲方接受并签署《贵阳农商银行理财产品协议》及</w:t>
      </w:r>
      <w:r>
        <w:rPr>
          <w:rFonts w:hint="eastAsia" w:ascii="仿宋_GB2312" w:hAnsi="宋体" w:eastAsia="仿宋_GB2312"/>
          <w:sz w:val="20"/>
          <w:szCs w:val="20"/>
          <w:highlight w:val="none"/>
          <w:lang w:val="en-US" w:eastAsia="zh-CN"/>
        </w:rPr>
        <w:t>本期</w:t>
      </w:r>
      <w:r>
        <w:rPr>
          <w:rFonts w:hint="eastAsia" w:ascii="仿宋_GB2312" w:hAnsi="宋体" w:eastAsia="仿宋_GB2312"/>
          <w:sz w:val="20"/>
          <w:szCs w:val="20"/>
          <w:highlight w:val="none"/>
          <w:lang w:eastAsia="zh-CN"/>
        </w:rPr>
        <w:t>的《理财产品说明书》《风险揭示书》《投资者权益须知》《</w:t>
      </w:r>
      <w:r>
        <w:rPr>
          <w:rFonts w:hint="eastAsia" w:ascii="仿宋_GB2312" w:hAnsi="宋体" w:eastAsia="仿宋_GB2312"/>
          <w:sz w:val="20"/>
          <w:szCs w:val="20"/>
          <w:highlight w:val="none"/>
          <w:lang w:val="en-US" w:eastAsia="zh-CN"/>
        </w:rPr>
        <w:t>信息授权书（理财业务版）》</w:t>
      </w:r>
      <w:r>
        <w:rPr>
          <w:rFonts w:hint="eastAsia" w:ascii="仿宋_GB2312" w:hAnsi="宋体" w:eastAsia="仿宋_GB2312"/>
          <w:sz w:val="20"/>
          <w:szCs w:val="20"/>
          <w:highlight w:val="none"/>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highlight w:val="none"/>
          <w:lang w:val="en-US" w:eastAsia="zh-CN"/>
        </w:rPr>
        <w:t>不得据此要求</w:t>
      </w:r>
      <w:r>
        <w:rPr>
          <w:rFonts w:hint="eastAsia" w:ascii="仿宋_GB2312" w:hAnsi="宋体" w:eastAsia="仿宋_GB2312"/>
          <w:sz w:val="20"/>
          <w:szCs w:val="20"/>
          <w:highlight w:val="none"/>
          <w:lang w:eastAsia="zh-CN"/>
        </w:rPr>
        <w:t>乙方承担任何责任；甲方承诺所提供的所有资料真实有效，如有变更，甲方应</w:t>
      </w:r>
      <w:r>
        <w:rPr>
          <w:rFonts w:hint="eastAsia" w:ascii="仿宋_GB2312" w:hAnsi="宋体" w:eastAsia="仿宋_GB2312"/>
          <w:sz w:val="20"/>
          <w:szCs w:val="20"/>
          <w:highlight w:val="none"/>
          <w:lang w:val="en-US" w:eastAsia="zh-CN"/>
        </w:rPr>
        <w:t>及时</w:t>
      </w:r>
      <w:r>
        <w:rPr>
          <w:rFonts w:hint="eastAsia" w:ascii="仿宋_GB2312" w:hAnsi="宋体" w:eastAsia="仿宋_GB2312"/>
          <w:sz w:val="20"/>
          <w:szCs w:val="20"/>
          <w:highlight w:val="none"/>
          <w:lang w:eastAsia="zh-CN"/>
        </w:rPr>
        <w:t>到原经办</w:t>
      </w:r>
      <w:r>
        <w:rPr>
          <w:rFonts w:hint="eastAsia" w:ascii="仿宋_GB2312" w:hAnsi="宋体" w:eastAsia="仿宋_GB2312"/>
          <w:sz w:val="20"/>
          <w:szCs w:val="20"/>
          <w:highlight w:val="none"/>
          <w:lang w:val="en-US" w:eastAsia="zh-CN"/>
        </w:rPr>
        <w:t>营业网点</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如为线上购买的，原经办营业网点是指甲方在乙方的开户网点</w:t>
      </w:r>
      <w:r>
        <w:rPr>
          <w:rFonts w:hint="eastAsia" w:ascii="仿宋_GB2312" w:hAnsi="宋体" w:eastAsia="仿宋_GB2312"/>
          <w:sz w:val="20"/>
          <w:szCs w:val="20"/>
          <w:highlight w:val="none"/>
          <w:lang w:eastAsia="zh-CN"/>
        </w:rPr>
        <w:t>）办理变更手续。</w:t>
      </w:r>
    </w:p>
    <w:p w14:paraId="754B7EF5">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三、理财产品相关交易，个人投资者须</w:t>
      </w:r>
      <w:r>
        <w:rPr>
          <w:rFonts w:hint="eastAsia" w:ascii="仿宋_GB2312" w:hAnsi="宋体" w:eastAsia="仿宋_GB2312"/>
          <w:sz w:val="20"/>
          <w:szCs w:val="20"/>
          <w:highlight w:val="none"/>
          <w:lang w:val="en-US" w:eastAsia="zh-CN"/>
        </w:rPr>
        <w:t>持本人</w:t>
      </w:r>
      <w:r>
        <w:rPr>
          <w:rFonts w:hint="eastAsia" w:ascii="仿宋_GB2312" w:hAnsi="宋体" w:eastAsia="仿宋_GB2312"/>
          <w:sz w:val="20"/>
          <w:szCs w:val="20"/>
          <w:highlight w:val="none"/>
          <w:lang w:eastAsia="zh-CN"/>
        </w:rPr>
        <w:t>有效身份证件办理，不允许代理人代为办理。</w:t>
      </w:r>
    </w:p>
    <w:p w14:paraId="39A11EF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四、本协议仅适用于甲方向乙方购买的单笔理财产品，不同理财产品协议的效力及履行情况彼此独立。</w:t>
      </w:r>
    </w:p>
    <w:p w14:paraId="2768EF68">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eastAsia="zh-CN"/>
        </w:rPr>
        <w:t>五、甲方认购理财产品并签署本协议后，即授权乙方</w:t>
      </w:r>
      <w:r>
        <w:rPr>
          <w:rFonts w:hint="eastAsia" w:ascii="仿宋_GB2312" w:hAnsi="宋体" w:eastAsia="仿宋_GB2312"/>
          <w:sz w:val="20"/>
          <w:szCs w:val="20"/>
          <w:highlight w:val="none"/>
          <w:lang w:val="en-US" w:eastAsia="zh-CN"/>
        </w:rPr>
        <w:t>于</w:t>
      </w:r>
      <w:r>
        <w:rPr>
          <w:rFonts w:hint="eastAsia" w:ascii="仿宋_GB2312" w:hAnsi="宋体" w:eastAsia="仿宋_GB2312"/>
          <w:sz w:val="20"/>
          <w:szCs w:val="20"/>
          <w:highlight w:val="none"/>
          <w:lang w:eastAsia="zh-CN"/>
        </w:rPr>
        <w:t>认购日冻结</w:t>
      </w:r>
      <w:r>
        <w:rPr>
          <w:rFonts w:hint="eastAsia" w:ascii="仿宋_GB2312" w:hAnsi="宋体" w:eastAsia="仿宋_GB2312"/>
          <w:sz w:val="20"/>
          <w:szCs w:val="20"/>
          <w:highlight w:val="none"/>
          <w:lang w:val="en-US" w:eastAsia="zh-CN"/>
        </w:rPr>
        <w:t>甲方认购账户内的相应</w:t>
      </w:r>
      <w:r>
        <w:rPr>
          <w:rFonts w:hint="eastAsia" w:ascii="仿宋_GB2312" w:hAnsi="宋体" w:eastAsia="仿宋_GB2312"/>
          <w:sz w:val="20"/>
          <w:szCs w:val="20"/>
          <w:highlight w:val="none"/>
          <w:lang w:eastAsia="zh-CN"/>
        </w:rPr>
        <w:t>资金。</w:t>
      </w:r>
      <w:r>
        <w:rPr>
          <w:rFonts w:hint="eastAsia" w:ascii="仿宋_GB2312" w:hAnsi="宋体" w:eastAsia="仿宋_GB2312"/>
          <w:sz w:val="20"/>
          <w:szCs w:val="20"/>
          <w:highlight w:val="none"/>
          <w:lang w:val="en-US" w:eastAsia="zh-CN"/>
        </w:rPr>
        <w:t>冻结期间，甲方</w:t>
      </w:r>
      <w:r>
        <w:rPr>
          <w:rFonts w:hint="default" w:ascii="仿宋_GB2312" w:hAnsi="宋体" w:eastAsia="仿宋_GB2312" w:cstheme="minorBidi"/>
          <w:b w:val="0"/>
          <w:bCs w:val="0"/>
          <w:sz w:val="20"/>
          <w:szCs w:val="20"/>
          <w:highlight w:val="none"/>
          <w:lang w:eastAsia="zh-CN"/>
        </w:rPr>
        <w:t>可获得认购资金的活期存款利息（</w:t>
      </w:r>
      <w:r>
        <w:rPr>
          <w:rFonts w:hint="default" w:ascii="仿宋_GB2312" w:hAnsi="宋体" w:eastAsia="仿宋_GB2312" w:cstheme="minorBidi"/>
          <w:b w:val="0"/>
          <w:bCs w:val="0"/>
          <w:sz w:val="20"/>
          <w:szCs w:val="20"/>
          <w:highlight w:val="none"/>
          <w:lang w:val="en-US" w:eastAsia="zh-CN"/>
        </w:rPr>
        <w:t>单利</w:t>
      </w:r>
      <w:r>
        <w:rPr>
          <w:rFonts w:hint="default" w:ascii="仿宋_GB2312" w:hAnsi="宋体" w:eastAsia="仿宋_GB2312" w:cstheme="minorBidi"/>
          <w:b w:val="0"/>
          <w:bCs w:val="0"/>
          <w:sz w:val="20"/>
          <w:szCs w:val="20"/>
          <w:highlight w:val="none"/>
          <w:lang w:eastAsia="zh-CN"/>
        </w:rPr>
        <w:t>），</w:t>
      </w:r>
      <w:r>
        <w:rPr>
          <w:rFonts w:hint="default" w:ascii="仿宋_GB2312" w:hAnsi="宋体" w:eastAsia="仿宋_GB2312" w:cstheme="minorBidi"/>
          <w:b w:val="0"/>
          <w:bCs w:val="0"/>
          <w:sz w:val="20"/>
          <w:szCs w:val="20"/>
          <w:highlight w:val="none"/>
          <w:lang w:val="en-US" w:eastAsia="zh-CN"/>
        </w:rPr>
        <w:t>但</w:t>
      </w:r>
      <w:r>
        <w:rPr>
          <w:rFonts w:hint="eastAsia" w:ascii="仿宋_GB2312" w:hAnsi="宋体" w:eastAsia="仿宋_GB2312" w:cstheme="minorBidi"/>
          <w:b w:val="0"/>
          <w:bCs w:val="0"/>
          <w:sz w:val="20"/>
          <w:szCs w:val="20"/>
          <w:highlight w:val="none"/>
          <w:lang w:val="en-US" w:eastAsia="zh-CN"/>
        </w:rPr>
        <w:t>该</w:t>
      </w:r>
      <w:r>
        <w:rPr>
          <w:rFonts w:hint="default" w:ascii="仿宋_GB2312" w:hAnsi="宋体" w:eastAsia="仿宋_GB2312" w:cstheme="minorBidi"/>
          <w:b w:val="0"/>
          <w:bCs w:val="0"/>
          <w:sz w:val="20"/>
          <w:szCs w:val="20"/>
          <w:highlight w:val="none"/>
          <w:lang w:eastAsia="zh-CN"/>
        </w:rPr>
        <w:t>活期存款利息不计入认购资金。</w:t>
      </w:r>
      <w:r>
        <w:rPr>
          <w:rFonts w:hint="eastAsia" w:ascii="仿宋_GB2312" w:hAnsi="宋体" w:eastAsia="仿宋_GB2312"/>
          <w:sz w:val="20"/>
          <w:szCs w:val="20"/>
          <w:highlight w:val="none"/>
          <w:lang w:eastAsia="zh-CN"/>
        </w:rPr>
        <w:t>产品成立日</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从该账户内扣划相应资金，</w:t>
      </w:r>
      <w:r>
        <w:rPr>
          <w:rFonts w:hint="eastAsia" w:ascii="仿宋_GB2312" w:hAnsi="宋体" w:eastAsia="仿宋_GB2312"/>
          <w:b/>
          <w:bCs/>
          <w:sz w:val="20"/>
          <w:szCs w:val="20"/>
          <w:highlight w:val="none"/>
          <w:lang w:val="en-US" w:eastAsia="zh-CN"/>
        </w:rPr>
        <w:t>但因甲方</w:t>
      </w:r>
      <w:r>
        <w:rPr>
          <w:rFonts w:hint="default" w:ascii="仿宋_GB2312" w:hAnsi="宋体" w:eastAsia="仿宋_GB2312" w:cstheme="minorBidi"/>
          <w:b/>
          <w:bCs/>
          <w:sz w:val="20"/>
          <w:szCs w:val="20"/>
          <w:highlight w:val="none"/>
          <w:lang w:eastAsia="zh-CN"/>
        </w:rPr>
        <w:t>认购</w:t>
      </w:r>
      <w:r>
        <w:rPr>
          <w:rFonts w:hint="eastAsia" w:ascii="仿宋_GB2312" w:hAnsi="宋体" w:eastAsia="仿宋_GB2312" w:cstheme="minorBidi"/>
          <w:b/>
          <w:bCs/>
          <w:sz w:val="20"/>
          <w:szCs w:val="20"/>
          <w:highlight w:val="none"/>
          <w:lang w:val="en-US" w:eastAsia="zh-CN"/>
        </w:rPr>
        <w:t>账户状态异常导致乙方划扣不成功的，由甲方自行承担责任。前述账户状态异常包括但不限于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54E026A4">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六</w:t>
      </w:r>
      <w:r>
        <w:rPr>
          <w:rFonts w:hint="eastAsia" w:ascii="仿宋_GB2312" w:hAnsi="宋体" w:eastAsia="仿宋_GB2312"/>
          <w:sz w:val="20"/>
          <w:szCs w:val="20"/>
          <w:highlight w:val="none"/>
          <w:lang w:eastAsia="zh-CN"/>
        </w:rPr>
        <w:t>、因甲方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账户资金余额不足或其他原因</w:t>
      </w:r>
      <w:r>
        <w:rPr>
          <w:rFonts w:ascii="仿宋_GB2312" w:hAnsi="宋体" w:eastAsia="仿宋_GB2312"/>
          <w:sz w:val="20"/>
          <w:szCs w:val="20"/>
          <w:highlight w:val="none"/>
          <w:lang w:eastAsia="zh-CN"/>
        </w:rPr>
        <w:t>(如冻结、挂失、换卡</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有权机关查冻扣</w:t>
      </w:r>
      <w:r>
        <w:rPr>
          <w:rFonts w:ascii="仿宋_GB2312" w:hAnsi="宋体" w:eastAsia="仿宋_GB2312"/>
          <w:sz w:val="20"/>
          <w:szCs w:val="20"/>
          <w:highlight w:val="none"/>
          <w:lang w:eastAsia="zh-CN"/>
        </w:rPr>
        <w:t>等)，导致认购不成功，本协议自动终止</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协议终止后，除理财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账户资金活期利息外，</w:t>
      </w:r>
      <w:r>
        <w:rPr>
          <w:rFonts w:ascii="仿宋_GB2312" w:hAnsi="宋体" w:eastAsia="仿宋_GB2312"/>
          <w:sz w:val="20"/>
          <w:szCs w:val="20"/>
          <w:highlight w:val="none"/>
          <w:lang w:eastAsia="zh-CN"/>
        </w:rPr>
        <w:t>乙方不计付本理财产品的任何收益，并且乙方对此不承担任何责任。</w:t>
      </w:r>
      <w:r>
        <w:rPr>
          <w:rFonts w:hint="eastAsia" w:ascii="仿宋_GB2312" w:hAnsi="宋体" w:eastAsia="仿宋_GB2312"/>
          <w:sz w:val="20"/>
          <w:szCs w:val="20"/>
          <w:highlight w:val="none"/>
          <w:lang w:val="en-US" w:eastAsia="zh-CN"/>
        </w:rPr>
        <w:t>如理财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账户资金遇有权机关扣划的，自资金被扣划之日起，乙方不再支付利息。</w:t>
      </w:r>
    </w:p>
    <w:p w14:paraId="7D5C272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val="en-US" w:eastAsia="zh-CN"/>
        </w:rPr>
        <w:t>七、</w:t>
      </w:r>
      <w:r>
        <w:rPr>
          <w:rFonts w:hint="eastAsia" w:ascii="仿宋_GB2312" w:hAnsi="宋体" w:eastAsia="仿宋_GB2312"/>
          <w:b w:val="0"/>
          <w:bCs w:val="0"/>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b w:val="0"/>
          <w:bCs w:val="0"/>
          <w:sz w:val="20"/>
          <w:szCs w:val="20"/>
          <w:highlight w:val="none"/>
          <w:lang w:val="en-US" w:eastAsia="zh-CN"/>
        </w:rPr>
        <w:t>账户</w:t>
      </w:r>
      <w:r>
        <w:rPr>
          <w:rFonts w:hint="eastAsia" w:ascii="仿宋_GB2312" w:hAnsi="宋体" w:eastAsia="仿宋_GB2312"/>
          <w:b w:val="0"/>
          <w:bCs w:val="0"/>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359787EC">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val="en-US" w:eastAsia="zh-CN"/>
        </w:rPr>
        <w:t>八</w:t>
      </w:r>
      <w:r>
        <w:rPr>
          <w:rFonts w:hint="eastAsia" w:ascii="仿宋_GB2312" w:hAnsi="宋体" w:eastAsia="仿宋_GB2312"/>
          <w:b/>
          <w:bCs/>
          <w:sz w:val="20"/>
          <w:szCs w:val="20"/>
          <w:highlight w:val="none"/>
          <w:lang w:eastAsia="zh-CN"/>
        </w:rPr>
        <w:t>、乙方</w:t>
      </w:r>
      <w:r>
        <w:rPr>
          <w:rFonts w:hint="eastAsia" w:ascii="仿宋_GB2312" w:hAnsi="宋体" w:eastAsia="仿宋_GB2312"/>
          <w:b/>
          <w:bCs/>
          <w:color w:val="auto"/>
          <w:sz w:val="20"/>
          <w:szCs w:val="20"/>
          <w:highlight w:val="none"/>
          <w:lang w:eastAsia="zh-CN"/>
        </w:rPr>
        <w:t>将实际兑付</w:t>
      </w:r>
      <w:r>
        <w:rPr>
          <w:rFonts w:hint="eastAsia" w:ascii="仿宋_GB2312" w:hAnsi="宋体" w:eastAsia="仿宋_GB2312"/>
          <w:b/>
          <w:bCs/>
          <w:color w:val="auto"/>
          <w:sz w:val="20"/>
          <w:szCs w:val="20"/>
          <w:highlight w:val="none"/>
          <w:lang w:val="en-US" w:eastAsia="zh-CN"/>
        </w:rPr>
        <w:t>资金</w:t>
      </w:r>
      <w:r>
        <w:rPr>
          <w:rFonts w:hint="eastAsia" w:ascii="仿宋_GB2312" w:hAnsi="宋体" w:eastAsia="仿宋_GB2312"/>
          <w:b/>
          <w:bCs/>
          <w:color w:val="auto"/>
          <w:sz w:val="20"/>
          <w:szCs w:val="20"/>
          <w:highlight w:val="none"/>
          <w:lang w:eastAsia="zh-CN"/>
        </w:rPr>
        <w:t>转入甲方</w:t>
      </w:r>
      <w:r>
        <w:rPr>
          <w:rFonts w:hint="eastAsia" w:ascii="仿宋_GB2312" w:eastAsia="仿宋_GB2312" w:cs="Times New Roman" w:hAnsiTheme="minorEastAsia"/>
          <w:b/>
          <w:color w:val="auto"/>
          <w:sz w:val="20"/>
          <w:szCs w:val="20"/>
          <w:highlight w:val="none"/>
          <w:lang w:val="en-US" w:eastAsia="zh-CN"/>
        </w:rPr>
        <w:t>认购账户</w:t>
      </w:r>
      <w:r>
        <w:rPr>
          <w:rFonts w:hint="eastAsia" w:ascii="仿宋_GB2312" w:hAnsi="宋体" w:eastAsia="仿宋_GB2312"/>
          <w:b/>
          <w:bCs/>
          <w:color w:val="auto"/>
          <w:sz w:val="20"/>
          <w:szCs w:val="20"/>
          <w:highlight w:val="none"/>
          <w:lang w:eastAsia="zh-CN"/>
        </w:rPr>
        <w:t>后，即视为已向甲方支付</w:t>
      </w:r>
      <w:r>
        <w:rPr>
          <w:rFonts w:hint="eastAsia" w:ascii="仿宋_GB2312" w:hAnsi="宋体" w:eastAsia="仿宋_GB2312"/>
          <w:b/>
          <w:bCs/>
          <w:color w:val="auto"/>
          <w:sz w:val="20"/>
          <w:szCs w:val="20"/>
          <w:highlight w:val="none"/>
          <w:lang w:val="en-US" w:eastAsia="zh-CN"/>
        </w:rPr>
        <w:t>完成</w:t>
      </w:r>
      <w:r>
        <w:rPr>
          <w:rFonts w:hint="eastAsia" w:ascii="仿宋_GB2312" w:hAnsi="宋体" w:eastAsia="仿宋_GB2312"/>
          <w:b/>
          <w:bCs/>
          <w:color w:val="auto"/>
          <w:sz w:val="20"/>
          <w:szCs w:val="20"/>
          <w:highlight w:val="none"/>
          <w:lang w:eastAsia="zh-CN"/>
        </w:rPr>
        <w:t>，乙方不承担入账后的甲方资金风险。</w:t>
      </w:r>
      <w:r>
        <w:rPr>
          <w:rFonts w:hint="eastAsia" w:ascii="仿宋_GB2312" w:hAnsi="宋体" w:eastAsia="仿宋_GB2312"/>
          <w:b/>
          <w:bCs/>
          <w:color w:val="auto"/>
          <w:sz w:val="20"/>
          <w:szCs w:val="20"/>
          <w:highlight w:val="none"/>
          <w:lang w:val="en-US" w:eastAsia="zh-CN"/>
        </w:rPr>
        <w:t>乙方</w:t>
      </w:r>
      <w:r>
        <w:rPr>
          <w:rFonts w:hint="eastAsia" w:ascii="仿宋_GB2312" w:hAnsi="宋体" w:eastAsia="仿宋_GB2312"/>
          <w:b/>
          <w:bCs/>
          <w:sz w:val="20"/>
          <w:szCs w:val="20"/>
          <w:highlight w:val="none"/>
          <w:lang w:eastAsia="zh-CN"/>
        </w:rPr>
        <w:t>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AA0DBB">
      <w:pPr>
        <w:snapToGrid w:val="0"/>
        <w:spacing w:line="240" w:lineRule="exact"/>
        <w:ind w:firstLine="402" w:firstLineChars="200"/>
        <w:jc w:val="both"/>
        <w:rPr>
          <w:rFonts w:ascii="仿宋_GB2312" w:hAnsi="宋体" w:eastAsia="仿宋_GB2312"/>
          <w:sz w:val="20"/>
          <w:szCs w:val="20"/>
          <w:highlight w:val="none"/>
          <w:lang w:eastAsia="zh-CN"/>
        </w:rPr>
      </w:pPr>
      <w:r>
        <w:rPr>
          <w:rFonts w:hint="eastAsia" w:ascii="仿宋_GB2312" w:hAnsi="宋体" w:eastAsia="仿宋_GB2312"/>
          <w:b/>
          <w:bCs/>
          <w:sz w:val="20"/>
          <w:szCs w:val="20"/>
          <w:highlight w:val="none"/>
          <w:lang w:val="en-US" w:eastAsia="zh-CN"/>
        </w:rPr>
        <w:t>九</w:t>
      </w:r>
      <w:r>
        <w:rPr>
          <w:rFonts w:hint="eastAsia" w:ascii="仿宋_GB2312" w:hAnsi="宋体" w:eastAsia="仿宋_GB2312"/>
          <w:b/>
          <w:bCs/>
          <w:sz w:val="20"/>
          <w:szCs w:val="20"/>
          <w:highlight w:val="none"/>
          <w:lang w:eastAsia="zh-CN"/>
        </w:rPr>
        <w:t>、发生下列情况之一时，乙方有权单方提前终止本协议</w:t>
      </w:r>
      <w:r>
        <w:rPr>
          <w:rFonts w:hint="eastAsia" w:ascii="仿宋_GB2312" w:hAnsi="宋体" w:eastAsia="仿宋_GB2312"/>
          <w:sz w:val="20"/>
          <w:szCs w:val="20"/>
          <w:highlight w:val="none"/>
          <w:lang w:eastAsia="zh-CN"/>
        </w:rPr>
        <w:t>：</w:t>
      </w:r>
    </w:p>
    <w:p w14:paraId="7A9DBD4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一）</w:t>
      </w:r>
      <w:r>
        <w:rPr>
          <w:rFonts w:hint="eastAsia" w:ascii="仿宋_GB2312" w:eastAsia="仿宋_GB2312" w:cs="Times New Roman" w:hAnsiTheme="minorEastAsia"/>
          <w:sz w:val="20"/>
          <w:highlight w:val="none"/>
          <w:lang w:eastAsia="zh-CN"/>
        </w:rPr>
        <w:t>募集</w:t>
      </w:r>
      <w:r>
        <w:rPr>
          <w:rFonts w:hint="eastAsia"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hAnsi="仿宋_GB2312" w:eastAsia="仿宋_GB2312" w:cs="仿宋_GB2312"/>
          <w:b/>
          <w:bCs/>
          <w:sz w:val="20"/>
          <w:szCs w:val="20"/>
          <w:highlight w:val="none"/>
          <w:u w:val="none"/>
          <w:lang w:val="en-US" w:eastAsia="zh-CN"/>
        </w:rPr>
        <w:t>1000</w:t>
      </w:r>
      <w:r>
        <w:rPr>
          <w:rFonts w:hint="eastAsia"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b w:val="0"/>
          <w:bCs w:val="0"/>
          <w:sz w:val="20"/>
          <w:highlight w:val="none"/>
          <w:lang w:eastAsia="zh-CN"/>
        </w:rPr>
        <w:t>元</w:t>
      </w:r>
      <w:r>
        <w:rPr>
          <w:rFonts w:hint="eastAsia" w:ascii="仿宋_GB2312" w:eastAsia="仿宋_GB2312" w:cs="Times New Roman" w:hAnsiTheme="minorEastAsia"/>
          <w:sz w:val="20"/>
          <w:highlight w:val="none"/>
          <w:lang w:eastAsia="zh-CN"/>
        </w:rPr>
        <w:t>时</w:t>
      </w:r>
      <w:r>
        <w:rPr>
          <w:rFonts w:hint="eastAsia" w:ascii="仿宋_GB2312" w:eastAsia="仿宋_GB2312" w:cs="Times New Roman" w:hAnsiTheme="minorEastAsia"/>
          <w:sz w:val="20"/>
          <w:szCs w:val="20"/>
          <w:highlight w:val="none"/>
          <w:lang w:eastAsia="zh-CN"/>
        </w:rPr>
        <w:t>；</w:t>
      </w:r>
    </w:p>
    <w:p w14:paraId="513582F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二）</w:t>
      </w:r>
      <w:r>
        <w:rPr>
          <w:rFonts w:hint="eastAsia" w:ascii="仿宋_GB2312" w:eastAsia="仿宋_GB2312" w:cs="Times New Roman" w:hAnsiTheme="minorEastAsia"/>
          <w:sz w:val="20"/>
          <w:szCs w:val="20"/>
          <w:highlight w:val="none"/>
          <w:lang w:eastAsia="zh-CN"/>
        </w:rPr>
        <w:t xml:space="preserve">因不可抗力原因导致理财产品无法继续运作；                                   </w:t>
      </w:r>
    </w:p>
    <w:p w14:paraId="413EB586">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三）</w:t>
      </w:r>
      <w:r>
        <w:rPr>
          <w:rFonts w:hint="eastAsia" w:ascii="仿宋_GB2312" w:eastAsia="仿宋_GB2312" w:cs="Times New Roman" w:hAnsiTheme="minorEastAsia"/>
          <w:sz w:val="20"/>
          <w:szCs w:val="20"/>
          <w:highlight w:val="none"/>
          <w:lang w:eastAsia="zh-CN"/>
        </w:rPr>
        <w:t xml:space="preserve">遇有市场剧烈波动、异常风险事件等情形导致理财产品净值出现大幅波动或严重影响理财产品的资产安全；                                                            </w:t>
      </w:r>
    </w:p>
    <w:p w14:paraId="66A36377">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四）</w:t>
      </w:r>
      <w:r>
        <w:rPr>
          <w:rFonts w:hint="eastAsia" w:ascii="仿宋_GB2312" w:eastAsia="仿宋_GB2312" w:cs="Times New Roman" w:hAnsiTheme="minorEastAsia"/>
          <w:sz w:val="20"/>
          <w:szCs w:val="20"/>
          <w:highlight w:val="none"/>
          <w:lang w:eastAsia="zh-CN"/>
        </w:rPr>
        <w:t>所投资市场要求或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协议等相关法律文件约定，或者继续存续无法实现投资目标；</w:t>
      </w:r>
    </w:p>
    <w:p w14:paraId="6D732CA5">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五）</w:t>
      </w:r>
      <w:r>
        <w:rPr>
          <w:rFonts w:hint="eastAsia" w:ascii="仿宋_GB2312" w:eastAsia="仿宋_GB2312" w:cs="Times New Roman" w:hAnsiTheme="minorEastAsia"/>
          <w:sz w:val="20"/>
          <w:szCs w:val="20"/>
          <w:highlight w:val="none"/>
          <w:lang w:eastAsia="zh-CN"/>
        </w:rPr>
        <w:t>因相关投资管理机构解散、破产、撤销、被取消业务资格等原因无法继续履行相应职责导致产品无法继续运作；</w:t>
      </w:r>
    </w:p>
    <w:p w14:paraId="19215D8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六）</w:t>
      </w:r>
      <w:r>
        <w:rPr>
          <w:rFonts w:hint="eastAsia" w:ascii="仿宋_GB2312" w:eastAsia="仿宋_GB2312" w:cs="Times New Roman" w:hAnsiTheme="minorEastAsia"/>
          <w:sz w:val="20"/>
          <w:szCs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协议等相关法律文件约定的行为导致理财产品被动提前终止；</w:t>
      </w:r>
    </w:p>
    <w:p w14:paraId="2827E59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七）</w:t>
      </w:r>
      <w:r>
        <w:rPr>
          <w:rFonts w:hint="eastAsia" w:ascii="仿宋_GB2312" w:eastAsia="仿宋_GB2312" w:cs="Times New Roman" w:hAnsiTheme="minorEastAsia"/>
          <w:sz w:val="20"/>
          <w:szCs w:val="20"/>
          <w:highlight w:val="none"/>
          <w:lang w:eastAsia="zh-CN"/>
        </w:rPr>
        <w:t>因法律法规变化或国家金融政策调整、紧急措施出台影响产品继续正常运作；</w:t>
      </w:r>
    </w:p>
    <w:p w14:paraId="25CE607E">
      <w:pPr>
        <w:pStyle w:val="3"/>
        <w:spacing w:before="0"/>
        <w:ind w:left="0" w:right="153" w:firstLine="400" w:firstLineChars="200"/>
        <w:jc w:val="both"/>
        <w:rPr>
          <w:rFonts w:hint="eastAsia"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八）</w:t>
      </w:r>
      <w:r>
        <w:rPr>
          <w:rFonts w:hint="eastAsia" w:ascii="仿宋_GB2312" w:eastAsia="仿宋_GB2312" w:cs="Times New Roman" w:hAnsiTheme="minorEastAsia"/>
          <w:sz w:val="20"/>
          <w:szCs w:val="20"/>
          <w:highlight w:val="none"/>
          <w:lang w:eastAsia="zh-CN"/>
        </w:rPr>
        <w:t>法律法规规定或监管部门认定的其他情形。</w:t>
      </w:r>
    </w:p>
    <w:p w14:paraId="0FC25521">
      <w:pPr>
        <w:snapToGrid w:val="0"/>
        <w:spacing w:line="240" w:lineRule="exact"/>
        <w:ind w:firstLine="402" w:firstLineChars="200"/>
        <w:jc w:val="both"/>
        <w:rPr>
          <w:rFonts w:ascii="仿宋_GB2312" w:hAnsi="宋体" w:eastAsia="仿宋_GB2312"/>
          <w:b/>
          <w:bCs/>
          <w:sz w:val="20"/>
          <w:szCs w:val="20"/>
          <w:highlight w:val="none"/>
          <w:u w:val="single"/>
          <w:lang w:eastAsia="zh-CN"/>
        </w:rPr>
      </w:pPr>
      <w:r>
        <w:rPr>
          <w:rFonts w:hint="eastAsia" w:ascii="仿宋_GB2312" w:hAnsi="宋体" w:eastAsia="仿宋_GB2312"/>
          <w:b/>
          <w:bCs/>
          <w:sz w:val="20"/>
          <w:szCs w:val="20"/>
          <w:highlight w:val="none"/>
          <w:u w:val="single"/>
          <w:lang w:val="en-US" w:eastAsia="zh-CN"/>
        </w:rPr>
        <w:t>十</w:t>
      </w:r>
      <w:r>
        <w:rPr>
          <w:rFonts w:hint="eastAsia" w:ascii="仿宋_GB2312" w:hAnsi="宋体" w:eastAsia="仿宋_GB2312"/>
          <w:b/>
          <w:bCs/>
          <w:sz w:val="20"/>
          <w:szCs w:val="20"/>
          <w:highlight w:val="none"/>
          <w:u w:val="single"/>
          <w:lang w:eastAsia="zh-CN"/>
        </w:rPr>
        <w:t>、乙方单方提前终止本协议时，甲</w:t>
      </w:r>
      <w:r>
        <w:rPr>
          <w:rFonts w:hint="eastAsia" w:ascii="仿宋_GB2312" w:hAnsi="宋体" w:eastAsia="仿宋_GB2312"/>
          <w:b/>
          <w:bCs/>
          <w:sz w:val="20"/>
          <w:szCs w:val="20"/>
          <w:highlight w:val="none"/>
          <w:u w:val="single"/>
          <w:lang w:val="en-US" w:eastAsia="zh-CN"/>
        </w:rPr>
        <w:t>方</w:t>
      </w:r>
      <w:r>
        <w:rPr>
          <w:rFonts w:hint="eastAsia" w:ascii="仿宋_GB2312" w:hAnsi="宋体" w:eastAsia="仿宋_GB2312"/>
          <w:b/>
          <w:bCs/>
          <w:sz w:val="20"/>
          <w:szCs w:val="20"/>
          <w:highlight w:val="none"/>
          <w:u w:val="single"/>
          <w:lang w:eastAsia="zh-CN"/>
        </w:rPr>
        <w:t>同意乙方可采取任意一种或多种方式通知甲方，通知方式包括但不限于短信、电话、乙方网站公告、</w:t>
      </w:r>
      <w:r>
        <w:rPr>
          <w:rFonts w:hint="eastAsia" w:ascii="仿宋_GB2312" w:hAnsi="宋体" w:eastAsia="仿宋_GB2312"/>
          <w:b/>
          <w:bCs/>
          <w:sz w:val="20"/>
          <w:szCs w:val="20"/>
          <w:highlight w:val="none"/>
          <w:u w:val="single"/>
          <w:lang w:val="en-US" w:eastAsia="zh-CN"/>
        </w:rPr>
        <w:t>信函</w:t>
      </w:r>
      <w:r>
        <w:rPr>
          <w:rFonts w:hint="eastAsia" w:ascii="仿宋_GB2312" w:hAnsi="宋体" w:eastAsia="仿宋_GB2312"/>
          <w:b/>
          <w:bCs/>
          <w:sz w:val="20"/>
          <w:szCs w:val="20"/>
          <w:highlight w:val="none"/>
          <w:u w:val="single"/>
          <w:lang w:eastAsia="zh-CN"/>
        </w:rPr>
        <w:t>、</w:t>
      </w:r>
      <w:r>
        <w:rPr>
          <w:rFonts w:hint="eastAsia" w:ascii="仿宋_GB2312" w:hAnsi="宋体" w:eastAsia="仿宋_GB2312"/>
          <w:b/>
          <w:bCs/>
          <w:sz w:val="20"/>
          <w:szCs w:val="20"/>
          <w:highlight w:val="none"/>
          <w:u w:val="single"/>
          <w:lang w:val="en-US" w:eastAsia="zh-CN"/>
        </w:rPr>
        <w:t>营业网点等</w:t>
      </w:r>
      <w:r>
        <w:rPr>
          <w:rFonts w:hint="eastAsia" w:ascii="仿宋_GB2312" w:hAnsi="宋体" w:eastAsia="仿宋_GB2312"/>
          <w:b/>
          <w:bCs/>
          <w:sz w:val="20"/>
          <w:szCs w:val="20"/>
          <w:highlight w:val="none"/>
          <w:u w:val="single"/>
          <w:lang w:eastAsia="zh-CN"/>
        </w:rPr>
        <w:t>。无论乙方是否以前述方式通知甲方，甲方同意乙方将行使提前终止权的</w:t>
      </w:r>
      <w:r>
        <w:rPr>
          <w:rFonts w:hint="eastAsia" w:ascii="仿宋_GB2312" w:hAnsi="宋体" w:eastAsia="仿宋_GB2312"/>
          <w:b/>
          <w:bCs/>
          <w:sz w:val="20"/>
          <w:szCs w:val="20"/>
          <w:highlight w:val="none"/>
          <w:u w:val="single"/>
          <w:lang w:val="en-US" w:eastAsia="zh-CN"/>
        </w:rPr>
        <w:t>应兑付资金</w:t>
      </w:r>
      <w:r>
        <w:rPr>
          <w:rFonts w:hint="eastAsia" w:ascii="仿宋_GB2312" w:hAnsi="宋体" w:eastAsia="仿宋_GB2312"/>
          <w:b/>
          <w:bCs/>
          <w:sz w:val="20"/>
          <w:szCs w:val="20"/>
          <w:highlight w:val="none"/>
          <w:u w:val="single"/>
          <w:lang w:eastAsia="zh-CN"/>
        </w:rPr>
        <w:t>划入甲方</w:t>
      </w:r>
      <w:r>
        <w:rPr>
          <w:rFonts w:hint="eastAsia" w:ascii="仿宋_GB2312" w:hAnsi="宋体" w:eastAsia="仿宋_GB2312"/>
          <w:b/>
          <w:bCs/>
          <w:sz w:val="20"/>
          <w:szCs w:val="20"/>
          <w:highlight w:val="none"/>
          <w:u w:val="single"/>
          <w:lang w:val="en-US" w:eastAsia="zh-CN"/>
        </w:rPr>
        <w:t>认购</w:t>
      </w:r>
      <w:r>
        <w:rPr>
          <w:rFonts w:hint="eastAsia" w:ascii="仿宋_GB2312" w:hAnsi="宋体" w:eastAsia="仿宋_GB2312"/>
          <w:b/>
          <w:bCs/>
          <w:sz w:val="20"/>
          <w:szCs w:val="20"/>
          <w:highlight w:val="none"/>
          <w:u w:val="single"/>
          <w:lang w:eastAsia="zh-CN"/>
        </w:rPr>
        <w:t>账户，即视同乙方已经通知甲方。甲方不得以未知晓乙方提前终止而向乙方提出任何损失赔偿。</w:t>
      </w:r>
    </w:p>
    <w:p w14:paraId="6D4A313F">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w:t>
      </w:r>
      <w:r>
        <w:rPr>
          <w:rFonts w:hint="eastAsia" w:ascii="仿宋_GB2312" w:hAnsi="宋体" w:eastAsia="仿宋_GB2312"/>
          <w:sz w:val="20"/>
          <w:szCs w:val="20"/>
          <w:highlight w:val="none"/>
          <w:lang w:val="en-US" w:eastAsia="zh-CN"/>
        </w:rPr>
        <w:t>一</w:t>
      </w:r>
      <w:r>
        <w:rPr>
          <w:rFonts w:hint="eastAsia" w:ascii="仿宋_GB2312" w:hAnsi="宋体" w:eastAsia="仿宋_GB2312"/>
          <w:sz w:val="20"/>
          <w:szCs w:val="20"/>
          <w:highlight w:val="none"/>
          <w:lang w:eastAsia="zh-CN"/>
        </w:rPr>
        <w:t>、未经乙方同意，甲方不得将本协议项下任何权利和义务向任何第三人转让。</w:t>
      </w:r>
    </w:p>
    <w:p w14:paraId="3955875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十二、理财产品存续期间内，乙方有权通过</w:t>
      </w:r>
      <w:r>
        <w:rPr>
          <w:rFonts w:hint="eastAsia" w:ascii="仿宋_GB2312" w:hAnsi="宋体" w:eastAsia="仿宋_GB2312"/>
          <w:sz w:val="20"/>
          <w:szCs w:val="20"/>
          <w:highlight w:val="none"/>
          <w:lang w:val="en-US" w:eastAsia="zh-CN"/>
        </w:rPr>
        <w:t>官方</w:t>
      </w:r>
      <w:r>
        <w:rPr>
          <w:rFonts w:hint="eastAsia" w:ascii="仿宋_GB2312" w:hAnsi="宋体" w:eastAsia="仿宋_GB2312"/>
          <w:sz w:val="20"/>
          <w:szCs w:val="20"/>
          <w:highlight w:val="none"/>
          <w:lang w:eastAsia="zh-CN"/>
        </w:rPr>
        <w:t>网站</w:t>
      </w:r>
      <w:r>
        <w:rPr>
          <w:rFonts w:hint="eastAsia" w:ascii="仿宋_GB2312" w:eastAsia="仿宋_GB2312" w:cs="Times New Roman" w:hAnsiTheme="minorEastAsia"/>
          <w:sz w:val="20"/>
          <w:szCs w:val="20"/>
          <w:highlight w:val="none"/>
          <w:lang w:val="en-US" w:eastAsia="zh-CN"/>
        </w:rPr>
        <w:t>等渠道</w:t>
      </w:r>
      <w:r>
        <w:rPr>
          <w:rFonts w:hint="eastAsia" w:ascii="仿宋_GB2312" w:hAnsi="宋体" w:eastAsia="仿宋_GB2312"/>
          <w:sz w:val="20"/>
          <w:szCs w:val="20"/>
          <w:highlight w:val="none"/>
          <w:lang w:eastAsia="zh-CN"/>
        </w:rPr>
        <w:t>发布对理财产品说明书条款进行</w:t>
      </w:r>
      <w:r>
        <w:rPr>
          <w:rFonts w:hint="eastAsia" w:ascii="仿宋_GB2312" w:hAnsi="宋体" w:eastAsia="仿宋_GB2312"/>
          <w:sz w:val="20"/>
          <w:szCs w:val="20"/>
          <w:highlight w:val="none"/>
          <w:lang w:val="en-US" w:eastAsia="zh-CN"/>
        </w:rPr>
        <w:t>的</w:t>
      </w:r>
      <w:r>
        <w:rPr>
          <w:rFonts w:hint="eastAsia" w:ascii="仿宋_GB2312" w:hAnsi="宋体" w:eastAsia="仿宋_GB2312"/>
          <w:sz w:val="20"/>
          <w:szCs w:val="20"/>
          <w:highlight w:val="none"/>
          <w:lang w:eastAsia="zh-CN"/>
        </w:rPr>
        <w:t>补充、说明</w:t>
      </w:r>
      <w:r>
        <w:rPr>
          <w:rFonts w:hint="eastAsia" w:ascii="仿宋_GB2312" w:hAnsi="宋体" w:eastAsia="仿宋_GB2312"/>
          <w:sz w:val="20"/>
          <w:szCs w:val="20"/>
          <w:highlight w:val="none"/>
          <w:lang w:val="en-US" w:eastAsia="zh-CN"/>
        </w:rPr>
        <w:t>和修改</w:t>
      </w:r>
      <w:r>
        <w:rPr>
          <w:rFonts w:hint="eastAsia" w:ascii="仿宋_GB2312" w:hAnsi="宋体" w:eastAsia="仿宋_GB2312"/>
          <w:sz w:val="20"/>
          <w:szCs w:val="20"/>
          <w:highlight w:val="none"/>
          <w:lang w:eastAsia="zh-CN"/>
        </w:rPr>
        <w:t>。甲方应定期通过上述相关渠道获知有关理财产品的相关信息。</w:t>
      </w:r>
    </w:p>
    <w:p w14:paraId="292CB5C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十三、</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通过相关披露渠道进行信息披露，如果</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未及时查询，或由于</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通讯故障、系统故障以及其他不可抗力等因素的影响使得</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无法及时了解产品信息，可能导致</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产生风险，此类风险包括但不限于因</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未及时获知信息而错过资金使用和再投资的机会等，由此产生的风险及损失（如有）由</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自行承担。如甲方预留在乙方的有效联系方式变更的，应及时到</w:t>
      </w:r>
      <w:r>
        <w:rPr>
          <w:rFonts w:hint="eastAsia" w:ascii="仿宋_GB2312" w:hAnsi="宋体" w:eastAsia="仿宋_GB2312"/>
          <w:sz w:val="20"/>
          <w:szCs w:val="20"/>
          <w:highlight w:val="none"/>
          <w:lang w:val="en-US" w:eastAsia="zh-CN"/>
        </w:rPr>
        <w:t>原经办</w:t>
      </w:r>
      <w:r>
        <w:rPr>
          <w:rFonts w:hint="eastAsia" w:ascii="仿宋_GB2312" w:hAnsi="宋体" w:eastAsia="仿宋_GB2312"/>
          <w:sz w:val="20"/>
          <w:szCs w:val="20"/>
          <w:highlight w:val="none"/>
          <w:lang w:eastAsia="zh-CN"/>
        </w:rPr>
        <w:t>网点办理信息变更。如因甲方未及时变更导致乙方无法联系甲方，由此产生的责任、风险和损失由甲方自行承担。</w:t>
      </w:r>
    </w:p>
    <w:p w14:paraId="75F5D7D4">
      <w:pPr>
        <w:snapToGrid w:val="0"/>
        <w:spacing w:line="240" w:lineRule="exact"/>
        <w:ind w:firstLine="402" w:firstLineChars="200"/>
        <w:jc w:val="both"/>
        <w:rPr>
          <w:rFonts w:ascii="仿宋_GB2312" w:hAnsi="宋体" w:eastAsia="仿宋_GB2312"/>
          <w:b/>
          <w:bCs/>
          <w:spacing w:val="-2"/>
          <w:sz w:val="20"/>
          <w:szCs w:val="20"/>
          <w:highlight w:val="none"/>
          <w:lang w:eastAsia="zh-CN"/>
        </w:rPr>
      </w:pPr>
      <w:r>
        <w:rPr>
          <w:rFonts w:hint="eastAsia" w:ascii="仿宋_GB2312" w:hAnsi="宋体" w:eastAsia="仿宋_GB2312"/>
          <w:b/>
          <w:bCs/>
          <w:sz w:val="20"/>
          <w:szCs w:val="20"/>
          <w:highlight w:val="none"/>
          <w:lang w:eastAsia="zh-CN"/>
        </w:rPr>
        <w:t>十四、</w:t>
      </w:r>
      <w:r>
        <w:rPr>
          <w:rFonts w:hint="eastAsia" w:ascii="仿宋_GB2312" w:hAnsi="宋体" w:eastAsia="仿宋_GB2312"/>
          <w:b/>
          <w:bCs/>
          <w:spacing w:val="-2"/>
          <w:sz w:val="20"/>
          <w:szCs w:val="20"/>
          <w:highlight w:val="none"/>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highlight w:val="none"/>
          <w:lang w:eastAsia="zh-CN"/>
        </w:rPr>
        <w:t>乙方所在地</w:t>
      </w:r>
      <w:r>
        <w:rPr>
          <w:rFonts w:hint="eastAsia" w:ascii="仿宋_GB2312" w:hAnsi="宋体" w:eastAsia="仿宋_GB2312"/>
          <w:b/>
          <w:bCs/>
          <w:spacing w:val="-2"/>
          <w:sz w:val="20"/>
          <w:szCs w:val="20"/>
          <w:highlight w:val="none"/>
          <w:lang w:eastAsia="zh-CN"/>
        </w:rPr>
        <w:t>人民法院诉讼解决。</w:t>
      </w:r>
    </w:p>
    <w:p w14:paraId="34F10A8E">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十五、乙方发现甲方有涉嫌洗钱、恶意逃避税收管理等违法违规行为的，将按照国家有关规定向相关部门报告，并按规定报送甲方的相关信息。</w:t>
      </w:r>
    </w:p>
    <w:p w14:paraId="2DDC7F4D">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十六、甲方保证理财购买资金的来源和用途合法，理财购买资金未使用贷款、发行债券等筹集的非自有资金。</w:t>
      </w:r>
    </w:p>
    <w:p w14:paraId="65A87D10">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12F44E6C">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十八、本协议一式二份，甲乙双方各执一份，具有同等法律效力。</w:t>
      </w:r>
    </w:p>
    <w:p w14:paraId="25054C08">
      <w:pPr>
        <w:snapToGrid w:val="0"/>
        <w:spacing w:line="240" w:lineRule="exact"/>
        <w:ind w:firstLine="400" w:firstLineChars="200"/>
        <w:jc w:val="both"/>
        <w:rPr>
          <w:rFonts w:hint="eastAsia"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十九、</w:t>
      </w:r>
      <w:r>
        <w:rPr>
          <w:rFonts w:hint="eastAsia" w:ascii="仿宋_GB2312" w:hAnsi="宋体" w:eastAsia="仿宋_GB2312"/>
          <w:sz w:val="20"/>
          <w:szCs w:val="20"/>
          <w:highlight w:val="none"/>
          <w:lang w:val="en-US" w:eastAsia="zh-CN"/>
        </w:rPr>
        <w:t>本协议</w:t>
      </w:r>
      <w:r>
        <w:rPr>
          <w:rFonts w:hint="eastAsia" w:ascii="仿宋_GB2312" w:hAnsi="宋体" w:eastAsia="仿宋_GB2312"/>
          <w:sz w:val="20"/>
          <w:szCs w:val="20"/>
          <w:highlight w:val="none"/>
          <w:lang w:eastAsia="zh-CN"/>
        </w:rPr>
        <w:t>为纸质的，自甲、乙双方签署之日起生效；</w:t>
      </w:r>
      <w:r>
        <w:rPr>
          <w:rFonts w:hint="eastAsia" w:ascii="仿宋_GB2312" w:hAnsi="宋体" w:eastAsia="仿宋_GB2312"/>
          <w:sz w:val="20"/>
          <w:szCs w:val="20"/>
          <w:highlight w:val="none"/>
          <w:lang w:val="en-US" w:eastAsia="zh-CN"/>
        </w:rPr>
        <w:t>如</w:t>
      </w:r>
      <w:r>
        <w:rPr>
          <w:rFonts w:hint="eastAsia" w:ascii="仿宋_GB2312" w:hAnsi="宋体" w:eastAsia="仿宋_GB2312"/>
          <w:sz w:val="20"/>
          <w:szCs w:val="20"/>
          <w:highlight w:val="none"/>
          <w:lang w:eastAsia="zh-CN"/>
        </w:rPr>
        <w:t>本</w:t>
      </w:r>
      <w:r>
        <w:rPr>
          <w:rFonts w:hint="eastAsia" w:ascii="仿宋_GB2312" w:hAnsi="宋体" w:eastAsia="仿宋_GB2312"/>
          <w:sz w:val="20"/>
          <w:szCs w:val="20"/>
          <w:highlight w:val="none"/>
          <w:lang w:val="en-US" w:eastAsia="zh-CN"/>
        </w:rPr>
        <w:t>协议</w:t>
      </w:r>
      <w:r>
        <w:rPr>
          <w:rFonts w:hint="eastAsia" w:ascii="仿宋_GB2312" w:hAnsi="宋体" w:eastAsia="仿宋_GB2312"/>
          <w:sz w:val="20"/>
          <w:szCs w:val="20"/>
          <w:highlight w:val="none"/>
          <w:lang w:eastAsia="zh-CN"/>
        </w:rPr>
        <w:t>为电子形式的，经</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在贵阳农商银行电子渠道页面上勾选确认后生效。双方权利义务履行完毕后终止。</w:t>
      </w:r>
    </w:p>
    <w:p w14:paraId="08CF1A7C">
      <w:pPr>
        <w:snapToGrid w:val="0"/>
        <w:spacing w:line="240" w:lineRule="exact"/>
        <w:ind w:firstLine="360" w:firstLineChars="200"/>
        <w:rPr>
          <w:rFonts w:hint="eastAsia" w:ascii="仿宋_GB2312" w:hAnsi="宋体" w:eastAsia="仿宋_GB2312"/>
          <w:sz w:val="18"/>
          <w:szCs w:val="18"/>
          <w:highlight w:val="none"/>
          <w:lang w:eastAsia="zh-CN"/>
        </w:rPr>
      </w:pPr>
    </w:p>
    <w:tbl>
      <w:tblPr>
        <w:tblStyle w:val="7"/>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56"/>
      </w:tblGrid>
      <w:tr w14:paraId="46E65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56" w:type="dxa"/>
            <w:noWrap w:val="0"/>
            <w:vAlign w:val="top"/>
          </w:tcPr>
          <w:p w14:paraId="36BC11CD">
            <w:pPr>
              <w:spacing w:line="500" w:lineRule="exact"/>
              <w:jc w:val="center"/>
              <w:rPr>
                <w:rFonts w:ascii="黑体" w:hAnsi="黑体" w:eastAsia="黑体"/>
                <w:b/>
                <w:color w:val="000000"/>
                <w:sz w:val="21"/>
                <w:szCs w:val="21"/>
                <w:highlight w:val="none"/>
              </w:rPr>
            </w:pPr>
            <w:r>
              <w:rPr>
                <w:rFonts w:hint="eastAsia" w:ascii="黑体" w:hAnsi="黑体" w:eastAsia="黑体"/>
                <w:b/>
                <w:color w:val="000000"/>
                <w:sz w:val="21"/>
                <w:szCs w:val="21"/>
                <w:highlight w:val="none"/>
              </w:rPr>
              <w:t>特别提示</w:t>
            </w:r>
          </w:p>
        </w:tc>
      </w:tr>
      <w:tr w14:paraId="0686D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8856" w:type="dxa"/>
            <w:noWrap w:val="0"/>
            <w:vAlign w:val="top"/>
          </w:tcPr>
          <w:p w14:paraId="412C2176">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请您在理解并同意本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所有条款的情况下，再签署</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，对于不理解的内容，您有权向贵阳农商银行工作人员进行咨询并得到答复。</w:t>
            </w:r>
          </w:p>
          <w:p w14:paraId="5EE8D212">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签署本提示，系建立在您已经认真阅读并理解本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全部条款的基础上，如您未阅读并</w:t>
            </w:r>
            <w:r>
              <w:rPr>
                <w:rFonts w:ascii="黑体" w:hAnsi="黑体" w:eastAsia="黑体"/>
                <w:b/>
                <w:color w:val="000000"/>
                <w:sz w:val="21"/>
                <w:szCs w:val="21"/>
                <w:highlight w:val="none"/>
              </w:rPr>
              <w:t>理解</w:t>
            </w:r>
            <w:r>
              <w:rPr>
                <w:rFonts w:hint="eastAsia" w:ascii="黑体" w:hAnsi="黑体" w:eastAsia="黑体"/>
                <w:b/>
                <w:color w:val="000000"/>
                <w:sz w:val="21"/>
                <w:szCs w:val="21"/>
                <w:highlight w:val="none"/>
              </w:rPr>
              <w:t>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全部条款，请您不要签署本提示及本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w:t>
            </w:r>
          </w:p>
          <w:p w14:paraId="71D51C46">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本提示为《贵阳农商银行理财产品协议》</w:t>
            </w:r>
            <w:r>
              <w:rPr>
                <w:rFonts w:hint="eastAsia" w:ascii="黑体" w:hAnsi="黑体" w:eastAsia="黑体"/>
                <w:b/>
                <w:color w:val="000000"/>
                <w:sz w:val="21"/>
                <w:szCs w:val="21"/>
                <w:highlight w:val="none"/>
                <w:lang w:val="en-US" w:eastAsia="zh-CN"/>
              </w:rPr>
              <w:t>及理财产品销售文件</w:t>
            </w:r>
            <w:r>
              <w:rPr>
                <w:rFonts w:hint="eastAsia" w:ascii="黑体" w:hAnsi="黑体" w:eastAsia="黑体"/>
                <w:b/>
                <w:color w:val="000000"/>
                <w:sz w:val="21"/>
                <w:szCs w:val="21"/>
                <w:highlight w:val="none"/>
              </w:rPr>
              <w:t>的重要组成部分，如您购买本理财产品，即视为您已阅读、理解理财产品销售文件，并同意接受理财产品销售文件所有内容的约束。</w:t>
            </w:r>
          </w:p>
          <w:p w14:paraId="408E4A95">
            <w:pPr>
              <w:spacing w:line="400" w:lineRule="exact"/>
              <w:ind w:firstLine="420" w:firstLineChars="200"/>
              <w:rPr>
                <w:rFonts w:hint="eastAsia" w:ascii="黑体" w:hAnsi="黑体" w:eastAsia="黑体"/>
                <w:color w:val="000000"/>
                <w:sz w:val="21"/>
                <w:szCs w:val="21"/>
                <w:highlight w:val="none"/>
              </w:rPr>
            </w:pPr>
            <w:r>
              <w:rPr>
                <w:rFonts w:hint="eastAsia" w:ascii="黑体" w:hAnsi="黑体" w:eastAsia="黑体"/>
                <w:color w:val="000000"/>
                <w:sz w:val="21"/>
                <w:szCs w:val="21"/>
                <w:highlight w:val="none"/>
              </w:rPr>
              <w:t>您是否已阅读并理解本</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项下全部条款。</w:t>
            </w:r>
          </w:p>
          <w:p w14:paraId="411C851F">
            <w:pPr>
              <w:spacing w:line="400" w:lineRule="exact"/>
              <w:ind w:firstLine="420" w:firstLineChars="200"/>
              <w:rPr>
                <w:rFonts w:hint="eastAsia"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0A72A2A">
            <w:pPr>
              <w:spacing w:line="400" w:lineRule="exact"/>
              <w:ind w:firstLine="420" w:firstLineChars="200"/>
              <w:rPr>
                <w:rFonts w:ascii="黑体" w:hAnsi="黑体" w:eastAsia="黑体"/>
                <w:color w:val="000000"/>
                <w:sz w:val="21"/>
                <w:szCs w:val="21"/>
                <w:highlight w:val="none"/>
              </w:rPr>
            </w:pPr>
            <w:r>
              <w:rPr>
                <w:rFonts w:hint="eastAsia" w:ascii="黑体" w:hAnsi="黑体" w:eastAsia="黑体"/>
                <w:color w:val="000000"/>
                <w:sz w:val="21"/>
                <w:szCs w:val="21"/>
                <w:highlight w:val="none"/>
              </w:rPr>
              <w:t>贵阳农商银行工作人员是否对</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相关条款进行了解释及说明。</w:t>
            </w:r>
          </w:p>
          <w:p w14:paraId="3364AEA2">
            <w:pPr>
              <w:spacing w:line="400" w:lineRule="exact"/>
              <w:ind w:firstLine="420" w:firstLineChars="200"/>
              <w:rPr>
                <w:rFonts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75CDB09">
            <w:pPr>
              <w:snapToGrid w:val="0"/>
              <w:spacing w:line="400" w:lineRule="exact"/>
              <w:ind w:firstLine="360" w:firstLineChars="200"/>
              <w:rPr>
                <w:rFonts w:ascii="仿宋_GB2312" w:hAnsi="宋体" w:eastAsia="仿宋_GB2312"/>
                <w:sz w:val="18"/>
                <w:szCs w:val="18"/>
                <w:highlight w:val="none"/>
                <w:lang w:eastAsia="zh-CN"/>
              </w:rPr>
            </w:pPr>
          </w:p>
          <w:p w14:paraId="3D1A73CE">
            <w:pPr>
              <w:snapToGrid w:val="0"/>
              <w:spacing w:line="400" w:lineRule="exact"/>
              <w:ind w:firstLine="360" w:firstLineChars="200"/>
              <w:rPr>
                <w:rFonts w:ascii="仿宋_GB2312" w:hAnsi="宋体" w:eastAsia="仿宋_GB2312"/>
                <w:sz w:val="18"/>
                <w:szCs w:val="18"/>
                <w:highlight w:val="none"/>
                <w:lang w:eastAsia="zh-CN"/>
              </w:rPr>
            </w:pPr>
          </w:p>
          <w:p w14:paraId="39BD6530">
            <w:pPr>
              <w:snapToGrid w:val="0"/>
              <w:spacing w:line="400" w:lineRule="exact"/>
              <w:ind w:firstLine="360" w:firstLineChars="200"/>
              <w:rPr>
                <w:rFonts w:ascii="仿宋_GB2312" w:hAnsi="宋体" w:eastAsia="仿宋_GB2312"/>
                <w:sz w:val="18"/>
                <w:szCs w:val="18"/>
                <w:highlight w:val="none"/>
                <w:lang w:eastAsia="zh-CN"/>
              </w:rPr>
            </w:pPr>
          </w:p>
          <w:p w14:paraId="2C0DF3DC">
            <w:pPr>
              <w:snapToGrid w:val="0"/>
              <w:spacing w:line="400" w:lineRule="exact"/>
              <w:ind w:firstLine="360" w:firstLineChars="200"/>
              <w:rPr>
                <w:rFonts w:ascii="仿宋_GB2312" w:hAnsi="宋体" w:eastAsia="仿宋_GB2312"/>
                <w:sz w:val="18"/>
                <w:szCs w:val="18"/>
                <w:highlight w:val="none"/>
                <w:lang w:eastAsia="zh-CN"/>
              </w:rPr>
            </w:pPr>
          </w:p>
          <w:p w14:paraId="7CD8C1E1">
            <w:pPr>
              <w:snapToGrid w:val="0"/>
              <w:spacing w:line="400" w:lineRule="exact"/>
              <w:ind w:firstLine="0" w:firstLineChars="0"/>
              <w:rPr>
                <w:rFonts w:ascii="仿宋_GB2312" w:hAnsi="宋体" w:eastAsia="仿宋_GB2312"/>
                <w:sz w:val="18"/>
                <w:szCs w:val="18"/>
                <w:highlight w:val="none"/>
                <w:lang w:eastAsia="zh-CN"/>
              </w:rPr>
            </w:pPr>
          </w:p>
          <w:p w14:paraId="0C772206">
            <w:pPr>
              <w:snapToGrid w:val="0"/>
              <w:spacing w:line="400" w:lineRule="exact"/>
              <w:ind w:firstLine="0" w:firstLineChars="0"/>
              <w:rPr>
                <w:rFonts w:ascii="仿宋_GB2312" w:hAnsi="宋体" w:eastAsia="仿宋_GB2312"/>
                <w:sz w:val="18"/>
                <w:szCs w:val="18"/>
                <w:highlight w:val="none"/>
                <w:lang w:eastAsia="zh-CN"/>
              </w:rPr>
            </w:pPr>
          </w:p>
          <w:p w14:paraId="2D1869BF">
            <w:pPr>
              <w:snapToGrid w:val="0"/>
              <w:spacing w:line="400" w:lineRule="exact"/>
              <w:ind w:firstLine="0" w:firstLineChars="0"/>
              <w:rPr>
                <w:rFonts w:ascii="仿宋_GB2312" w:hAnsi="宋体" w:eastAsia="仿宋_GB2312"/>
                <w:sz w:val="18"/>
                <w:szCs w:val="18"/>
                <w:highlight w:val="none"/>
                <w:lang w:eastAsia="zh-CN"/>
              </w:rPr>
            </w:pPr>
          </w:p>
          <w:p w14:paraId="7622BD6A">
            <w:pPr>
              <w:snapToGrid w:val="0"/>
              <w:spacing w:line="400" w:lineRule="exact"/>
              <w:ind w:firstLine="0" w:firstLineChars="0"/>
              <w:rPr>
                <w:rFonts w:ascii="仿宋_GB2312" w:hAnsi="宋体" w:eastAsia="仿宋_GB2312"/>
                <w:sz w:val="18"/>
                <w:szCs w:val="18"/>
                <w:highlight w:val="none"/>
                <w:lang w:eastAsia="zh-CN"/>
              </w:rPr>
            </w:pPr>
          </w:p>
          <w:p w14:paraId="0CB800E1">
            <w:pPr>
              <w:snapToGrid w:val="0"/>
              <w:spacing w:line="400" w:lineRule="exact"/>
              <w:ind w:firstLine="360" w:firstLineChars="200"/>
              <w:rPr>
                <w:rFonts w:ascii="仿宋_GB2312" w:hAnsi="宋体" w:eastAsia="仿宋_GB2312"/>
                <w:sz w:val="18"/>
                <w:szCs w:val="18"/>
                <w:highlight w:val="none"/>
                <w:lang w:eastAsia="zh-CN"/>
              </w:rPr>
            </w:pPr>
          </w:p>
          <w:p w14:paraId="77AC28E5">
            <w:pPr>
              <w:spacing w:line="500" w:lineRule="exact"/>
              <w:ind w:firstLine="5040" w:firstLineChars="2400"/>
              <w:rPr>
                <w:rFonts w:hint="eastAsia" w:ascii="仿宋_GB2312" w:hAnsi="宋体" w:eastAsia="仿宋_GB2312"/>
                <w:color w:val="000000"/>
                <w:sz w:val="21"/>
                <w:szCs w:val="21"/>
                <w:highlight w:val="none"/>
              </w:rPr>
            </w:pPr>
            <w:r>
              <w:rPr>
                <w:rFonts w:ascii="仿宋_GB2312" w:eastAsia="仿宋_GB2312"/>
                <w:color w:val="000000"/>
                <w:sz w:val="21"/>
                <w:szCs w:val="21"/>
                <w:highlight w:val="none"/>
              </w:rPr>
              <w:t>签</w:t>
            </w:r>
            <w:r>
              <w:rPr>
                <w:rFonts w:hint="eastAsia" w:ascii="仿宋_GB2312" w:eastAsia="仿宋_GB2312"/>
                <w:color w:val="000000"/>
                <w:sz w:val="21"/>
                <w:szCs w:val="21"/>
                <w:highlight w:val="none"/>
              </w:rPr>
              <w:t>名</w:t>
            </w:r>
            <w:r>
              <w:rPr>
                <w:rFonts w:ascii="仿宋_GB2312" w:eastAsia="仿宋_GB2312"/>
                <w:color w:val="000000"/>
                <w:sz w:val="21"/>
                <w:szCs w:val="21"/>
                <w:highlight w:val="none"/>
              </w:rPr>
              <w:t>确认</w:t>
            </w:r>
            <w:r>
              <w:rPr>
                <w:rFonts w:hint="eastAsia" w:ascii="仿宋_GB2312" w:eastAsia="仿宋_GB2312"/>
                <w:color w:val="000000"/>
                <w:sz w:val="21"/>
                <w:szCs w:val="21"/>
                <w:highlight w:val="none"/>
              </w:rPr>
              <w:t>：</w:t>
            </w:r>
            <w:r>
              <w:rPr>
                <w:rFonts w:ascii="仿宋_GB2312" w:eastAsia="仿宋_GB2312"/>
                <w:color w:val="000000"/>
                <w:sz w:val="21"/>
                <w:szCs w:val="21"/>
                <w:highlight w:val="none"/>
                <w:u w:val="single"/>
              </w:rPr>
              <w:t xml:space="preserve">                  </w:t>
            </w:r>
          </w:p>
        </w:tc>
      </w:tr>
    </w:tbl>
    <w:p w14:paraId="0EEA6AF2">
      <w:pPr>
        <w:snapToGrid w:val="0"/>
        <w:spacing w:line="240" w:lineRule="exact"/>
        <w:ind w:firstLine="360" w:firstLineChars="200"/>
        <w:rPr>
          <w:rFonts w:hint="eastAsia" w:ascii="仿宋_GB2312" w:hAnsi="宋体" w:eastAsia="仿宋_GB2312"/>
          <w:sz w:val="18"/>
          <w:szCs w:val="18"/>
          <w:highlight w:val="none"/>
          <w:lang w:eastAsia="zh-CN"/>
        </w:rPr>
      </w:pPr>
      <w:r>
        <w:rPr>
          <w:rFonts w:hint="eastAsia" w:ascii="仿宋_GB2312" w:hAnsi="宋体" w:eastAsia="仿宋_GB2312"/>
          <w:color w:val="auto"/>
          <w:sz w:val="18"/>
          <w:szCs w:val="18"/>
          <w:highlight w:val="none"/>
          <w:lang w:eastAsia="zh-CN"/>
        </w:rPr>
        <w:br w:type="page"/>
      </w:r>
    </w:p>
    <w:p w14:paraId="609F61AD">
      <w:pPr>
        <w:snapToGrid w:val="0"/>
        <w:spacing w:line="240" w:lineRule="exact"/>
        <w:ind w:firstLine="360" w:firstLineChars="200"/>
        <w:rPr>
          <w:rFonts w:hint="eastAsia" w:ascii="仿宋_GB2312" w:hAnsi="宋体" w:eastAsia="仿宋_GB2312"/>
          <w:sz w:val="18"/>
          <w:szCs w:val="18"/>
          <w:highlight w:val="none"/>
          <w:lang w:eastAsia="zh-CN"/>
        </w:rPr>
      </w:pPr>
    </w:p>
    <w:p w14:paraId="3AE98548">
      <w:pPr>
        <w:snapToGrid w:val="0"/>
        <w:spacing w:line="360" w:lineRule="auto"/>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贵阳农商银行理财产品投资者权益须知</w:t>
      </w:r>
    </w:p>
    <w:p w14:paraId="08E01A20">
      <w:pPr>
        <w:snapToGrid w:val="0"/>
        <w:rPr>
          <w:rFonts w:ascii="仿宋_GB2312" w:hAnsi="仿宋_GB2312" w:eastAsia="仿宋_GB2312" w:cs="仿宋_GB2312"/>
          <w:sz w:val="20"/>
          <w:szCs w:val="20"/>
          <w:highlight w:val="none"/>
          <w:lang w:eastAsia="zh-CN"/>
        </w:rPr>
      </w:pPr>
      <w:r>
        <w:rPr>
          <w:rFonts w:hint="eastAsia" w:ascii="仿宋_GB2312" w:hAnsi="仿宋_GB2312" w:eastAsia="仿宋_GB2312" w:cs="仿宋_GB2312"/>
          <w:b/>
          <w:sz w:val="20"/>
          <w:szCs w:val="20"/>
          <w:highlight w:val="none"/>
          <w:lang w:eastAsia="zh-CN"/>
        </w:rPr>
        <w:t>尊敬的投资者：</w:t>
      </w:r>
    </w:p>
    <w:p w14:paraId="5CCC216F">
      <w:pPr>
        <w:snapToGrid w:val="0"/>
        <w:ind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highlight w:val="none"/>
          <w:lang w:val="en-US" w:eastAsia="zh-CN"/>
        </w:rPr>
        <w:t>如</w:t>
      </w:r>
      <w:r>
        <w:rPr>
          <w:rFonts w:hint="eastAsia" w:ascii="仿宋_GB2312" w:eastAsia="仿宋_GB2312" w:cs="Times New Roman" w:hAnsiTheme="minorEastAsia"/>
          <w:b/>
          <w:bCs/>
          <w:sz w:val="20"/>
          <w:highlight w:val="none"/>
          <w:lang w:eastAsia="zh-CN"/>
        </w:rPr>
        <w:t>您</w:t>
      </w:r>
      <w:r>
        <w:rPr>
          <w:rFonts w:hint="eastAsia" w:ascii="仿宋_GB2312" w:eastAsia="仿宋_GB2312" w:cs="Times New Roman" w:hAnsiTheme="minorEastAsia"/>
          <w:b/>
          <w:bCs/>
          <w:sz w:val="20"/>
          <w:highlight w:val="none"/>
          <w:lang w:val="en-US" w:eastAsia="zh-CN"/>
        </w:rPr>
        <w:t>在本行营业网点</w:t>
      </w:r>
      <w:r>
        <w:rPr>
          <w:rFonts w:hint="eastAsia" w:ascii="仿宋_GB2312" w:eastAsia="仿宋_GB2312" w:cs="Times New Roman" w:hAnsiTheme="minorEastAsia"/>
          <w:b/>
          <w:bCs/>
          <w:sz w:val="20"/>
          <w:highlight w:val="none"/>
          <w:lang w:eastAsia="zh-CN"/>
        </w:rPr>
        <w:t>购买理财产品，</w:t>
      </w:r>
      <w:r>
        <w:rPr>
          <w:rFonts w:hint="eastAsia" w:ascii="仿宋_GB2312" w:eastAsia="仿宋_GB2312" w:cs="Times New Roman" w:hAnsiTheme="minorEastAsia"/>
          <w:b/>
          <w:bCs/>
          <w:sz w:val="20"/>
          <w:highlight w:val="none"/>
          <w:lang w:val="en-US" w:eastAsia="zh-CN"/>
        </w:rPr>
        <w:t>本行</w:t>
      </w:r>
      <w:r>
        <w:rPr>
          <w:rFonts w:hint="eastAsia" w:ascii="仿宋_GB2312" w:eastAsia="仿宋_GB2312" w:cs="Times New Roman" w:hAnsiTheme="minorEastAsia"/>
          <w:b/>
          <w:bCs/>
          <w:sz w:val="20"/>
          <w:highlight w:val="none"/>
          <w:lang w:eastAsia="zh-CN"/>
        </w:rPr>
        <w:t>将在征求您的同意后对销售过程进行录音录像，感谢您的配合。请在购买理财产品前认真阅读以下内容：</w:t>
      </w:r>
    </w:p>
    <w:p w14:paraId="085CAC20">
      <w:pPr>
        <w:snapToGrid w:val="0"/>
        <w:ind w:firstLine="431" w:firstLineChars="196"/>
        <w:jc w:val="both"/>
        <w:rPr>
          <w:rFonts w:ascii="黑体" w:hAnsi="黑体" w:eastAsia="黑体" w:cs="Times New Roman"/>
          <w:highlight w:val="none"/>
          <w:lang w:eastAsia="zh-CN"/>
        </w:rPr>
      </w:pPr>
      <w:r>
        <w:rPr>
          <w:rFonts w:ascii="黑体" w:hAnsi="黑体" w:eastAsia="黑体" w:cs="Times New Roman"/>
          <w:highlight w:val="none"/>
          <w:lang w:eastAsia="zh-CN"/>
        </w:rPr>
        <w:t>一、购买理财产品流程</w:t>
      </w:r>
    </w:p>
    <w:p w14:paraId="46B51D96">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（一）投资者填写《风险评估问卷》进行风险评估，阅读《风险揭示书》，依据自身的投资经验、目标、财务状况、承担风险能力等自行决定是否购买本产品。</w:t>
      </w:r>
    </w:p>
    <w:p w14:paraId="2025C0A0">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（二）投资者可通过</w:t>
      </w:r>
      <w:r>
        <w:rPr>
          <w:rFonts w:hint="eastAsia" w:ascii="仿宋_GB2312" w:eastAsia="仿宋_GB2312" w:cs="Times New Roman" w:hAnsiTheme="minorEastAsia"/>
          <w:sz w:val="20"/>
          <w:highlight w:val="none"/>
          <w:lang w:val="en-US" w:eastAsia="zh-CN"/>
        </w:rPr>
        <w:t>贵阳农商银行</w:t>
      </w:r>
      <w:r>
        <w:rPr>
          <w:rFonts w:hint="eastAsia" w:ascii="仿宋_GB2312" w:hAnsi="仿宋_GB2312" w:eastAsia="仿宋_GB2312" w:cs="仿宋_GB2312"/>
          <w:b w:val="0"/>
          <w:bCs w:val="0"/>
          <w:sz w:val="20"/>
          <w:szCs w:val="20"/>
          <w:highlight w:val="none"/>
          <w:u w:val="none"/>
          <w:lang w:val="en-US" w:eastAsia="zh-CN"/>
        </w:rPr>
        <w:t>手机银行</w:t>
      </w:r>
      <w:r>
        <w:rPr>
          <w:rFonts w:hint="eastAsia" w:ascii="仿宋_GB2312" w:eastAsia="仿宋_GB2312" w:cs="Times New Roman" w:hAnsiTheme="minorEastAsia"/>
          <w:sz w:val="20"/>
          <w:highlight w:val="none"/>
          <w:lang w:eastAsia="zh-CN"/>
        </w:rPr>
        <w:t>办理理财业务，具体办理时间以贵阳农商银行发布的信息为准。</w:t>
      </w:r>
    </w:p>
    <w:p w14:paraId="75934E4E">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（三）投资者已在我行开立个人结算账户，并存入足额资金。</w:t>
      </w:r>
    </w:p>
    <w:p w14:paraId="08185145">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（四）投资者阅读理财销售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，详细了解本期理财产品情况。</w:t>
      </w:r>
    </w:p>
    <w:p w14:paraId="0CFB0A57">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（五）购买意向无误，个人投资者</w:t>
      </w:r>
      <w:r>
        <w:rPr>
          <w:rFonts w:hint="eastAsia" w:ascii="仿宋_GB2312" w:eastAsia="仿宋_GB2312" w:cs="Times New Roman" w:hAnsiTheme="minorEastAsia"/>
          <w:sz w:val="20"/>
          <w:highlight w:val="none"/>
          <w:lang w:val="en-US" w:eastAsia="zh-CN"/>
        </w:rPr>
        <w:t>本人持</w:t>
      </w:r>
      <w:r>
        <w:rPr>
          <w:rFonts w:hint="eastAsia" w:ascii="仿宋_GB2312" w:eastAsia="仿宋_GB2312" w:cs="Times New Roman" w:hAnsiTheme="minorEastAsia"/>
          <w:sz w:val="20"/>
          <w:highlight w:val="none"/>
          <w:lang w:eastAsia="zh-CN"/>
        </w:rPr>
        <w:t>身份证件，签订理财销售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w:t>
      </w:r>
    </w:p>
    <w:p w14:paraId="1226C49C">
      <w:pPr>
        <w:snapToGrid w:val="0"/>
        <w:ind w:firstLine="440" w:firstLineChars="200"/>
        <w:jc w:val="both"/>
        <w:rPr>
          <w:rFonts w:ascii="黑体" w:hAnsi="黑体" w:eastAsia="黑体" w:cs="Times New Roman"/>
          <w:sz w:val="20"/>
          <w:highlight w:val="none"/>
          <w:lang w:eastAsia="zh-CN"/>
        </w:rPr>
      </w:pPr>
      <w:r>
        <w:rPr>
          <w:rFonts w:ascii="黑体" w:hAnsi="黑体" w:eastAsia="黑体" w:cs="Times New Roman"/>
          <w:highlight w:val="none"/>
          <w:lang w:eastAsia="zh-CN"/>
        </w:rPr>
        <w:t>二、</w:t>
      </w:r>
      <w:r>
        <w:rPr>
          <w:rFonts w:hint="eastAsia" w:ascii="黑体" w:hAnsi="黑体" w:eastAsia="黑体" w:cs="Times New Roman"/>
          <w:highlight w:val="none"/>
          <w:lang w:eastAsia="zh-CN"/>
        </w:rPr>
        <w:t>投资者</w:t>
      </w:r>
      <w:r>
        <w:rPr>
          <w:rFonts w:ascii="黑体" w:hAnsi="黑体" w:eastAsia="黑体" w:cs="Times New Roman"/>
          <w:highlight w:val="none"/>
          <w:lang w:eastAsia="zh-CN"/>
        </w:rPr>
        <w:t>风险承受能力评估流程</w:t>
      </w:r>
    </w:p>
    <w:p w14:paraId="0AF01DC3">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highlight w:val="none"/>
          <w:lang w:eastAsia="zh-CN"/>
        </w:rPr>
        <w:t>风险评估问卷</w:t>
      </w:r>
      <w:r>
        <w:rPr>
          <w:rFonts w:hint="eastAsia" w:ascii="仿宋_GB2312" w:eastAsia="仿宋_GB2312" w:cs="Times New Roman" w:hAnsiTheme="minorEastAsia"/>
          <w:bCs/>
          <w:sz w:val="20"/>
          <w:highlight w:val="none"/>
          <w:lang w:eastAsia="zh-CN"/>
        </w:rPr>
        <w:t>》确认评估结果。</w:t>
      </w:r>
    </w:p>
    <w:p w14:paraId="484EA10D">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（二）投资者风险评估超过一年或发生可能影响自身风险承受能力情况的，再次购买理财产品时，必须通过贵阳农商银行营业网点或电子渠道重新完成风险承受能力持续评估。</w:t>
      </w:r>
    </w:p>
    <w:p w14:paraId="54ED5D1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（三）按照</w:t>
      </w:r>
      <w:r>
        <w:rPr>
          <w:rFonts w:hint="eastAsia" w:ascii="仿宋_GB2312" w:eastAsia="仿宋_GB2312" w:cs="Times New Roman" w:hAnsiTheme="minorEastAsia"/>
          <w:sz w:val="20"/>
          <w:highlight w:val="none"/>
          <w:lang w:val="en-US" w:eastAsia="zh-CN"/>
        </w:rPr>
        <w:t>国家金融监督管理总局</w:t>
      </w:r>
      <w:r>
        <w:rPr>
          <w:rFonts w:hint="eastAsia" w:ascii="仿宋_GB2312" w:eastAsia="仿宋_GB2312" w:cs="Times New Roman" w:hAnsiTheme="minorEastAsia"/>
          <w:bCs/>
          <w:sz w:val="20"/>
          <w:highlight w:val="none"/>
          <w:lang w:eastAsia="zh-CN"/>
        </w:rPr>
        <w:t>相关规定，投资者</w:t>
      </w:r>
      <w:r>
        <w:rPr>
          <w:rFonts w:hint="eastAsia" w:ascii="仿宋_GB2312" w:eastAsia="仿宋_GB2312" w:cs="Times New Roman" w:hAnsiTheme="minorEastAsia"/>
          <w:b w:val="0"/>
          <w:bCs/>
          <w:sz w:val="20"/>
          <w:highlight w:val="none"/>
          <w:lang w:eastAsia="zh-CN"/>
        </w:rPr>
        <w:t>只能</w:t>
      </w:r>
      <w:r>
        <w:rPr>
          <w:rFonts w:hint="eastAsia" w:ascii="仿宋_GB2312" w:eastAsia="仿宋_GB2312" w:cs="Times New Roman" w:hAnsiTheme="minorEastAsia"/>
          <w:b w:val="0"/>
          <w:bCs/>
          <w:sz w:val="20"/>
          <w:highlight w:val="none"/>
          <w:lang w:val="en-US" w:eastAsia="zh-CN"/>
        </w:rPr>
        <w:t>认购</w:t>
      </w:r>
      <w:r>
        <w:rPr>
          <w:rFonts w:hint="eastAsia" w:ascii="仿宋_GB2312" w:eastAsia="仿宋_GB2312" w:cs="Times New Roman" w:hAnsiTheme="minorEastAsia"/>
          <w:bCs/>
          <w:sz w:val="20"/>
          <w:highlight w:val="none"/>
          <w:lang w:eastAsia="zh-CN"/>
        </w:rPr>
        <w:t>理财产品风险等级与自身风险承受能力相匹配的理财产品，贵阳农商银行投资者评级与产品风险评级均分为五级，根据产品风险程度的不同，适合的投资者类型也不同。</w:t>
      </w:r>
    </w:p>
    <w:tbl>
      <w:tblPr>
        <w:tblStyle w:val="7"/>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735E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57A4899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产品风险等级</w:t>
            </w:r>
          </w:p>
        </w:tc>
        <w:tc>
          <w:tcPr>
            <w:tcW w:w="1290" w:type="dxa"/>
            <w:tcBorders>
              <w:top w:val="single" w:color="000000" w:sz="12" w:space="0"/>
            </w:tcBorders>
          </w:tcPr>
          <w:p w14:paraId="2A64B33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风险程度</w:t>
            </w:r>
          </w:p>
        </w:tc>
        <w:tc>
          <w:tcPr>
            <w:tcW w:w="3543" w:type="dxa"/>
            <w:tcBorders>
              <w:top w:val="single" w:color="000000" w:sz="12" w:space="0"/>
            </w:tcBorders>
          </w:tcPr>
          <w:p w14:paraId="73745E1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适合的投资者</w:t>
            </w:r>
          </w:p>
        </w:tc>
        <w:tc>
          <w:tcPr>
            <w:tcW w:w="1560" w:type="dxa"/>
            <w:tcBorders>
              <w:top w:val="single" w:color="000000" w:sz="12" w:space="0"/>
              <w:right w:val="single" w:color="000000" w:sz="12" w:space="0"/>
            </w:tcBorders>
          </w:tcPr>
          <w:p w14:paraId="1D482E70">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适合投资策略</w:t>
            </w:r>
          </w:p>
        </w:tc>
      </w:tr>
      <w:tr w14:paraId="54AC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03B28F7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一级</w:t>
            </w:r>
          </w:p>
        </w:tc>
        <w:tc>
          <w:tcPr>
            <w:tcW w:w="1290" w:type="dxa"/>
            <w:tcMar>
              <w:left w:w="170" w:type="dxa"/>
              <w:right w:w="170" w:type="dxa"/>
            </w:tcMar>
          </w:tcPr>
          <w:p w14:paraId="4035989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低</w:t>
            </w:r>
          </w:p>
        </w:tc>
        <w:tc>
          <w:tcPr>
            <w:tcW w:w="3543" w:type="dxa"/>
          </w:tcPr>
          <w:p w14:paraId="2F9A5F5B">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保守、稳健、平衡、成长、进取型</w:t>
            </w:r>
          </w:p>
        </w:tc>
        <w:tc>
          <w:tcPr>
            <w:tcW w:w="1560" w:type="dxa"/>
            <w:tcBorders>
              <w:right w:val="single" w:color="000000" w:sz="12" w:space="0"/>
            </w:tcBorders>
            <w:tcMar>
              <w:left w:w="170" w:type="dxa"/>
              <w:right w:w="170" w:type="dxa"/>
            </w:tcMar>
          </w:tcPr>
          <w:p w14:paraId="23E010E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风险控制</w:t>
            </w:r>
          </w:p>
        </w:tc>
      </w:tr>
      <w:tr w14:paraId="5539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3DA18044">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二级</w:t>
            </w:r>
          </w:p>
        </w:tc>
        <w:tc>
          <w:tcPr>
            <w:tcW w:w="1290" w:type="dxa"/>
            <w:tcMar>
              <w:left w:w="170" w:type="dxa"/>
              <w:right w:w="170" w:type="dxa"/>
            </w:tcMar>
          </w:tcPr>
          <w:p w14:paraId="61E19321">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较低</w:t>
            </w:r>
          </w:p>
        </w:tc>
        <w:tc>
          <w:tcPr>
            <w:tcW w:w="3543" w:type="dxa"/>
          </w:tcPr>
          <w:p w14:paraId="084E23F8">
            <w:pPr>
              <w:pStyle w:val="14"/>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稳健、平衡、成长、进取型</w:t>
            </w:r>
          </w:p>
        </w:tc>
        <w:tc>
          <w:tcPr>
            <w:tcW w:w="1560" w:type="dxa"/>
            <w:tcBorders>
              <w:right w:val="single" w:color="000000" w:sz="12" w:space="0"/>
            </w:tcBorders>
            <w:tcMar>
              <w:left w:w="170" w:type="dxa"/>
              <w:right w:w="170" w:type="dxa"/>
            </w:tcMar>
          </w:tcPr>
          <w:p w14:paraId="01E7C05C">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稳健发展</w:t>
            </w:r>
          </w:p>
        </w:tc>
      </w:tr>
      <w:tr w14:paraId="24E8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049289E3">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三级</w:t>
            </w:r>
          </w:p>
        </w:tc>
        <w:tc>
          <w:tcPr>
            <w:tcW w:w="1290" w:type="dxa"/>
            <w:tcMar>
              <w:left w:w="170" w:type="dxa"/>
              <w:right w:w="170" w:type="dxa"/>
            </w:tcMar>
          </w:tcPr>
          <w:p w14:paraId="60D0071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中</w:t>
            </w:r>
          </w:p>
        </w:tc>
        <w:tc>
          <w:tcPr>
            <w:tcW w:w="3543" w:type="dxa"/>
          </w:tcPr>
          <w:p w14:paraId="204F205A">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平衡、成长、进取型</w:t>
            </w:r>
          </w:p>
        </w:tc>
        <w:tc>
          <w:tcPr>
            <w:tcW w:w="1560" w:type="dxa"/>
            <w:tcBorders>
              <w:right w:val="single" w:color="000000" w:sz="12" w:space="0"/>
            </w:tcBorders>
            <w:tcMar>
              <w:left w:w="170" w:type="dxa"/>
              <w:right w:w="170" w:type="dxa"/>
            </w:tcMar>
          </w:tcPr>
          <w:p w14:paraId="6463BD7A">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均衡成长</w:t>
            </w:r>
          </w:p>
        </w:tc>
      </w:tr>
      <w:tr w14:paraId="63C4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6F50776F">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四级</w:t>
            </w:r>
          </w:p>
        </w:tc>
        <w:tc>
          <w:tcPr>
            <w:tcW w:w="1290" w:type="dxa"/>
            <w:tcMar>
              <w:left w:w="170" w:type="dxa"/>
              <w:right w:w="170" w:type="dxa"/>
            </w:tcMar>
          </w:tcPr>
          <w:p w14:paraId="5345729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较高</w:t>
            </w:r>
          </w:p>
        </w:tc>
        <w:tc>
          <w:tcPr>
            <w:tcW w:w="3543" w:type="dxa"/>
          </w:tcPr>
          <w:p w14:paraId="0C1D83FF">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成长、进取型</w:t>
            </w:r>
          </w:p>
        </w:tc>
        <w:tc>
          <w:tcPr>
            <w:tcW w:w="1560" w:type="dxa"/>
            <w:tcBorders>
              <w:right w:val="single" w:color="000000" w:sz="12" w:space="0"/>
            </w:tcBorders>
            <w:tcMar>
              <w:left w:w="170" w:type="dxa"/>
              <w:right w:w="170" w:type="dxa"/>
            </w:tcMar>
          </w:tcPr>
          <w:p w14:paraId="71F7AAF7">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积极进取</w:t>
            </w:r>
          </w:p>
        </w:tc>
      </w:tr>
      <w:tr w14:paraId="0F7A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304FB12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五级</w:t>
            </w:r>
          </w:p>
        </w:tc>
        <w:tc>
          <w:tcPr>
            <w:tcW w:w="1290" w:type="dxa"/>
            <w:tcBorders>
              <w:bottom w:val="single" w:color="000000" w:sz="12" w:space="0"/>
            </w:tcBorders>
            <w:tcMar>
              <w:left w:w="170" w:type="dxa"/>
              <w:right w:w="170" w:type="dxa"/>
            </w:tcMar>
          </w:tcPr>
          <w:p w14:paraId="732BF173">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高</w:t>
            </w:r>
          </w:p>
        </w:tc>
        <w:tc>
          <w:tcPr>
            <w:tcW w:w="3543" w:type="dxa"/>
            <w:tcBorders>
              <w:bottom w:val="single" w:color="000000" w:sz="12" w:space="0"/>
            </w:tcBorders>
          </w:tcPr>
          <w:p w14:paraId="36D62560">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进取型</w:t>
            </w:r>
          </w:p>
        </w:tc>
        <w:tc>
          <w:tcPr>
            <w:tcW w:w="1560" w:type="dxa"/>
            <w:tcBorders>
              <w:bottom w:val="single" w:color="000000" w:sz="12" w:space="0"/>
              <w:right w:val="single" w:color="000000" w:sz="12" w:space="0"/>
            </w:tcBorders>
            <w:tcMar>
              <w:left w:w="170" w:type="dxa"/>
              <w:right w:w="170" w:type="dxa"/>
            </w:tcMar>
          </w:tcPr>
          <w:p w14:paraId="5070696E">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风险承受</w:t>
            </w:r>
          </w:p>
        </w:tc>
      </w:tr>
    </w:tbl>
    <w:p w14:paraId="09506391">
      <w:pPr>
        <w:snapToGrid w:val="0"/>
        <w:ind w:firstLine="440" w:firstLineChars="200"/>
        <w:rPr>
          <w:rFonts w:ascii="黑体" w:hAnsi="黑体" w:eastAsia="黑体" w:cs="Times New Roman"/>
          <w:highlight w:val="none"/>
          <w:lang w:eastAsia="zh-CN"/>
        </w:rPr>
      </w:pPr>
      <w:r>
        <w:rPr>
          <w:rFonts w:hint="eastAsia" w:ascii="黑体" w:hAnsi="黑体" w:eastAsia="黑体" w:cs="Times New Roman"/>
          <w:highlight w:val="none"/>
          <w:lang w:eastAsia="zh-CN"/>
        </w:rPr>
        <w:t>三、信息披露</w:t>
      </w:r>
    </w:p>
    <w:p w14:paraId="144935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6D46C4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72C46882">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77AC4BFD">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151F3FC7">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4A0A652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5119AA6B">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5ED047EA">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7F2D6EF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48519A11">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5494CAE7">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46B10798">
      <w:pPr>
        <w:snapToGrid w:val="0"/>
        <w:ind w:firstLine="440" w:firstLineChars="200"/>
        <w:jc w:val="both"/>
        <w:rPr>
          <w:rFonts w:ascii="黑体" w:hAnsi="黑体" w:eastAsia="黑体" w:cs="Times New Roman"/>
          <w:highlight w:val="none"/>
          <w:lang w:eastAsia="zh-CN"/>
        </w:rPr>
      </w:pPr>
      <w:r>
        <w:rPr>
          <w:rFonts w:hint="eastAsia" w:ascii="黑体" w:hAnsi="黑体" w:eastAsia="黑体" w:cs="Times New Roman"/>
          <w:highlight w:val="none"/>
          <w:lang w:eastAsia="zh-CN"/>
        </w:rPr>
        <w:t>四、投诉及咨询电话</w:t>
      </w:r>
    </w:p>
    <w:p w14:paraId="2512D25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若您在理财产品办理中有</w:t>
      </w:r>
      <w:r>
        <w:rPr>
          <w:rFonts w:hint="eastAsia" w:ascii="仿宋_GB2312" w:eastAsia="仿宋_GB2312" w:cs="Times New Roman" w:hAnsiTheme="minorEastAsia"/>
          <w:bCs/>
          <w:sz w:val="20"/>
          <w:highlight w:val="none"/>
          <w:lang w:val="en-US" w:eastAsia="zh-CN"/>
        </w:rPr>
        <w:t>任何</w:t>
      </w:r>
      <w:r>
        <w:rPr>
          <w:rFonts w:hint="eastAsia" w:ascii="仿宋_GB2312" w:eastAsia="仿宋_GB2312" w:cs="Times New Roman" w:hAnsiTheme="minorEastAsia"/>
          <w:bCs/>
          <w:sz w:val="20"/>
          <w:highlight w:val="none"/>
          <w:lang w:eastAsia="zh-CN"/>
        </w:rPr>
        <w:t>疑问或者投诉，可拨打我行客服电话</w:t>
      </w:r>
      <w:r>
        <w:rPr>
          <w:rFonts w:hint="eastAsia" w:ascii="仿宋_GB2312" w:eastAsia="仿宋_GB2312" w:cs="Times New Roman" w:hAnsiTheme="minorEastAsia"/>
          <w:b/>
          <w:bCs w:val="0"/>
          <w:sz w:val="20"/>
          <w:highlight w:val="none"/>
          <w:lang w:eastAsia="zh-CN"/>
        </w:rPr>
        <w:t>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Cs/>
          <w:sz w:val="20"/>
          <w:highlight w:val="none"/>
          <w:lang w:eastAsia="zh-CN"/>
        </w:rPr>
        <w:t>，或到贵阳农商银行营业网点进行咨询，</w:t>
      </w:r>
      <w:r>
        <w:rPr>
          <w:rFonts w:hint="eastAsia" w:ascii="仿宋_GB2312" w:eastAsia="仿宋_GB2312" w:cs="Times New Roman" w:hAnsiTheme="minorEastAsia"/>
          <w:bCs/>
          <w:sz w:val="20"/>
          <w:highlight w:val="none"/>
          <w:lang w:val="en-US" w:eastAsia="zh-CN"/>
        </w:rPr>
        <w:t>贵阳农商银行工作人员将竭诚为您服务</w:t>
      </w:r>
      <w:r>
        <w:rPr>
          <w:rFonts w:hint="eastAsia" w:ascii="仿宋_GB2312" w:eastAsia="仿宋_GB2312" w:cs="Times New Roman" w:hAnsiTheme="minorEastAsia"/>
          <w:bCs/>
          <w:sz w:val="20"/>
          <w:highlight w:val="none"/>
          <w:lang w:eastAsia="zh-CN"/>
        </w:rPr>
        <w:t>。</w:t>
      </w:r>
    </w:p>
    <w:p w14:paraId="581ECF35">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投诉流程：1.拨打0851-96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
          <w:bCs w:val="0"/>
          <w:sz w:val="20"/>
          <w:highlight w:val="none"/>
          <w:lang w:eastAsia="zh-CN"/>
        </w:rPr>
        <w:t>投诉；2. 客服中心</w:t>
      </w:r>
      <w:r>
        <w:rPr>
          <w:rFonts w:hint="eastAsia" w:ascii="仿宋_GB2312" w:eastAsia="仿宋_GB2312" w:cs="Times New Roman" w:hAnsiTheme="minorEastAsia"/>
          <w:b/>
          <w:bCs w:val="0"/>
          <w:sz w:val="20"/>
          <w:highlight w:val="none"/>
          <w:lang w:val="en-US" w:eastAsia="zh-CN"/>
        </w:rPr>
        <w:t>初步核实相应情况并记录</w:t>
      </w:r>
      <w:r>
        <w:rPr>
          <w:rFonts w:hint="eastAsia" w:ascii="仿宋_GB2312" w:eastAsia="仿宋_GB2312" w:cs="Times New Roman" w:hAnsiTheme="minorEastAsia"/>
          <w:b/>
          <w:bCs w:val="0"/>
          <w:sz w:val="20"/>
          <w:highlight w:val="none"/>
          <w:lang w:eastAsia="zh-CN"/>
        </w:rPr>
        <w:t>投诉内容；3.</w:t>
      </w:r>
      <w:r>
        <w:rPr>
          <w:rFonts w:hint="eastAsia" w:ascii="仿宋_GB2312" w:eastAsia="仿宋_GB2312" w:cs="Times New Roman" w:hAnsiTheme="minorEastAsia"/>
          <w:b/>
          <w:bCs w:val="0"/>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业务主管部门核实投诉情况，制定处理、解决方案；4.</w:t>
      </w:r>
      <w:r>
        <w:rPr>
          <w:rFonts w:hint="eastAsia" w:ascii="仿宋_GB2312" w:eastAsia="仿宋_GB2312" w:cs="Times New Roman" w:hAnsiTheme="minorEastAsia"/>
          <w:b/>
          <w:bCs w:val="0"/>
          <w:sz w:val="20"/>
          <w:highlight w:val="none"/>
          <w:lang w:val="en-US" w:eastAsia="zh-CN"/>
        </w:rPr>
        <w:t>投诉处理；5.</w:t>
      </w:r>
      <w:r>
        <w:rPr>
          <w:rFonts w:hint="eastAsia" w:ascii="仿宋_GB2312" w:eastAsia="仿宋_GB2312" w:cs="Times New Roman" w:hAnsiTheme="minorEastAsia"/>
          <w:b/>
          <w:bCs w:val="0"/>
          <w:sz w:val="20"/>
          <w:highlight w:val="none"/>
          <w:lang w:eastAsia="zh-CN"/>
        </w:rPr>
        <w:t>客服中心向您反馈处理结果。</w:t>
      </w:r>
    </w:p>
    <w:p w14:paraId="397659AB">
      <w:pPr>
        <w:rPr>
          <w:rFonts w:ascii="Times New Roman" w:hAnsi="Times New Roman" w:eastAsia="方正小标宋简体" w:cs="Times New Roman"/>
          <w:spacing w:val="1"/>
          <w:highlight w:val="none"/>
          <w:lang w:eastAsia="zh-CN"/>
        </w:rPr>
      </w:pPr>
      <w:r>
        <w:rPr>
          <w:rFonts w:ascii="Times New Roman" w:hAnsi="Times New Roman" w:eastAsia="方正小标宋简体" w:cs="Times New Roman"/>
          <w:spacing w:val="1"/>
          <w:highlight w:val="none"/>
          <w:lang w:eastAsia="zh-CN"/>
        </w:rPr>
        <w:br w:type="page"/>
      </w:r>
    </w:p>
    <w:p w14:paraId="18993263">
      <w:pPr>
        <w:pStyle w:val="15"/>
        <w:ind w:right="271"/>
        <w:jc w:val="center"/>
        <w:rPr>
          <w:rFonts w:hint="eastAsia" w:ascii="方正小标宋_GBK" w:hAnsi="方正小标宋_GBK" w:eastAsia="方正小标宋_GBK" w:cs="方正小标宋_GBK"/>
          <w:spacing w:val="1"/>
          <w:sz w:val="36"/>
          <w:szCs w:val="36"/>
          <w:highlight w:val="none"/>
          <w:lang w:eastAsia="zh-CN"/>
        </w:rPr>
      </w:pPr>
      <w:r>
        <w:rPr>
          <w:rFonts w:hint="eastAsia" w:ascii="方正小标宋_GBK" w:hAnsi="方正小标宋_GBK" w:eastAsia="方正小标宋_GBK" w:cs="方正小标宋_GBK"/>
          <w:spacing w:val="1"/>
          <w:sz w:val="36"/>
          <w:szCs w:val="36"/>
          <w:highlight w:val="none"/>
          <w:lang w:eastAsia="zh-CN"/>
        </w:rPr>
        <w:t>贵阳农商银行</w:t>
      </w:r>
      <w:r>
        <w:rPr>
          <w:rFonts w:hint="eastAsia" w:ascii="方正小标宋_GBK" w:hAnsi="方正小标宋_GBK" w:eastAsia="方正小标宋_GBK" w:cs="方正小标宋_GBK"/>
          <w:sz w:val="36"/>
          <w:szCs w:val="36"/>
          <w:highlight w:val="none"/>
          <w:lang w:eastAsia="zh-CN"/>
        </w:rPr>
        <w:t>理财产品风险揭示书</w:t>
      </w:r>
    </w:p>
    <w:p w14:paraId="220E0A14">
      <w:pPr>
        <w:jc w:val="center"/>
        <w:rPr>
          <w:rFonts w:ascii="Times New Roman" w:hAnsi="黑体" w:eastAsia="黑体" w:cs="Times New Roman"/>
          <w:b/>
          <w:sz w:val="18"/>
          <w:szCs w:val="13"/>
          <w:highlight w:val="none"/>
          <w:lang w:eastAsia="zh-CN"/>
        </w:rPr>
      </w:pPr>
      <w:r>
        <w:rPr>
          <w:rFonts w:ascii="Times New Roman" w:hAnsi="黑体" w:eastAsia="黑体" w:cs="Times New Roman"/>
          <w:b/>
          <w:sz w:val="18"/>
          <w:szCs w:val="13"/>
          <w:highlight w:val="none"/>
          <w:lang w:eastAsia="zh-CN"/>
        </w:rPr>
        <w:t>理财非存款、产品有风险、投资须谨慎</w:t>
      </w:r>
    </w:p>
    <w:p w14:paraId="2E18EB35">
      <w:pPr>
        <w:jc w:val="center"/>
        <w:rPr>
          <w:rFonts w:ascii="Times New Roman" w:hAnsi="黑体" w:eastAsia="黑体" w:cs="Times New Roman"/>
          <w:b/>
          <w:sz w:val="18"/>
          <w:szCs w:val="13"/>
          <w:highlight w:val="none"/>
          <w:lang w:eastAsia="zh-CN"/>
        </w:rPr>
      </w:pPr>
      <w:r>
        <w:rPr>
          <w:rFonts w:hint="eastAsia" w:ascii="Times New Roman" w:hAnsi="黑体" w:eastAsia="黑体" w:cs="Times New Roman"/>
          <w:b/>
          <w:sz w:val="18"/>
          <w:szCs w:val="13"/>
          <w:highlight w:val="none"/>
          <w:lang w:eastAsia="zh-CN"/>
        </w:rPr>
        <w:t>理财产品过往业绩不代表其未来表现，不等于理财产品实际收益，投资须谨慎</w:t>
      </w:r>
    </w:p>
    <w:p w14:paraId="7AE4DF97">
      <w:pPr>
        <w:ind w:left="140"/>
        <w:rPr>
          <w:rFonts w:ascii="仿宋_GB2312" w:hAnsi="Times New Roman" w:eastAsia="仿宋_GB2312" w:cs="Times New Roman"/>
          <w:b/>
          <w:sz w:val="20"/>
          <w:szCs w:val="20"/>
          <w:highlight w:val="none"/>
          <w:lang w:eastAsia="zh-CN"/>
        </w:rPr>
      </w:pPr>
      <w:r>
        <w:rPr>
          <w:rFonts w:ascii="仿宋_GB2312" w:hAnsi="黑体" w:eastAsia="仿宋_GB2312" w:cs="Times New Roman"/>
          <w:b/>
          <w:sz w:val="20"/>
          <w:szCs w:val="20"/>
          <w:highlight w:val="none"/>
          <w:lang w:eastAsia="zh-CN"/>
        </w:rPr>
        <w:t>尊敬的</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w:t>
      </w:r>
    </w:p>
    <w:p w14:paraId="004DF424">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理财产品管理运</w:t>
      </w:r>
      <w:r>
        <w:rPr>
          <w:rFonts w:hint="eastAsia" w:ascii="仿宋_GB2312" w:hAnsi="仿宋_GB2312" w:eastAsia="仿宋_GB2312" w:cs="仿宋_GB2312"/>
          <w:spacing w:val="2"/>
          <w:sz w:val="20"/>
          <w:szCs w:val="20"/>
          <w:highlight w:val="none"/>
          <w:lang w:val="en-US" w:eastAsia="zh-CN"/>
        </w:rPr>
        <w:t>行</w:t>
      </w:r>
      <w:r>
        <w:rPr>
          <w:rFonts w:ascii="仿宋_GB2312" w:hAnsi="黑体" w:eastAsia="仿宋_GB2312" w:cs="Times New Roman"/>
          <w:spacing w:val="2"/>
          <w:sz w:val="20"/>
          <w:szCs w:val="20"/>
          <w:highlight w:val="none"/>
          <w:lang w:eastAsia="zh-CN"/>
        </w:rPr>
        <w:t>过程</w:t>
      </w:r>
      <w:r>
        <w:rPr>
          <w:rFonts w:hint="eastAsia" w:ascii="仿宋_GB2312" w:hAnsi="黑体" w:eastAsia="仿宋_GB2312" w:cs="Times New Roman"/>
          <w:spacing w:val="2"/>
          <w:sz w:val="20"/>
          <w:szCs w:val="20"/>
          <w:highlight w:val="none"/>
          <w:lang w:val="en-US" w:eastAsia="zh-CN"/>
        </w:rPr>
        <w:t>中</w:t>
      </w:r>
      <w:r>
        <w:rPr>
          <w:rFonts w:ascii="仿宋_GB2312" w:hAnsi="黑体" w:eastAsia="仿宋_GB2312" w:cs="Times New Roman"/>
          <w:spacing w:val="2"/>
          <w:sz w:val="20"/>
          <w:szCs w:val="20"/>
          <w:highlight w:val="none"/>
          <w:lang w:eastAsia="zh-CN"/>
        </w:rPr>
        <w:t>，可能会面临多种风险因素。因此，根据相关监管规定的要求，贵阳农商</w:t>
      </w:r>
      <w:r>
        <w:rPr>
          <w:rFonts w:ascii="仿宋_GB2312" w:hAnsi="黑体" w:eastAsia="仿宋_GB2312" w:cs="Times New Roman"/>
          <w:sz w:val="20"/>
          <w:szCs w:val="20"/>
          <w:highlight w:val="none"/>
          <w:lang w:eastAsia="zh-CN"/>
        </w:rPr>
        <w:t>银行（理财产品管理人）郑重提示：</w:t>
      </w:r>
    </w:p>
    <w:p w14:paraId="463FE2D1">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本期产品为</w:t>
      </w:r>
      <w:r>
        <w:rPr>
          <w:rFonts w:ascii="仿宋_GB2312" w:hAnsi="黑体" w:eastAsia="仿宋_GB2312" w:cs="Times New Roman"/>
          <w:b/>
          <w:spacing w:val="2"/>
          <w:sz w:val="20"/>
          <w:szCs w:val="20"/>
          <w:highlight w:val="none"/>
          <w:lang w:eastAsia="zh-CN"/>
        </w:rPr>
        <w:t>非保本浮动收益型理财产品，不保证本金和收益</w:t>
      </w:r>
      <w:r>
        <w:rPr>
          <w:rFonts w:ascii="仿宋_GB2312" w:hAnsi="黑体" w:eastAsia="仿宋_GB2312" w:cs="Times New Roman"/>
          <w:spacing w:val="2"/>
          <w:sz w:val="20"/>
          <w:szCs w:val="20"/>
          <w:highlight w:val="none"/>
          <w:lang w:eastAsia="zh-CN"/>
        </w:rPr>
        <w:t>，请您充分认识投资风险，谨慎投资。本产品任何业绩比较基准、预计收益、测算收益或类似表述</w:t>
      </w:r>
      <w:r>
        <w:rPr>
          <w:rFonts w:ascii="仿宋_GB2312" w:hAnsi="黑体" w:eastAsia="仿宋_GB2312" w:cs="Times New Roman"/>
          <w:sz w:val="20"/>
          <w:szCs w:val="20"/>
          <w:highlight w:val="none"/>
          <w:lang w:eastAsia="zh-CN"/>
        </w:rPr>
        <w:t>不代表</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可能获得的实际收益，亦不构成贵阳农商银行对本产品的任何收益承诺。</w:t>
      </w:r>
    </w:p>
    <w:p w14:paraId="39259EEE">
      <w:pPr>
        <w:ind w:left="140" w:right="154" w:firstLine="400"/>
        <w:jc w:val="both"/>
        <w:rPr>
          <w:rFonts w:ascii="仿宋_GB2312" w:hAnsi="黑体" w:eastAsia="仿宋_GB2312" w:cs="Times New Roman"/>
          <w:b/>
          <w:bCs/>
          <w:sz w:val="20"/>
          <w:szCs w:val="20"/>
          <w:highlight w:val="none"/>
          <w:lang w:eastAsia="zh-CN"/>
        </w:rPr>
      </w:pPr>
      <w:r>
        <w:rPr>
          <w:rFonts w:ascii="仿宋_GB2312" w:hAnsi="黑体" w:eastAsia="仿宋_GB2312" w:cs="Times New Roman"/>
          <w:b/>
          <w:bCs/>
          <w:sz w:val="20"/>
          <w:szCs w:val="20"/>
          <w:highlight w:val="none"/>
          <w:lang w:eastAsia="zh-CN"/>
        </w:rPr>
        <w:t>本期产品期限</w:t>
      </w:r>
      <w:r>
        <w:rPr>
          <w:rFonts w:hint="eastAsia" w:ascii="仿宋_GB2312" w:hAnsi="仿宋_GB2312" w:eastAsia="仿宋_GB2312" w:cs="仿宋_GB2312"/>
          <w:b/>
          <w:bCs/>
          <w:sz w:val="20"/>
          <w:szCs w:val="20"/>
          <w:highlight w:val="none"/>
          <w:u w:val="none"/>
          <w:lang w:val="en-US" w:eastAsia="zh-CN"/>
        </w:rPr>
        <w:t>365</w:t>
      </w:r>
      <w:r>
        <w:rPr>
          <w:rFonts w:hint="eastAsia" w:ascii="仿宋_GB2312" w:hAnsi="黑体" w:eastAsia="仿宋_GB2312" w:cs="Times New Roman"/>
          <w:b/>
          <w:bCs/>
          <w:sz w:val="20"/>
          <w:szCs w:val="20"/>
          <w:highlight w:val="none"/>
          <w:lang w:val="en-US" w:eastAsia="zh-CN"/>
        </w:rPr>
        <w:t>天</w:t>
      </w:r>
      <w:r>
        <w:rPr>
          <w:rFonts w:hint="eastAsia" w:ascii="仿宋_GB2312" w:hAnsi="黑体" w:eastAsia="仿宋_GB2312" w:cs="Times New Roman"/>
          <w:b/>
          <w:bCs/>
          <w:sz w:val="20"/>
          <w:szCs w:val="20"/>
          <w:highlight w:val="none"/>
          <w:lang w:eastAsia="zh-CN"/>
        </w:rPr>
        <w:t>，</w:t>
      </w:r>
      <w:r>
        <w:rPr>
          <w:rFonts w:ascii="仿宋_GB2312" w:hAnsi="黑体" w:eastAsia="仿宋_GB2312" w:cs="Times New Roman"/>
          <w:b/>
          <w:bCs/>
          <w:spacing w:val="-3"/>
          <w:sz w:val="20"/>
          <w:szCs w:val="20"/>
          <w:highlight w:val="none"/>
          <w:lang w:eastAsia="zh-CN"/>
        </w:rPr>
        <w:t>贵阳农商银行有权对本期产品进行展期和提前终止，</w:t>
      </w:r>
      <w:r>
        <w:rPr>
          <w:rFonts w:hint="eastAsia" w:ascii="仿宋_GB2312" w:hAnsi="黑体" w:eastAsia="仿宋_GB2312" w:cs="Times New Roman"/>
          <w:b/>
          <w:bCs/>
          <w:spacing w:val="-3"/>
          <w:sz w:val="20"/>
          <w:szCs w:val="20"/>
          <w:highlight w:val="none"/>
          <w:lang w:val="en-US" w:eastAsia="zh-CN"/>
        </w:rPr>
        <w:t>存续</w:t>
      </w:r>
      <w:r>
        <w:rPr>
          <w:rFonts w:ascii="仿宋_GB2312" w:hAnsi="黑体" w:eastAsia="仿宋_GB2312" w:cs="Times New Roman"/>
          <w:b/>
          <w:bCs/>
          <w:spacing w:val="-3"/>
          <w:sz w:val="20"/>
          <w:szCs w:val="20"/>
          <w:highlight w:val="none"/>
          <w:lang w:eastAsia="zh-CN"/>
        </w:rPr>
        <w:t>期内产品</w:t>
      </w:r>
      <w:r>
        <w:rPr>
          <w:rFonts w:ascii="仿宋_GB2312" w:eastAsia="仿宋_GB2312" w:cs="Times New Roman" w:hAnsiTheme="minorEastAsia"/>
          <w:b/>
          <w:bCs/>
          <w:sz w:val="20"/>
          <w:highlight w:val="none"/>
          <w:lang w:eastAsia="zh-CN"/>
        </w:rPr>
        <w:t>不开放申购、追加投资和赎回</w:t>
      </w:r>
      <w:r>
        <w:rPr>
          <w:rFonts w:hint="eastAsia" w:ascii="仿宋_GB2312" w:eastAsia="仿宋_GB2312" w:cs="Times New Roman" w:hAnsiTheme="minorEastAsia"/>
          <w:b/>
          <w:bCs/>
          <w:sz w:val="20"/>
          <w:highlight w:val="none"/>
          <w:lang w:eastAsia="zh-CN"/>
        </w:rPr>
        <w:t>。</w:t>
      </w:r>
    </w:p>
    <w:p w14:paraId="3B5A1BF9">
      <w:pPr>
        <w:ind w:left="140" w:right="154" w:firstLine="400"/>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sz w:val="20"/>
          <w:szCs w:val="20"/>
          <w:highlight w:val="none"/>
          <w:lang w:eastAsia="zh-CN"/>
        </w:rPr>
        <w:t>产品风险</w:t>
      </w:r>
      <w:r>
        <w:rPr>
          <w:rFonts w:ascii="仿宋_GB2312" w:hAnsi="黑体" w:eastAsia="仿宋_GB2312" w:cs="Times New Roman"/>
          <w:spacing w:val="-2"/>
          <w:sz w:val="20"/>
          <w:szCs w:val="20"/>
          <w:highlight w:val="none"/>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spacing w:val="-2"/>
          <w:sz w:val="20"/>
          <w:szCs w:val="20"/>
          <w:highlight w:val="none"/>
          <w:lang w:eastAsia="zh-CN"/>
        </w:rPr>
        <w:t>风险</w:t>
      </w:r>
      <w:r>
        <w:rPr>
          <w:rFonts w:hint="eastAsia" w:ascii="仿宋_GB2312" w:hAnsi="黑体" w:eastAsia="仿宋_GB2312" w:cs="Times New Roman"/>
          <w:spacing w:val="-2"/>
          <w:sz w:val="20"/>
          <w:szCs w:val="20"/>
          <w:highlight w:val="none"/>
          <w:lang w:eastAsia="zh-CN"/>
        </w:rPr>
        <w:t>。</w:t>
      </w:r>
      <w:r>
        <w:rPr>
          <w:rFonts w:ascii="仿宋_GB2312" w:hAnsi="黑体" w:eastAsia="仿宋_GB2312" w:cs="Times New Roman"/>
          <w:spacing w:val="-2"/>
          <w:sz w:val="20"/>
          <w:szCs w:val="20"/>
          <w:highlight w:val="none"/>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highlight w:val="none"/>
          <w:lang w:eastAsia="zh-CN"/>
        </w:rPr>
        <w:t>，风险适用于</w:t>
      </w:r>
      <w:r>
        <w:rPr>
          <w:rFonts w:ascii="仿宋_GB2312" w:hAnsi="黑体" w:eastAsia="仿宋_GB2312" w:cs="Times New Roman"/>
          <w:spacing w:val="-2"/>
          <w:sz w:val="20"/>
          <w:szCs w:val="20"/>
          <w:lang w:eastAsia="zh-CN"/>
        </w:rPr>
        <w:t>稳健型、平衡型、成长型和进取型</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。最不利情况下，</w:t>
      </w:r>
      <w:r>
        <w:rPr>
          <w:rFonts w:ascii="仿宋_GB2312" w:hAnsi="黑体" w:eastAsia="仿宋_GB2312" w:cs="Times New Roman"/>
          <w:spacing w:val="2"/>
          <w:sz w:val="20"/>
          <w:szCs w:val="20"/>
          <w:highlight w:val="none"/>
          <w:lang w:eastAsia="zh-CN"/>
        </w:rPr>
        <w:t>资产组合无法回收任何本金和净收益，</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将损失全部本金。</w:t>
      </w:r>
    </w:p>
    <w:p w14:paraId="1971F5B0">
      <w:pPr>
        <w:ind w:left="140" w:right="154" w:firstLine="400"/>
        <w:jc w:val="both"/>
        <w:rPr>
          <w:rFonts w:ascii="仿宋_GB2312" w:hAnsi="Times New Roman" w:eastAsia="仿宋_GB2312" w:cs="Times New Roman"/>
          <w:b/>
          <w:bCs/>
          <w:sz w:val="20"/>
          <w:szCs w:val="20"/>
          <w:highlight w:val="none"/>
          <w:lang w:eastAsia="zh-CN"/>
        </w:rPr>
      </w:pPr>
      <w:r>
        <w:rPr>
          <w:rFonts w:ascii="仿宋_GB2312" w:hAnsi="黑体" w:eastAsia="仿宋_GB2312" w:cs="Times New Roman"/>
          <w:b/>
          <w:bCs/>
          <w:spacing w:val="2"/>
          <w:sz w:val="20"/>
          <w:szCs w:val="20"/>
          <w:highlight w:val="none"/>
          <w:lang w:eastAsia="zh-CN"/>
        </w:rPr>
        <w:t>投资者不得使用贷款、发行债券等筹集的非自有资金投资本产品。</w:t>
      </w:r>
    </w:p>
    <w:p w14:paraId="698B24D3">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示例：若投资者购买本理财产品，理财产品本金为10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hint="eastAsia" w:ascii="仿宋_GB2312" w:hAnsi="黑体" w:eastAsia="仿宋_GB2312" w:cs="Times New Roman"/>
          <w:spacing w:val="-2"/>
          <w:sz w:val="20"/>
          <w:szCs w:val="20"/>
          <w:highlight w:val="none"/>
          <w:lang w:eastAsia="zh-CN"/>
        </w:rPr>
        <w:t>元</w:t>
      </w:r>
      <w:r>
        <w:rPr>
          <w:rFonts w:ascii="仿宋_GB2312" w:hAnsi="黑体" w:eastAsia="仿宋_GB2312" w:cs="Times New Roman"/>
          <w:spacing w:val="-2"/>
          <w:sz w:val="20"/>
          <w:szCs w:val="20"/>
          <w:highlight w:val="none"/>
          <w:lang w:eastAsia="zh-CN"/>
        </w:rPr>
        <w:t>，如果产品正常运作到期，产品期限</w:t>
      </w:r>
      <w:r>
        <w:rPr>
          <w:rFonts w:hint="eastAsia" w:ascii="仿宋_GB2312" w:hAnsi="黑体" w:eastAsia="仿宋_GB2312" w:cs="Times New Roman"/>
          <w:spacing w:val="-2"/>
          <w:sz w:val="20"/>
          <w:szCs w:val="20"/>
          <w:highlight w:val="none"/>
          <w:lang w:eastAsia="zh-CN"/>
        </w:rPr>
        <w:t>365天</w:t>
      </w:r>
      <w:r>
        <w:rPr>
          <w:rFonts w:ascii="仿宋_GB2312" w:hAnsi="黑体" w:eastAsia="仿宋_GB2312" w:cs="Times New Roman"/>
          <w:spacing w:val="-2"/>
          <w:sz w:val="20"/>
          <w:szCs w:val="20"/>
          <w:highlight w:val="none"/>
          <w:lang w:eastAsia="zh-CN"/>
        </w:rPr>
        <w:t>，产品</w:t>
      </w:r>
      <w:r>
        <w:rPr>
          <w:rFonts w:hint="eastAsia" w:ascii="仿宋_GB2312" w:hAnsi="黑体" w:eastAsia="仿宋_GB2312" w:cs="Times New Roman"/>
          <w:spacing w:val="-2"/>
          <w:sz w:val="20"/>
          <w:szCs w:val="20"/>
          <w:highlight w:val="none"/>
          <w:lang w:eastAsia="zh-CN"/>
        </w:rPr>
        <w:t>到期</w:t>
      </w:r>
      <w:r>
        <w:rPr>
          <w:rFonts w:ascii="仿宋_GB2312" w:hAnsi="黑体" w:eastAsia="仿宋_GB2312" w:cs="Times New Roman"/>
          <w:spacing w:val="-2"/>
          <w:sz w:val="20"/>
          <w:szCs w:val="20"/>
          <w:highlight w:val="none"/>
          <w:lang w:eastAsia="zh-CN"/>
        </w:rPr>
        <w:t>单位净值为1.0600元/份，除本金外，到期收益为：</w:t>
      </w:r>
      <w:r>
        <w:rPr>
          <w:rFonts w:hint="eastAsia" w:ascii="仿宋_GB2312" w:hAnsi="黑体" w:eastAsia="仿宋_GB2312" w:cs="Times New Roman"/>
          <w:spacing w:val="-2"/>
          <w:sz w:val="20"/>
          <w:szCs w:val="20"/>
          <w:highlight w:val="none"/>
          <w:lang w:eastAsia="zh-CN"/>
        </w:rPr>
        <w:t>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(1.0600-1)</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6000.00</w:t>
      </w:r>
      <w:r>
        <w:rPr>
          <w:rFonts w:ascii="仿宋_GB2312" w:hAnsi="黑体" w:eastAsia="仿宋_GB2312" w:cs="Times New Roman"/>
          <w:spacing w:val="-2"/>
          <w:sz w:val="20"/>
          <w:szCs w:val="20"/>
          <w:highlight w:val="none"/>
          <w:lang w:eastAsia="zh-CN"/>
        </w:rPr>
        <w:t>（元），产品收益计算过程中</w:t>
      </w:r>
      <w:r>
        <w:rPr>
          <w:rFonts w:hint="eastAsia" w:ascii="仿宋_GB2312" w:hAnsi="黑体" w:eastAsia="仿宋_GB2312" w:cs="Times New Roman"/>
          <w:spacing w:val="-2"/>
          <w:sz w:val="20"/>
          <w:szCs w:val="20"/>
          <w:highlight w:val="none"/>
          <w:lang w:val="en-US" w:eastAsia="zh-CN"/>
        </w:rPr>
        <w:t>产品单位净值按四舍五入原则保留至小数点后4位</w:t>
      </w:r>
      <w:r>
        <w:rPr>
          <w:rFonts w:ascii="仿宋_GB2312" w:hAnsi="黑体" w:eastAsia="仿宋_GB2312" w:cs="Times New Roman"/>
          <w:spacing w:val="-2"/>
          <w:sz w:val="20"/>
          <w:szCs w:val="20"/>
          <w:highlight w:val="none"/>
          <w:lang w:eastAsia="zh-CN"/>
        </w:rPr>
        <w:t>,存在尾差可能。</w:t>
      </w:r>
      <w:r>
        <w:rPr>
          <w:rFonts w:hint="eastAsia" w:ascii="仿宋_GB2312" w:hAnsi="黑体" w:eastAsia="仿宋_GB2312" w:cs="Times New Roman"/>
          <w:spacing w:val="-2"/>
          <w:sz w:val="20"/>
          <w:szCs w:val="20"/>
          <w:highlight w:val="none"/>
          <w:lang w:eastAsia="zh-CN"/>
        </w:rPr>
        <w:t>在</w:t>
      </w:r>
      <w:r>
        <w:rPr>
          <w:rFonts w:ascii="仿宋_GB2312" w:hAnsi="黑体" w:eastAsia="仿宋_GB2312" w:cs="Times New Roman"/>
          <w:spacing w:val="-2"/>
          <w:sz w:val="20"/>
          <w:szCs w:val="20"/>
          <w:highlight w:val="none"/>
          <w:lang w:eastAsia="zh-CN"/>
        </w:rPr>
        <w:t>最不利情况下，资产组合无法回收任何本金和净收益</w:t>
      </w:r>
      <w:r>
        <w:rPr>
          <w:rFonts w:hint="eastAsia" w:ascii="仿宋_GB2312" w:hAnsi="黑体" w:eastAsia="仿宋_GB2312" w:cs="Times New Roman"/>
          <w:spacing w:val="-2"/>
          <w:sz w:val="20"/>
          <w:szCs w:val="20"/>
          <w:highlight w:val="none"/>
          <w:lang w:eastAsia="zh-CN"/>
        </w:rPr>
        <w:t>，理财产品10万元本金将全部损失。</w:t>
      </w:r>
    </w:p>
    <w:p w14:paraId="221F8D62">
      <w:pPr>
        <w:ind w:left="139"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b/>
          <w:sz w:val="20"/>
          <w:szCs w:val="20"/>
          <w:highlight w:val="none"/>
          <w:lang w:eastAsia="zh-CN"/>
        </w:rPr>
        <w:t>如影响您风险承受能力的因素发生变化</w:t>
      </w:r>
      <w:r>
        <w:rPr>
          <w:rFonts w:hint="eastAsia" w:ascii="仿宋_GB2312" w:hAnsi="黑体" w:eastAsia="仿宋_GB2312" w:cs="Times New Roman"/>
          <w:b/>
          <w:sz w:val="20"/>
          <w:szCs w:val="20"/>
          <w:highlight w:val="none"/>
          <w:lang w:eastAsia="zh-CN"/>
        </w:rPr>
        <w:t>或风险承受能力评估超过一年</w:t>
      </w:r>
      <w:r>
        <w:rPr>
          <w:rFonts w:ascii="仿宋_GB2312" w:hAnsi="黑体" w:eastAsia="仿宋_GB2312" w:cs="Times New Roman"/>
          <w:b/>
          <w:sz w:val="20"/>
          <w:szCs w:val="20"/>
          <w:highlight w:val="none"/>
          <w:lang w:eastAsia="zh-CN"/>
        </w:rPr>
        <w:t>，请及时完成风险承受能力评估。</w:t>
      </w:r>
    </w:p>
    <w:p w14:paraId="65F0CED7">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贵阳农商银行理财产品内部风险评级说明如下：</w:t>
      </w:r>
    </w:p>
    <w:tbl>
      <w:tblPr>
        <w:tblStyle w:val="7"/>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4833"/>
        <w:gridCol w:w="2646"/>
      </w:tblGrid>
      <w:tr w14:paraId="1193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45304FD6">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风险评级</w:t>
            </w:r>
          </w:p>
        </w:tc>
        <w:tc>
          <w:tcPr>
            <w:tcW w:w="4833" w:type="dxa"/>
            <w:tcBorders>
              <w:top w:val="single" w:color="000000" w:sz="12" w:space="0"/>
            </w:tcBorders>
            <w:vAlign w:val="center"/>
          </w:tcPr>
          <w:p w14:paraId="0BA86A7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评级说明</w:t>
            </w:r>
          </w:p>
        </w:tc>
        <w:tc>
          <w:tcPr>
            <w:tcW w:w="2646" w:type="dxa"/>
            <w:tcBorders>
              <w:top w:val="single" w:color="000000" w:sz="12" w:space="0"/>
              <w:right w:val="single" w:color="000000" w:sz="12" w:space="0"/>
            </w:tcBorders>
            <w:vAlign w:val="center"/>
          </w:tcPr>
          <w:p w14:paraId="5B6B0C9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适合投资者</w:t>
            </w:r>
          </w:p>
        </w:tc>
      </w:tr>
      <w:tr w14:paraId="6BEB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3994DD62">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低风险级别</w:t>
            </w:r>
          </w:p>
          <w:p w14:paraId="4587E39B">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一级</w:t>
            </w:r>
            <w:r>
              <w:rPr>
                <w:rFonts w:hint="eastAsia" w:ascii="Times New Roman" w:hAnsi="Times New Roman" w:eastAsia="仿宋_GB2312" w:cs="Times New Roman"/>
                <w:sz w:val="20"/>
                <w:highlight w:val="none"/>
              </w:rPr>
              <w:t>）</w:t>
            </w:r>
          </w:p>
        </w:tc>
        <w:tc>
          <w:tcPr>
            <w:tcW w:w="4833" w:type="dxa"/>
            <w:tcMar>
              <w:left w:w="170" w:type="dxa"/>
              <w:right w:w="170" w:type="dxa"/>
            </w:tcMar>
            <w:vAlign w:val="center"/>
          </w:tcPr>
          <w:p w14:paraId="0458BC68">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产品不保障本金，风险因素对本金及收益的影响极小</w:t>
            </w:r>
          </w:p>
        </w:tc>
        <w:tc>
          <w:tcPr>
            <w:tcW w:w="2646" w:type="dxa"/>
            <w:tcBorders>
              <w:right w:val="single" w:color="000000" w:sz="12" w:space="0"/>
            </w:tcBorders>
            <w:tcMar>
              <w:left w:w="170" w:type="dxa"/>
              <w:right w:w="170" w:type="dxa"/>
            </w:tcMar>
            <w:vAlign w:val="center"/>
          </w:tcPr>
          <w:p w14:paraId="38597AD0">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保守型、稳健型、平衡型、成长型、进取型</w:t>
            </w:r>
          </w:p>
        </w:tc>
      </w:tr>
      <w:tr w14:paraId="10C2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DD53980">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较低风险级别</w:t>
            </w:r>
          </w:p>
          <w:p w14:paraId="6B15DC81">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（二级）</w:t>
            </w:r>
          </w:p>
        </w:tc>
        <w:tc>
          <w:tcPr>
            <w:tcW w:w="4833" w:type="dxa"/>
            <w:tcMar>
              <w:left w:w="170" w:type="dxa"/>
              <w:right w:w="170" w:type="dxa"/>
            </w:tcMar>
            <w:vAlign w:val="center"/>
          </w:tcPr>
          <w:p w14:paraId="214AF83D">
            <w:pPr>
              <w:snapToGrid w:val="0"/>
              <w:ind w:firstLine="402" w:firstLineChars="200"/>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产品不保障本金，风险因素对本金及收益的影响较小</w:t>
            </w:r>
          </w:p>
        </w:tc>
        <w:tc>
          <w:tcPr>
            <w:tcW w:w="2646" w:type="dxa"/>
            <w:tcBorders>
              <w:right w:val="single" w:color="000000" w:sz="12" w:space="0"/>
            </w:tcBorders>
            <w:tcMar>
              <w:left w:w="170" w:type="dxa"/>
              <w:right w:w="170" w:type="dxa"/>
            </w:tcMar>
            <w:vAlign w:val="center"/>
          </w:tcPr>
          <w:p w14:paraId="6A611C3C">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稳健型、平衡型、成长型、进取型</w:t>
            </w:r>
          </w:p>
        </w:tc>
      </w:tr>
      <w:tr w14:paraId="1FC5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148C76B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中等风险级别</w:t>
            </w:r>
          </w:p>
          <w:p w14:paraId="49A5478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（三级）</w:t>
            </w:r>
          </w:p>
        </w:tc>
        <w:tc>
          <w:tcPr>
            <w:tcW w:w="4833" w:type="dxa"/>
            <w:tcMar>
              <w:left w:w="170" w:type="dxa"/>
              <w:right w:w="170" w:type="dxa"/>
            </w:tcMar>
            <w:vAlign w:val="center"/>
          </w:tcPr>
          <w:p w14:paraId="0FE23E3A">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产品不保障本金，风险因素可能对本金和收益产生一定影响</w:t>
            </w:r>
          </w:p>
        </w:tc>
        <w:tc>
          <w:tcPr>
            <w:tcW w:w="2646" w:type="dxa"/>
            <w:tcBorders>
              <w:right w:val="single" w:color="000000" w:sz="12" w:space="0"/>
            </w:tcBorders>
            <w:tcMar>
              <w:left w:w="170" w:type="dxa"/>
              <w:right w:w="170" w:type="dxa"/>
            </w:tcMar>
            <w:vAlign w:val="center"/>
          </w:tcPr>
          <w:p w14:paraId="4E71ECEC">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平衡型、成长型、进取型</w:t>
            </w:r>
          </w:p>
        </w:tc>
      </w:tr>
      <w:tr w14:paraId="60C1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5FB6C3B9">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较高风险级别</w:t>
            </w:r>
          </w:p>
          <w:p w14:paraId="018C94E3">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（四级）</w:t>
            </w:r>
          </w:p>
        </w:tc>
        <w:tc>
          <w:tcPr>
            <w:tcW w:w="4833" w:type="dxa"/>
            <w:tcMar>
              <w:left w:w="170" w:type="dxa"/>
              <w:right w:w="170" w:type="dxa"/>
            </w:tcMar>
            <w:vAlign w:val="center"/>
          </w:tcPr>
          <w:p w14:paraId="121EFCF3">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产品不保障本金，风险因素可能对本金产生较大影响，产品结构存在一定复杂性</w:t>
            </w:r>
          </w:p>
        </w:tc>
        <w:tc>
          <w:tcPr>
            <w:tcW w:w="2646" w:type="dxa"/>
            <w:tcBorders>
              <w:right w:val="single" w:color="000000" w:sz="12" w:space="0"/>
            </w:tcBorders>
            <w:tcMar>
              <w:left w:w="170" w:type="dxa"/>
              <w:right w:w="170" w:type="dxa"/>
            </w:tcMar>
            <w:vAlign w:val="center"/>
          </w:tcPr>
          <w:p w14:paraId="09663FC6">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成长型、进取型</w:t>
            </w:r>
          </w:p>
        </w:tc>
      </w:tr>
      <w:tr w14:paraId="53F2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648" w:type="dxa"/>
            <w:tcBorders>
              <w:left w:val="single" w:color="000000" w:sz="12" w:space="0"/>
              <w:bottom w:val="single" w:color="000000" w:sz="12" w:space="0"/>
            </w:tcBorders>
            <w:vAlign w:val="center"/>
          </w:tcPr>
          <w:p w14:paraId="450DD62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高风险级别</w:t>
            </w:r>
          </w:p>
          <w:p w14:paraId="0CABDF4F">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五级</w:t>
            </w:r>
            <w:r>
              <w:rPr>
                <w:rFonts w:hint="eastAsia" w:ascii="Times New Roman" w:hAnsi="Times New Roman" w:eastAsia="仿宋_GB2312" w:cs="Times New Roman"/>
                <w:sz w:val="20"/>
                <w:highlight w:val="none"/>
              </w:rPr>
              <w:t>）</w:t>
            </w:r>
          </w:p>
        </w:tc>
        <w:tc>
          <w:tcPr>
            <w:tcW w:w="4833" w:type="dxa"/>
            <w:tcBorders>
              <w:bottom w:val="single" w:color="000000" w:sz="12" w:space="0"/>
            </w:tcBorders>
            <w:tcMar>
              <w:left w:w="170" w:type="dxa"/>
              <w:right w:w="170" w:type="dxa"/>
            </w:tcMar>
            <w:vAlign w:val="center"/>
          </w:tcPr>
          <w:p w14:paraId="0292D8BE">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产品不保障本金，风险因素可能对本金造成重大损失，产品结构较为复杂</w:t>
            </w:r>
          </w:p>
        </w:tc>
        <w:tc>
          <w:tcPr>
            <w:tcW w:w="2646" w:type="dxa"/>
            <w:tcBorders>
              <w:bottom w:val="single" w:color="000000" w:sz="12" w:space="0"/>
              <w:right w:val="single" w:color="000000" w:sz="12" w:space="0"/>
            </w:tcBorders>
            <w:tcMar>
              <w:left w:w="170" w:type="dxa"/>
              <w:right w:w="170" w:type="dxa"/>
            </w:tcMar>
            <w:vAlign w:val="center"/>
          </w:tcPr>
          <w:p w14:paraId="406C0E9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进取型</w:t>
            </w:r>
          </w:p>
        </w:tc>
      </w:tr>
    </w:tbl>
    <w:p w14:paraId="770EF0D0">
      <w:pPr>
        <w:ind w:left="538" w:right="271"/>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b/>
          <w:sz w:val="20"/>
          <w:szCs w:val="20"/>
          <w:highlight w:val="none"/>
          <w:lang w:eastAsia="zh-CN"/>
        </w:rPr>
        <w:t>注：本风险评级为贵阳农商银行内部评级结果，该评级仅供参考，不具备法律效力。</w:t>
      </w:r>
    </w:p>
    <w:p w14:paraId="4FAE9FE6">
      <w:pPr>
        <w:ind w:left="140" w:right="154"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充分了解风险，自主选择购买</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highlight w:val="none"/>
          <w:lang w:eastAsia="zh-CN"/>
        </w:rPr>
        <w:t>关信息。</w:t>
      </w:r>
      <w:r>
        <w:rPr>
          <w:rFonts w:hint="eastAsia" w:ascii="仿宋_GB2312" w:hAnsi="黑体" w:eastAsia="仿宋_GB2312" w:cs="Times New Roman"/>
          <w:sz w:val="20"/>
          <w:szCs w:val="20"/>
          <w:highlight w:val="none"/>
          <w:lang w:eastAsia="zh-CN"/>
        </w:rPr>
        <w:t>本期理财产品可能面临的风险主要包括但不限于以下风险</w:t>
      </w:r>
      <w:r>
        <w:rPr>
          <w:rFonts w:ascii="仿宋_GB2312" w:hAnsi="黑体" w:eastAsia="仿宋_GB2312" w:cs="Times New Roman"/>
          <w:sz w:val="20"/>
          <w:szCs w:val="20"/>
          <w:highlight w:val="none"/>
          <w:lang w:eastAsia="zh-CN"/>
        </w:rPr>
        <w:t>：</w:t>
      </w:r>
    </w:p>
    <w:p w14:paraId="36ED3D7C">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w:t>
      </w:r>
      <w:r>
        <w:rPr>
          <w:rFonts w:ascii="仿宋_GB2312" w:hAnsi="黑体" w:eastAsia="仿宋_GB2312" w:cs="Times New Roman"/>
          <w:b/>
          <w:sz w:val="20"/>
          <w:szCs w:val="20"/>
          <w:highlight w:val="none"/>
          <w:lang w:eastAsia="zh-CN"/>
        </w:rPr>
        <w:t>政策风险：</w:t>
      </w:r>
      <w:r>
        <w:rPr>
          <w:rFonts w:ascii="仿宋_GB2312" w:hAnsi="黑体" w:eastAsia="仿宋_GB2312" w:cs="Times New Roman"/>
          <w:sz w:val="20"/>
          <w:szCs w:val="20"/>
          <w:highlight w:val="none"/>
          <w:lang w:eastAsia="zh-CN"/>
        </w:rPr>
        <w:t>本期产品是依照当前的法律法规、相关监管规定和政策设计的。如国家</w:t>
      </w:r>
      <w:r>
        <w:rPr>
          <w:rFonts w:ascii="仿宋_GB2312" w:hAnsi="黑体" w:eastAsia="仿宋_GB2312" w:cs="Times New Roman"/>
          <w:spacing w:val="-4"/>
          <w:sz w:val="20"/>
          <w:szCs w:val="20"/>
          <w:highlight w:val="none"/>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highlight w:val="none"/>
          <w:lang w:eastAsia="zh-CN"/>
        </w:rPr>
        <w:t>与</w:t>
      </w:r>
      <w:r>
        <w:rPr>
          <w:rFonts w:ascii="仿宋_GB2312" w:hAnsi="黑体" w:eastAsia="仿宋_GB2312" w:cs="Times New Roman"/>
          <w:spacing w:val="-4"/>
          <w:sz w:val="20"/>
          <w:szCs w:val="20"/>
          <w:highlight w:val="none"/>
          <w:lang w:eastAsia="zh-CN"/>
        </w:rPr>
        <w:t>国家法律、法规</w:t>
      </w:r>
      <w:r>
        <w:rPr>
          <w:rFonts w:hint="eastAsia" w:ascii="仿宋_GB2312" w:hAnsi="黑体" w:eastAsia="仿宋_GB2312" w:cs="Times New Roman"/>
          <w:spacing w:val="-4"/>
          <w:sz w:val="20"/>
          <w:szCs w:val="20"/>
          <w:highlight w:val="none"/>
          <w:lang w:eastAsia="zh-CN"/>
        </w:rPr>
        <w:t>等</w:t>
      </w:r>
      <w:r>
        <w:rPr>
          <w:rFonts w:ascii="仿宋_GB2312" w:hAnsi="黑体" w:eastAsia="仿宋_GB2312" w:cs="Times New Roman"/>
          <w:spacing w:val="-4"/>
          <w:sz w:val="20"/>
          <w:szCs w:val="20"/>
          <w:highlight w:val="none"/>
          <w:lang w:eastAsia="zh-CN"/>
        </w:rPr>
        <w:t>有关规定冲突，进而导致本期产品被宣告无效、撤销、解除或提前</w:t>
      </w:r>
      <w:r>
        <w:rPr>
          <w:rFonts w:ascii="仿宋_GB2312" w:hAnsi="黑体" w:eastAsia="仿宋_GB2312" w:cs="Times New Roman"/>
          <w:sz w:val="20"/>
          <w:szCs w:val="20"/>
          <w:highlight w:val="none"/>
          <w:lang w:eastAsia="zh-CN"/>
        </w:rPr>
        <w:t>终止等。</w:t>
      </w:r>
    </w:p>
    <w:p w14:paraId="5DA01619">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2.</w:t>
      </w:r>
      <w:r>
        <w:rPr>
          <w:rFonts w:ascii="仿宋_GB2312" w:hAnsi="黑体" w:eastAsia="仿宋_GB2312" w:cs="Times New Roman"/>
          <w:b/>
          <w:sz w:val="20"/>
          <w:szCs w:val="20"/>
          <w:highlight w:val="none"/>
          <w:lang w:eastAsia="zh-CN"/>
        </w:rPr>
        <w:t>信用风险：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可能面临利益损失、本金部分损</w:t>
      </w:r>
      <w:r>
        <w:rPr>
          <w:rFonts w:ascii="仿宋_GB2312" w:hAnsi="黑体" w:eastAsia="仿宋_GB2312" w:cs="Times New Roman"/>
          <w:sz w:val="20"/>
          <w:szCs w:val="20"/>
          <w:highlight w:val="none"/>
          <w:lang w:eastAsia="zh-CN"/>
        </w:rPr>
        <w:t>失、甚至本金全部损失的风险。</w:t>
      </w:r>
    </w:p>
    <w:p w14:paraId="6B927047">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highlight w:val="none"/>
          <w:lang w:val="en-US" w:eastAsia="zh-CN"/>
        </w:rPr>
      </w:pPr>
      <w:r>
        <w:rPr>
          <w:rFonts w:ascii="仿宋_GB2312" w:hAnsi="Times New Roman" w:eastAsia="仿宋_GB2312" w:cs="Times New Roman"/>
          <w:b/>
          <w:sz w:val="20"/>
          <w:szCs w:val="20"/>
          <w:highlight w:val="none"/>
          <w:lang w:eastAsia="zh-CN"/>
        </w:rPr>
        <w:t>3.</w:t>
      </w:r>
      <w:r>
        <w:rPr>
          <w:rFonts w:ascii="仿宋_GB2312" w:hAnsi="黑体" w:eastAsia="仿宋_GB2312" w:cs="Times New Roman"/>
          <w:b/>
          <w:sz w:val="20"/>
          <w:szCs w:val="20"/>
          <w:highlight w:val="none"/>
          <w:lang w:eastAsia="zh-CN"/>
        </w:rPr>
        <w:t>流动性风险：</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产品存续期内，</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无提前终止权，不</w:t>
      </w:r>
      <w:r>
        <w:rPr>
          <w:rFonts w:hint="eastAsia" w:ascii="仿宋_GB2312" w:hAnsi="黑体" w:eastAsia="仿宋_GB2312" w:cs="Times New Roman"/>
          <w:b/>
          <w:bCs/>
          <w:sz w:val="20"/>
          <w:szCs w:val="20"/>
          <w:highlight w:val="none"/>
          <w:lang w:val="en-US" w:eastAsia="zh-CN"/>
        </w:rPr>
        <w:t>能</w:t>
      </w:r>
      <w:r>
        <w:rPr>
          <w:rFonts w:ascii="仿宋_GB2312" w:hAnsi="黑体" w:eastAsia="仿宋_GB2312" w:cs="Times New Roman"/>
          <w:b/>
          <w:bCs/>
          <w:sz w:val="20"/>
          <w:szCs w:val="20"/>
          <w:highlight w:val="none"/>
          <w:lang w:eastAsia="zh-CN"/>
        </w:rPr>
        <w:t>赎回</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产品，可能导致</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需要资金时不能随时变现，并可能使</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丧失其他投资机会的风险。</w:t>
      </w:r>
    </w:p>
    <w:p w14:paraId="6F9FC2BB">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4.</w:t>
      </w:r>
      <w:r>
        <w:rPr>
          <w:rFonts w:ascii="仿宋_GB2312" w:hAnsi="黑体" w:eastAsia="仿宋_GB2312" w:cs="Times New Roman"/>
          <w:b/>
          <w:sz w:val="20"/>
          <w:szCs w:val="20"/>
          <w:highlight w:val="none"/>
          <w:lang w:eastAsia="zh-CN"/>
        </w:rPr>
        <w:t>市场风险：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定收益类资产价值受未来市场的不确定影响可能出现波动，从而导致</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收益波动、收益为</w:t>
      </w:r>
      <w:r>
        <w:rPr>
          <w:rFonts w:ascii="仿宋_GB2312" w:hAnsi="黑体" w:eastAsia="仿宋_GB2312" w:cs="Times New Roman"/>
          <w:sz w:val="20"/>
          <w:szCs w:val="20"/>
          <w:highlight w:val="none"/>
          <w:lang w:eastAsia="zh-CN"/>
        </w:rPr>
        <w:t>零甚至本产品单位净值跌破面值、本金损失的情况。</w:t>
      </w:r>
    </w:p>
    <w:p w14:paraId="777CF170">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5.</w:t>
      </w:r>
      <w:r>
        <w:rPr>
          <w:rFonts w:ascii="仿宋_GB2312" w:hAnsi="黑体" w:eastAsia="仿宋_GB2312" w:cs="Times New Roman"/>
          <w:b/>
          <w:sz w:val="20"/>
          <w:szCs w:val="20"/>
          <w:highlight w:val="none"/>
          <w:lang w:eastAsia="zh-CN"/>
        </w:rPr>
        <w:t>管理风险：</w:t>
      </w:r>
      <w:r>
        <w:rPr>
          <w:rFonts w:ascii="仿宋_GB2312" w:hAnsi="黑体" w:eastAsia="仿宋_GB2312" w:cs="Times New Roman"/>
          <w:sz w:val="20"/>
          <w:szCs w:val="20"/>
          <w:highlight w:val="none"/>
          <w:lang w:eastAsia="zh-CN"/>
        </w:rPr>
        <w:t>因管理人（包括本理财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的投资管理人、所投资的信托计划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项下的理财资金遭受损失。如因信托计划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基金产品的受托人和相关投资顾问违背相关协议约定、处理事务不当，可能导致本理财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项下理财资金遭受损失。</w:t>
      </w:r>
    </w:p>
    <w:p w14:paraId="0C2FF980">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6.</w:t>
      </w:r>
      <w:r>
        <w:rPr>
          <w:rFonts w:ascii="仿宋_GB2312" w:hAnsi="黑体" w:eastAsia="仿宋_GB2312" w:cs="Times New Roman"/>
          <w:b/>
          <w:sz w:val="20"/>
          <w:szCs w:val="20"/>
          <w:highlight w:val="none"/>
          <w:lang w:eastAsia="zh-CN"/>
        </w:rPr>
        <w:t>利率及通货膨胀风险：</w:t>
      </w:r>
      <w:r>
        <w:rPr>
          <w:rFonts w:ascii="仿宋_GB2312" w:hAnsi="黑体" w:eastAsia="仿宋_GB2312" w:cs="Times New Roman"/>
          <w:sz w:val="20"/>
          <w:szCs w:val="20"/>
          <w:highlight w:val="none"/>
          <w:lang w:eastAsia="zh-CN"/>
        </w:rPr>
        <w:t>在本产品存续期限内，利率、汇率的波动会导致所投资的存</w:t>
      </w:r>
      <w:r>
        <w:rPr>
          <w:rFonts w:ascii="仿宋_GB2312" w:hAnsi="黑体" w:eastAsia="仿宋_GB2312" w:cs="Times New Roman"/>
          <w:spacing w:val="-4"/>
          <w:sz w:val="20"/>
          <w:szCs w:val="20"/>
          <w:highlight w:val="none"/>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highlight w:val="none"/>
          <w:lang w:eastAsia="zh-CN"/>
        </w:rPr>
        <w:t>可能低于通货膨胀率，从而导致</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实际收益为负的风险。</w:t>
      </w:r>
    </w:p>
    <w:p w14:paraId="09D0ED54">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7.</w:t>
      </w:r>
      <w:r>
        <w:rPr>
          <w:rFonts w:ascii="仿宋_GB2312" w:hAnsi="黑体" w:eastAsia="仿宋_GB2312" w:cs="Times New Roman"/>
          <w:b/>
          <w:sz w:val="20"/>
          <w:szCs w:val="20"/>
          <w:highlight w:val="none"/>
          <w:lang w:eastAsia="zh-CN"/>
        </w:rPr>
        <w:t>信息传递风险：</w:t>
      </w:r>
      <w:r>
        <w:rPr>
          <w:rFonts w:ascii="仿宋_GB2312" w:hAnsi="黑体" w:eastAsia="仿宋_GB2312" w:cs="Times New Roman"/>
          <w:sz w:val="20"/>
          <w:szCs w:val="20"/>
          <w:highlight w:val="none"/>
          <w:lang w:eastAsia="zh-CN"/>
        </w:rPr>
        <w:t>贵阳农商银行将按照本</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说明书有关</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信息披露</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的约定进行产品信</w:t>
      </w:r>
      <w:r>
        <w:rPr>
          <w:rFonts w:ascii="仿宋_GB2312" w:hAnsi="黑体" w:eastAsia="仿宋_GB2312" w:cs="Times New Roman"/>
          <w:spacing w:val="-4"/>
          <w:sz w:val="20"/>
          <w:szCs w:val="20"/>
          <w:highlight w:val="none"/>
          <w:lang w:eastAsia="zh-CN"/>
        </w:rPr>
        <w:t>息披露。</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应根据</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信息披露</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的约定及时进行查询。如果</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无法及时了解产品信息，并由此影响</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的投资决策，因此而产生的责任和风险由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自行承担。另外，</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预留在贵阳农商</w:t>
      </w:r>
      <w:r>
        <w:rPr>
          <w:rFonts w:ascii="仿宋_GB2312" w:hAnsi="黑体" w:eastAsia="仿宋_GB2312" w:cs="Times New Roman"/>
          <w:spacing w:val="-7"/>
          <w:sz w:val="20"/>
          <w:szCs w:val="20"/>
          <w:highlight w:val="none"/>
          <w:lang w:eastAsia="zh-CN"/>
        </w:rPr>
        <w:t>银行的有效联系方式发生变更，应及时到银行柜面申请变更，如</w:t>
      </w:r>
      <w:r>
        <w:rPr>
          <w:rFonts w:hint="eastAsia" w:ascii="仿宋_GB2312" w:hAnsi="黑体" w:eastAsia="仿宋_GB2312" w:cs="Times New Roman"/>
          <w:spacing w:val="-7"/>
          <w:sz w:val="20"/>
          <w:szCs w:val="20"/>
          <w:highlight w:val="none"/>
          <w:lang w:eastAsia="zh-CN"/>
        </w:rPr>
        <w:t>投资者</w:t>
      </w:r>
      <w:r>
        <w:rPr>
          <w:rFonts w:ascii="仿宋_GB2312" w:hAnsi="黑体" w:eastAsia="仿宋_GB2312" w:cs="Times New Roman"/>
          <w:spacing w:val="-7"/>
          <w:sz w:val="20"/>
          <w:szCs w:val="20"/>
          <w:highlight w:val="none"/>
          <w:lang w:eastAsia="zh-CN"/>
        </w:rPr>
        <w:t>未及时变更联系方式，</w:t>
      </w:r>
      <w:r>
        <w:rPr>
          <w:rFonts w:ascii="仿宋_GB2312" w:hAnsi="黑体" w:eastAsia="仿宋_GB2312" w:cs="Times New Roman"/>
          <w:sz w:val="20"/>
          <w:szCs w:val="20"/>
          <w:highlight w:val="none"/>
          <w:lang w:eastAsia="zh-CN"/>
        </w:rPr>
        <w:t>由此而产生的责任和风险由</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自行承担。</w:t>
      </w:r>
    </w:p>
    <w:p w14:paraId="2D2EAB0F">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8.</w:t>
      </w:r>
      <w:r>
        <w:rPr>
          <w:rFonts w:ascii="仿宋_GB2312" w:hAnsi="黑体" w:eastAsia="仿宋_GB2312" w:cs="Times New Roman"/>
          <w:b/>
          <w:sz w:val="20"/>
          <w:szCs w:val="20"/>
          <w:highlight w:val="none"/>
          <w:lang w:eastAsia="zh-CN"/>
        </w:rPr>
        <w:t>产品不成立风险：</w:t>
      </w:r>
      <w:r>
        <w:rPr>
          <w:rFonts w:ascii="仿宋_GB2312" w:hAnsi="黑体" w:eastAsia="仿宋_GB2312" w:cs="Times New Roman"/>
          <w:sz w:val="20"/>
          <w:szCs w:val="20"/>
          <w:highlight w:val="none"/>
          <w:lang w:eastAsia="zh-CN"/>
        </w:rPr>
        <w:t>如本产品募集期届满，认购总金额未达到产品规模下限（如有约</w:t>
      </w:r>
      <w:r>
        <w:rPr>
          <w:rFonts w:ascii="仿宋_GB2312" w:hAnsi="黑体" w:eastAsia="仿宋_GB2312" w:cs="Times New Roman"/>
          <w:spacing w:val="-4"/>
          <w:sz w:val="20"/>
          <w:szCs w:val="20"/>
          <w:highlight w:val="none"/>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提供本期产品的，贵阳农商银行有权宣布产品</w:t>
      </w:r>
      <w:r>
        <w:rPr>
          <w:rFonts w:ascii="仿宋_GB2312" w:hAnsi="黑体" w:eastAsia="仿宋_GB2312" w:cs="Times New Roman"/>
          <w:sz w:val="20"/>
          <w:szCs w:val="20"/>
          <w:highlight w:val="none"/>
          <w:lang w:eastAsia="zh-CN"/>
        </w:rPr>
        <w:t>不成立。</w:t>
      </w:r>
    </w:p>
    <w:p w14:paraId="27E69DEB">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9.</w:t>
      </w:r>
      <w:r>
        <w:rPr>
          <w:rFonts w:ascii="仿宋_GB2312" w:hAnsi="黑体" w:eastAsia="仿宋_GB2312" w:cs="Times New Roman"/>
          <w:b/>
          <w:spacing w:val="-5"/>
          <w:sz w:val="20"/>
          <w:szCs w:val="20"/>
          <w:highlight w:val="none"/>
          <w:lang w:eastAsia="zh-CN"/>
        </w:rPr>
        <w:t>提前终止风险：</w:t>
      </w:r>
      <w:r>
        <w:rPr>
          <w:rFonts w:ascii="仿宋_GB2312" w:hAnsi="黑体" w:eastAsia="仿宋_GB2312" w:cs="Times New Roman"/>
          <w:spacing w:val="-5"/>
          <w:sz w:val="20"/>
          <w:szCs w:val="20"/>
          <w:highlight w:val="none"/>
          <w:lang w:eastAsia="zh-CN"/>
        </w:rPr>
        <w:t>产品存续期内，若市场发生重大变动或突发性事件，或发生贵阳农商</w:t>
      </w:r>
      <w:r>
        <w:rPr>
          <w:rFonts w:ascii="仿宋_GB2312" w:hAnsi="黑体" w:eastAsia="仿宋_GB2312" w:cs="Times New Roman"/>
          <w:spacing w:val="-4"/>
          <w:sz w:val="20"/>
          <w:szCs w:val="20"/>
          <w:highlight w:val="none"/>
          <w:lang w:eastAsia="zh-CN"/>
        </w:rPr>
        <w:t>银行认为需要提前终止本期产品的其他情形时，贵阳农商银行有权提前终止产品，在提前</w:t>
      </w:r>
      <w:r>
        <w:rPr>
          <w:rFonts w:ascii="仿宋_GB2312" w:hAnsi="黑体" w:eastAsia="仿宋_GB2312" w:cs="Times New Roman"/>
          <w:sz w:val="20"/>
          <w:szCs w:val="20"/>
          <w:highlight w:val="none"/>
          <w:lang w:eastAsia="zh-CN"/>
        </w:rPr>
        <w:t>终止情形下，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3355B784">
      <w:pPr>
        <w:ind w:left="120" w:right="206" w:firstLine="420"/>
        <w:jc w:val="both"/>
        <w:rPr>
          <w:rFonts w:ascii="仿宋_GB2312" w:hAnsi="黑体"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10.</w:t>
      </w:r>
      <w:r>
        <w:rPr>
          <w:rFonts w:ascii="仿宋_GB2312" w:hAnsi="黑体" w:eastAsia="仿宋_GB2312" w:cs="Times New Roman"/>
          <w:b/>
          <w:spacing w:val="-4"/>
          <w:sz w:val="20"/>
          <w:szCs w:val="20"/>
          <w:highlight w:val="none"/>
          <w:lang w:eastAsia="zh-CN"/>
        </w:rPr>
        <w:t>延期风险：</w:t>
      </w:r>
      <w:r>
        <w:rPr>
          <w:rFonts w:ascii="仿宋_GB2312" w:hAnsi="黑体" w:eastAsia="仿宋_GB2312" w:cs="Times New Roman"/>
          <w:spacing w:val="-4"/>
          <w:sz w:val="20"/>
          <w:szCs w:val="20"/>
          <w:highlight w:val="none"/>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highlight w:val="none"/>
          <w:lang w:eastAsia="zh-CN"/>
        </w:rPr>
        <w:t>期情形下，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5630AD03">
      <w:pPr>
        <w:snapToGrid w:val="0"/>
        <w:ind w:left="120" w:right="0" w:firstLine="420"/>
        <w:jc w:val="both"/>
        <w:rPr>
          <w:rFonts w:ascii="仿宋_GB2312" w:hAnsi="黑体" w:eastAsia="仿宋_GB2312" w:cs="Times New Roman"/>
          <w:sz w:val="20"/>
          <w:szCs w:val="20"/>
          <w:highlight w:val="none"/>
          <w:lang w:eastAsia="zh-CN"/>
        </w:rPr>
      </w:pPr>
      <w:r>
        <w:rPr>
          <w:rFonts w:hint="eastAsia" w:ascii="仿宋_GB2312" w:hAnsi="仿宋_GB2312" w:eastAsia="仿宋_GB2312" w:cs="仿宋_GB2312"/>
          <w:b/>
          <w:sz w:val="20"/>
          <w:szCs w:val="20"/>
          <w:highlight w:val="none"/>
          <w:u w:val="none"/>
          <w:lang w:eastAsia="zh-CN"/>
        </w:rPr>
        <w:t>11.</w:t>
      </w:r>
      <w:r>
        <w:rPr>
          <w:rFonts w:hint="eastAsia" w:ascii="仿宋_GB2312" w:hAnsi="仿宋_GB2312" w:eastAsia="仿宋_GB2312" w:cs="仿宋_GB2312"/>
          <w:b/>
          <w:bCs/>
          <w:color w:val="auto"/>
          <w:sz w:val="20"/>
          <w:szCs w:val="20"/>
          <w:highlight w:val="none"/>
          <w:u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079E4F37">
      <w:pPr>
        <w:ind w:left="120" w:firstLine="420"/>
        <w:jc w:val="both"/>
        <w:rPr>
          <w:rFonts w:ascii="仿宋_GB2312" w:hAnsi="黑体" w:eastAsia="仿宋_GB2312" w:cs="Times New Roman"/>
          <w:spacing w:val="-4"/>
          <w:sz w:val="20"/>
          <w:szCs w:val="20"/>
          <w:highlight w:val="none"/>
          <w:lang w:eastAsia="zh-CN"/>
        </w:rPr>
      </w:pPr>
      <w:r>
        <w:rPr>
          <w:rFonts w:ascii="仿宋_GB2312" w:hAnsi="Times New Roman" w:eastAsia="仿宋_GB2312" w:cs="Times New Roman"/>
          <w:b/>
          <w:sz w:val="20"/>
          <w:szCs w:val="20"/>
          <w:highlight w:val="none"/>
          <w:lang w:eastAsia="zh-CN"/>
        </w:rPr>
        <w:t>1</w:t>
      </w:r>
      <w:r>
        <w:rPr>
          <w:rFonts w:hint="eastAsia" w:ascii="仿宋_GB2312" w:hAnsi="Times New Roman" w:eastAsia="仿宋_GB2312" w:cs="Times New Roman"/>
          <w:b/>
          <w:sz w:val="20"/>
          <w:szCs w:val="20"/>
          <w:highlight w:val="none"/>
          <w:lang w:val="en-US" w:eastAsia="zh-CN"/>
        </w:rPr>
        <w:t>2</w:t>
      </w:r>
      <w:r>
        <w:rPr>
          <w:rFonts w:ascii="仿宋_GB2312" w:hAnsi="Times New Roman" w:eastAsia="仿宋_GB2312" w:cs="Times New Roman"/>
          <w:b/>
          <w:sz w:val="20"/>
          <w:szCs w:val="20"/>
          <w:highlight w:val="none"/>
          <w:lang w:eastAsia="zh-CN"/>
        </w:rPr>
        <w:t>.</w:t>
      </w:r>
      <w:r>
        <w:rPr>
          <w:rFonts w:ascii="仿宋_GB2312" w:hAnsi="黑体" w:eastAsia="仿宋_GB2312" w:cs="Times New Roman"/>
          <w:b/>
          <w:spacing w:val="-5"/>
          <w:sz w:val="20"/>
          <w:szCs w:val="20"/>
          <w:highlight w:val="none"/>
          <w:lang w:eastAsia="zh-CN"/>
        </w:rPr>
        <w:t>不可抗力及意外事件风险：</w:t>
      </w:r>
      <w:r>
        <w:rPr>
          <w:rFonts w:ascii="仿宋_GB2312" w:hAnsi="黑体" w:eastAsia="仿宋_GB2312" w:cs="Times New Roman"/>
          <w:spacing w:val="-4"/>
          <w:sz w:val="20"/>
          <w:szCs w:val="20"/>
          <w:highlight w:val="none"/>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highlight w:val="none"/>
          <w:lang w:val="en-US" w:eastAsia="zh-CN"/>
        </w:rPr>
        <w:t>甚至本金损失</w:t>
      </w:r>
      <w:r>
        <w:rPr>
          <w:rFonts w:ascii="仿宋_GB2312" w:hAnsi="黑体" w:eastAsia="仿宋_GB2312" w:cs="Times New Roman"/>
          <w:spacing w:val="-4"/>
          <w:sz w:val="20"/>
          <w:szCs w:val="20"/>
          <w:highlight w:val="none"/>
          <w:lang w:eastAsia="zh-CN"/>
        </w:rPr>
        <w:t>。对于由于不可抗力及意外事件风险导致的任何损失，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须自行承担，贵阳农商银行对此不承担任何责任。</w:t>
      </w:r>
    </w:p>
    <w:p w14:paraId="312A6717">
      <w:pPr>
        <w:ind w:left="120" w:firstLine="420"/>
        <w:jc w:val="both"/>
        <w:rPr>
          <w:rFonts w:hint="eastAsia" w:ascii="仿宋_GB2312" w:hAnsi="仿宋_GB2312" w:eastAsia="仿宋_GB2312" w:cs="仿宋_GB2312"/>
          <w:b/>
          <w:bCs/>
          <w:sz w:val="20"/>
          <w:szCs w:val="20"/>
          <w:highlight w:val="none"/>
          <w:u w:val="single"/>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1F86594">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您在签署</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前，应当仔细阅读</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》《投资者</w:t>
      </w:r>
      <w:r>
        <w:rPr>
          <w:rFonts w:ascii="仿宋_GB2312" w:hAnsi="黑体" w:eastAsia="仿宋_GB2312" w:cs="Times New Roman"/>
          <w:b/>
          <w:spacing w:val="-3"/>
          <w:sz w:val="20"/>
          <w:szCs w:val="20"/>
          <w:highlight w:val="none"/>
          <w:lang w:eastAsia="zh-CN"/>
        </w:rPr>
        <w:t>权</w:t>
      </w:r>
      <w:r>
        <w:rPr>
          <w:rFonts w:ascii="仿宋_GB2312" w:hAnsi="黑体" w:eastAsia="仿宋_GB2312" w:cs="Times New Roman"/>
          <w:b/>
          <w:spacing w:val="-4"/>
          <w:sz w:val="20"/>
          <w:szCs w:val="20"/>
          <w:highlight w:val="none"/>
          <w:lang w:eastAsia="zh-CN"/>
        </w:rPr>
        <w:t>益须知</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及本期产品的</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的全部内容，同时向贵阳农商银行了解本期</w:t>
      </w:r>
      <w:r>
        <w:rPr>
          <w:rFonts w:ascii="仿宋_GB2312" w:hAnsi="黑体" w:eastAsia="仿宋_GB2312" w:cs="Times New Roman"/>
          <w:b/>
          <w:sz w:val="20"/>
          <w:szCs w:val="20"/>
          <w:highlight w:val="none"/>
          <w:lang w:eastAsia="zh-CN"/>
        </w:rPr>
        <w:t>产品的其他相关信息，并独立做出是否购买本期产品的决定。</w:t>
      </w:r>
    </w:p>
    <w:p w14:paraId="30B75C0B">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w:t>
      </w:r>
      <w:r>
        <w:rPr>
          <w:rFonts w:hint="eastAsia" w:ascii="仿宋_GB2312" w:hAnsi="黑体" w:eastAsia="仿宋_GB2312" w:cs="Times New Roman"/>
          <w:b/>
          <w:spacing w:val="-3"/>
          <w:sz w:val="20"/>
          <w:szCs w:val="20"/>
          <w:highlight w:val="none"/>
          <w:lang w:eastAsia="zh-CN"/>
        </w:rPr>
        <w:t>签字或勾选同意</w:t>
      </w:r>
      <w:r>
        <w:rPr>
          <w:rFonts w:ascii="仿宋_GB2312" w:hAnsi="黑体" w:eastAsia="仿宋_GB2312" w:cs="Times New Roman"/>
          <w:b/>
          <w:spacing w:val="-3"/>
          <w:sz w:val="20"/>
          <w:szCs w:val="20"/>
          <w:highlight w:val="none"/>
          <w:lang w:eastAsia="zh-CN"/>
        </w:rPr>
        <w:t>本</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风险揭示书</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，并将资金委托给贵阳农商银行运作是您真实的意思</w:t>
      </w:r>
      <w:r>
        <w:rPr>
          <w:rFonts w:ascii="仿宋_GB2312" w:hAnsi="黑体" w:eastAsia="仿宋_GB2312" w:cs="Times New Roman"/>
          <w:b/>
          <w:spacing w:val="-4"/>
          <w:sz w:val="20"/>
          <w:szCs w:val="20"/>
          <w:highlight w:val="none"/>
          <w:lang w:eastAsia="zh-CN"/>
        </w:rPr>
        <w:t>表示。本</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及相应的</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理财产品</w:t>
      </w:r>
      <w:r>
        <w:rPr>
          <w:rFonts w:ascii="仿宋_GB2312" w:hAnsi="黑体" w:eastAsia="仿宋_GB2312" w:cs="Times New Roman"/>
          <w:b/>
          <w:spacing w:val="-3"/>
          <w:sz w:val="20"/>
          <w:szCs w:val="20"/>
          <w:highlight w:val="none"/>
          <w:lang w:eastAsia="zh-CN"/>
        </w:rPr>
        <w:t>协议</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《投资者</w:t>
      </w:r>
      <w:r>
        <w:rPr>
          <w:rFonts w:ascii="仿宋_GB2312" w:hAnsi="黑体" w:eastAsia="仿宋_GB2312" w:cs="Times New Roman"/>
          <w:b/>
          <w:spacing w:val="-4"/>
          <w:sz w:val="20"/>
          <w:szCs w:val="20"/>
          <w:highlight w:val="none"/>
          <w:lang w:eastAsia="zh-CN"/>
        </w:rPr>
        <w:t>权益须知</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将共同构成</w:t>
      </w:r>
      <w:r>
        <w:rPr>
          <w:rFonts w:ascii="仿宋_GB2312" w:hAnsi="黑体" w:eastAsia="仿宋_GB2312" w:cs="Times New Roman"/>
          <w:b/>
          <w:sz w:val="20"/>
          <w:szCs w:val="20"/>
          <w:highlight w:val="none"/>
          <w:lang w:eastAsia="zh-CN"/>
        </w:rPr>
        <w:t>理财</w:t>
      </w:r>
      <w:r>
        <w:rPr>
          <w:rFonts w:hint="eastAsia" w:ascii="仿宋_GB2312" w:hAnsi="黑体" w:eastAsia="仿宋_GB2312" w:cs="Times New Roman"/>
          <w:b/>
          <w:sz w:val="20"/>
          <w:szCs w:val="20"/>
          <w:highlight w:val="none"/>
          <w:lang w:val="en-US" w:eastAsia="zh-CN"/>
        </w:rPr>
        <w:t>销售文件</w:t>
      </w:r>
      <w:r>
        <w:rPr>
          <w:rFonts w:ascii="仿宋_GB2312" w:hAnsi="黑体" w:eastAsia="仿宋_GB2312" w:cs="Times New Roman"/>
          <w:b/>
          <w:sz w:val="20"/>
          <w:szCs w:val="20"/>
          <w:highlight w:val="none"/>
          <w:lang w:eastAsia="zh-CN"/>
        </w:rPr>
        <w:t>的有效组成部分。</w:t>
      </w:r>
    </w:p>
    <w:p w14:paraId="3BCE495A">
      <w:pPr>
        <w:ind w:right="211"/>
        <w:jc w:val="right"/>
        <w:rPr>
          <w:rFonts w:ascii="仿宋_GB2312" w:hAnsi="Times New Roman" w:eastAsia="仿宋_GB2312" w:cs="Times New Roman"/>
          <w:spacing w:val="-1"/>
          <w:sz w:val="20"/>
          <w:szCs w:val="20"/>
          <w:highlight w:val="none"/>
          <w:lang w:eastAsia="zh-CN"/>
        </w:rPr>
      </w:pPr>
    </w:p>
    <w:p w14:paraId="50B64C95">
      <w:pPr>
        <w:ind w:right="211"/>
        <w:jc w:val="right"/>
        <w:rPr>
          <w:rFonts w:hint="default" w:ascii="仿宋_GB2312" w:hAnsi="Times New Roman" w:eastAsia="仿宋_GB2312" w:cs="Times New Roman"/>
          <w:b/>
          <w:spacing w:val="-1"/>
          <w:sz w:val="20"/>
          <w:szCs w:val="20"/>
          <w:highlight w:val="none"/>
          <w:lang w:val="en-US" w:eastAsia="zh-CN"/>
        </w:rPr>
      </w:pPr>
      <w:r>
        <w:rPr>
          <w:rFonts w:ascii="仿宋_GB2312" w:hAnsi="黑体" w:eastAsia="仿宋_GB2312" w:cs="Times New Roman"/>
          <w:b/>
          <w:spacing w:val="-1"/>
          <w:sz w:val="20"/>
          <w:szCs w:val="20"/>
          <w:highlight w:val="none"/>
          <w:lang w:eastAsia="zh-CN"/>
        </w:rPr>
        <w:t>风险揭示方：贵阳农</w:t>
      </w:r>
      <w:r>
        <w:rPr>
          <w:rFonts w:hint="eastAsia" w:ascii="仿宋_GB2312" w:hAnsi="黑体" w:eastAsia="仿宋_GB2312" w:cs="Times New Roman"/>
          <w:b/>
          <w:spacing w:val="-1"/>
          <w:sz w:val="20"/>
          <w:szCs w:val="20"/>
          <w:highlight w:val="none"/>
          <w:lang w:val="en-US" w:eastAsia="zh-CN"/>
        </w:rPr>
        <w:t>村</w:t>
      </w:r>
      <w:r>
        <w:rPr>
          <w:rFonts w:ascii="仿宋_GB2312" w:hAnsi="黑体" w:eastAsia="仿宋_GB2312" w:cs="Times New Roman"/>
          <w:b/>
          <w:spacing w:val="-1"/>
          <w:sz w:val="20"/>
          <w:szCs w:val="20"/>
          <w:highlight w:val="none"/>
          <w:lang w:eastAsia="zh-CN"/>
        </w:rPr>
        <w:t>商</w:t>
      </w:r>
      <w:r>
        <w:rPr>
          <w:rFonts w:hint="eastAsia" w:ascii="仿宋_GB2312" w:hAnsi="黑体" w:eastAsia="仿宋_GB2312" w:cs="Times New Roman"/>
          <w:b/>
          <w:spacing w:val="-1"/>
          <w:sz w:val="20"/>
          <w:szCs w:val="20"/>
          <w:highlight w:val="none"/>
          <w:lang w:val="en-US" w:eastAsia="zh-CN"/>
        </w:rPr>
        <w:t>业</w:t>
      </w:r>
      <w:r>
        <w:rPr>
          <w:rFonts w:ascii="仿宋_GB2312" w:hAnsi="黑体" w:eastAsia="仿宋_GB2312" w:cs="Times New Roman"/>
          <w:b/>
          <w:spacing w:val="-1"/>
          <w:sz w:val="20"/>
          <w:szCs w:val="20"/>
          <w:highlight w:val="none"/>
          <w:lang w:eastAsia="zh-CN"/>
        </w:rPr>
        <w:t>银行</w:t>
      </w:r>
      <w:r>
        <w:rPr>
          <w:rFonts w:hint="eastAsia" w:ascii="仿宋_GB2312" w:hAnsi="黑体" w:eastAsia="仿宋_GB2312" w:cs="Times New Roman"/>
          <w:b/>
          <w:spacing w:val="-1"/>
          <w:sz w:val="20"/>
          <w:szCs w:val="20"/>
          <w:highlight w:val="none"/>
          <w:lang w:val="en-US" w:eastAsia="zh-CN"/>
        </w:rPr>
        <w:t>股份有限公司</w:t>
      </w:r>
    </w:p>
    <w:p w14:paraId="425EAB90">
      <w:pPr>
        <w:ind w:right="211"/>
        <w:jc w:val="right"/>
        <w:rPr>
          <w:rFonts w:ascii="仿宋_GB2312" w:hAnsi="Times New Roman" w:eastAsia="仿宋_GB2312" w:cs="Times New Roman"/>
          <w:spacing w:val="-1"/>
          <w:sz w:val="20"/>
          <w:szCs w:val="20"/>
          <w:highlight w:val="none"/>
          <w:lang w:eastAsia="zh-CN"/>
        </w:rPr>
      </w:pPr>
    </w:p>
    <w:p w14:paraId="37421AC7">
      <w:pPr>
        <w:ind w:left="120"/>
        <w:rPr>
          <w:rFonts w:ascii="仿宋_GB2312" w:hAnsi="Times New Roman" w:eastAsia="仿宋_GB2312" w:cs="Times New Roman"/>
          <w:b/>
          <w:sz w:val="20"/>
          <w:szCs w:val="20"/>
          <w:highlight w:val="none"/>
          <w:lang w:eastAsia="zh-CN"/>
        </w:rPr>
      </w:pPr>
      <w:r>
        <w:rPr>
          <w:rFonts w:ascii="仿宋_GB2312" w:hAnsi="Times New Roman" w:eastAsia="仿宋_GB2312" w:cs="Times New Roman"/>
          <w:b/>
          <w:sz w:val="20"/>
          <w:szCs w:val="20"/>
          <w:highlight w:val="none"/>
          <w:lang w:eastAsia="zh-CN"/>
        </w:rPr>
        <w:t>(</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签字与签章见下一页</w:t>
      </w:r>
      <w:r>
        <w:rPr>
          <w:rFonts w:ascii="仿宋_GB2312" w:hAnsi="Times New Roman" w:eastAsia="仿宋_GB2312" w:cs="Times New Roman"/>
          <w:b/>
          <w:sz w:val="20"/>
          <w:szCs w:val="20"/>
          <w:highlight w:val="none"/>
          <w:lang w:eastAsia="zh-CN"/>
        </w:rPr>
        <w:t>)</w:t>
      </w:r>
    </w:p>
    <w:p w14:paraId="392C74D2">
      <w:pPr>
        <w:rPr>
          <w:rFonts w:ascii="Times New Roman" w:hAnsi="Times New Roman" w:eastAsia="MingLiU_HKSCS" w:cs="Times New Roman"/>
          <w:sz w:val="21"/>
          <w:szCs w:val="21"/>
          <w:highlight w:val="none"/>
          <w:lang w:eastAsia="zh-CN"/>
        </w:rPr>
        <w:sectPr>
          <w:footerReference r:id="rId3" w:type="default"/>
          <w:pgSz w:w="11900" w:h="16840"/>
          <w:pgMar w:top="1135" w:right="1580" w:bottom="1180" w:left="1680" w:header="0" w:footer="981" w:gutter="0"/>
          <w:pgNumType w:start="1"/>
          <w:cols w:space="720" w:num="1"/>
        </w:sectPr>
      </w:pPr>
    </w:p>
    <w:p w14:paraId="6D29258C">
      <w:pPr>
        <w:ind w:right="1502"/>
        <w:rPr>
          <w:rFonts w:ascii="黑体" w:hAnsi="黑体" w:eastAsia="黑体" w:cs="Times New Roman"/>
          <w:sz w:val="21"/>
          <w:szCs w:val="21"/>
          <w:highlight w:val="none"/>
          <w:lang w:eastAsia="zh-CN"/>
        </w:rPr>
      </w:pPr>
      <w:r>
        <w:rPr>
          <w:rFonts w:ascii="黑体" w:hAnsi="黑体" w:eastAsia="黑体" w:cs="Times New Roman"/>
          <w:sz w:val="21"/>
          <w:szCs w:val="21"/>
          <w:highlight w:val="none"/>
          <w:lang w:eastAsia="zh-CN"/>
        </w:rPr>
        <w:t>签字与签章</w:t>
      </w:r>
    </w:p>
    <w:p w14:paraId="6105F8CF">
      <w:pPr>
        <w:ind w:right="1502"/>
        <w:rPr>
          <w:rFonts w:ascii="仿宋_GB2312" w:hAnsi="宋体" w:eastAsia="仿宋_GB2312" w:cs="Times New Roman"/>
          <w:spacing w:val="-2"/>
          <w:sz w:val="21"/>
          <w:szCs w:val="21"/>
          <w:highlight w:val="none"/>
          <w:lang w:eastAsia="zh-CN"/>
        </w:rPr>
      </w:pPr>
      <w:r>
        <w:rPr>
          <w:rFonts w:hint="eastAsia" w:ascii="仿宋_GB2312" w:hAnsi="宋体" w:eastAsia="仿宋_GB2312" w:cs="Times New Roman"/>
          <w:spacing w:val="-2"/>
          <w:sz w:val="21"/>
          <w:szCs w:val="21"/>
          <w:highlight w:val="none"/>
          <w:lang w:eastAsia="zh-CN"/>
        </w:rPr>
        <w:t>个人投资者请在下面填写您的风险承受能力评级、抄录风险揭示语句并签字：</w:t>
      </w:r>
    </w:p>
    <w:tbl>
      <w:tblPr>
        <w:tblStyle w:val="8"/>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6DDB1E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30235C57">
            <w:pPr>
              <w:rPr>
                <w:rFonts w:ascii="仿宋_GB2312" w:hAnsi="宋体" w:eastAsia="仿宋_GB2312" w:cs="宋体"/>
                <w:sz w:val="21"/>
                <w:szCs w:val="21"/>
                <w:highlight w:val="none"/>
                <w:lang w:eastAsia="zh-CN"/>
              </w:rPr>
            </w:pPr>
          </w:p>
          <w:p w14:paraId="390928B6">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声</w:t>
            </w:r>
            <w:r>
              <w:rPr>
                <w:rFonts w:hint="eastAsia" w:ascii="仿宋_GB2312" w:hAnsi="宋体" w:eastAsia="仿宋_GB2312" w:cs="宋体"/>
                <w:sz w:val="21"/>
                <w:szCs w:val="21"/>
                <w:highlight w:val="none"/>
                <w:lang w:eastAsia="zh-CN"/>
              </w:rPr>
              <w:t>明</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本</w:t>
            </w:r>
            <w:r>
              <w:rPr>
                <w:rFonts w:hint="eastAsia" w:ascii="仿宋_GB2312" w:hAnsi="宋体" w:eastAsia="仿宋_GB2312" w:cs="宋体"/>
                <w:spacing w:val="-3"/>
                <w:sz w:val="21"/>
                <w:szCs w:val="21"/>
                <w:highlight w:val="none"/>
                <w:lang w:eastAsia="zh-CN"/>
              </w:rPr>
              <w:t>人</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购</w:t>
            </w:r>
            <w:r>
              <w:rPr>
                <w:rFonts w:hint="eastAsia" w:ascii="仿宋_GB2312" w:hAnsi="宋体" w:eastAsia="仿宋_GB2312" w:cs="宋体"/>
                <w:sz w:val="21"/>
                <w:szCs w:val="21"/>
                <w:highlight w:val="none"/>
                <w:lang w:eastAsia="zh-CN"/>
              </w:rPr>
              <w:t>买</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期产</w:t>
            </w:r>
            <w:r>
              <w:rPr>
                <w:rFonts w:hint="eastAsia" w:ascii="仿宋_GB2312" w:hAnsi="宋体" w:eastAsia="仿宋_GB2312" w:cs="宋体"/>
                <w:spacing w:val="-3"/>
                <w:sz w:val="21"/>
                <w:szCs w:val="21"/>
                <w:highlight w:val="none"/>
                <w:lang w:eastAsia="zh-CN"/>
              </w:rPr>
              <w:t>品</w:t>
            </w:r>
            <w:r>
              <w:rPr>
                <w:rFonts w:hint="eastAsia" w:ascii="仿宋_GB2312" w:hAnsi="宋体" w:eastAsia="仿宋_GB2312" w:cs="宋体"/>
                <w:sz w:val="21"/>
                <w:szCs w:val="21"/>
                <w:highlight w:val="none"/>
                <w:lang w:eastAsia="zh-CN"/>
              </w:rPr>
              <w:t>前</w:t>
            </w:r>
            <w:r>
              <w:rPr>
                <w:rFonts w:hint="eastAsia" w:ascii="仿宋_GB2312" w:hAnsi="宋体" w:eastAsia="仿宋_GB2312" w:cs="宋体"/>
                <w:spacing w:val="-3"/>
                <w:sz w:val="21"/>
                <w:szCs w:val="21"/>
                <w:highlight w:val="none"/>
                <w:lang w:eastAsia="zh-CN"/>
              </w:rPr>
              <w:t>已</w:t>
            </w:r>
            <w:r>
              <w:rPr>
                <w:rFonts w:hint="eastAsia" w:ascii="仿宋_GB2312" w:hAnsi="宋体" w:eastAsia="仿宋_GB2312" w:cs="宋体"/>
                <w:sz w:val="21"/>
                <w:szCs w:val="21"/>
                <w:highlight w:val="none"/>
                <w:lang w:eastAsia="zh-CN"/>
              </w:rPr>
              <w:t>完</w:t>
            </w:r>
            <w:r>
              <w:rPr>
                <w:rFonts w:hint="eastAsia" w:ascii="仿宋_GB2312" w:hAnsi="宋体" w:eastAsia="仿宋_GB2312" w:cs="宋体"/>
                <w:spacing w:val="-3"/>
                <w:sz w:val="21"/>
                <w:szCs w:val="21"/>
                <w:highlight w:val="none"/>
                <w:lang w:eastAsia="zh-CN"/>
              </w:rPr>
              <w:t>成</w:t>
            </w:r>
            <w:r>
              <w:rPr>
                <w:rFonts w:hint="eastAsia" w:ascii="仿宋_GB2312" w:hAnsi="宋体" w:eastAsia="仿宋_GB2312" w:cs="宋体"/>
                <w:sz w:val="21"/>
                <w:szCs w:val="21"/>
                <w:highlight w:val="none"/>
                <w:lang w:eastAsia="zh-CN"/>
              </w:rPr>
              <w:t>风</w:t>
            </w:r>
            <w:r>
              <w:rPr>
                <w:rFonts w:hint="eastAsia" w:ascii="仿宋_GB2312" w:hAnsi="宋体" w:eastAsia="仿宋_GB2312" w:cs="宋体"/>
                <w:spacing w:val="-3"/>
                <w:sz w:val="21"/>
                <w:szCs w:val="21"/>
                <w:highlight w:val="none"/>
                <w:lang w:eastAsia="zh-CN"/>
              </w:rPr>
              <w:t>险</w:t>
            </w:r>
            <w:r>
              <w:rPr>
                <w:rFonts w:hint="eastAsia" w:ascii="仿宋_GB2312" w:hAnsi="宋体" w:eastAsia="仿宋_GB2312" w:cs="宋体"/>
                <w:sz w:val="21"/>
                <w:szCs w:val="21"/>
                <w:highlight w:val="none"/>
                <w:lang w:eastAsia="zh-CN"/>
              </w:rPr>
              <w:t>承</w:t>
            </w:r>
            <w:r>
              <w:rPr>
                <w:rFonts w:hint="eastAsia" w:ascii="仿宋_GB2312" w:hAnsi="宋体" w:eastAsia="仿宋_GB2312" w:cs="宋体"/>
                <w:spacing w:val="-3"/>
                <w:sz w:val="21"/>
                <w:szCs w:val="21"/>
                <w:highlight w:val="none"/>
                <w:lang w:eastAsia="zh-CN"/>
              </w:rPr>
              <w:t>受</w:t>
            </w:r>
            <w:r>
              <w:rPr>
                <w:rFonts w:hint="eastAsia" w:ascii="仿宋_GB2312" w:hAnsi="宋体" w:eastAsia="仿宋_GB2312" w:cs="宋体"/>
                <w:sz w:val="21"/>
                <w:szCs w:val="21"/>
                <w:highlight w:val="none"/>
                <w:lang w:eastAsia="zh-CN"/>
              </w:rPr>
              <w:t>能力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估</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且</w:t>
            </w:r>
            <w:r>
              <w:rPr>
                <w:rFonts w:hint="eastAsia" w:ascii="仿宋_GB2312" w:hAnsi="宋体" w:eastAsia="仿宋_GB2312" w:cs="宋体"/>
                <w:spacing w:val="-3"/>
                <w:sz w:val="21"/>
                <w:szCs w:val="21"/>
                <w:highlight w:val="none"/>
                <w:lang w:eastAsia="zh-CN"/>
              </w:rPr>
              <w:t>该</w:t>
            </w:r>
            <w:r>
              <w:rPr>
                <w:rFonts w:hint="eastAsia" w:ascii="仿宋_GB2312" w:hAnsi="宋体" w:eastAsia="仿宋_GB2312" w:cs="宋体"/>
                <w:sz w:val="21"/>
                <w:szCs w:val="21"/>
                <w:highlight w:val="none"/>
                <w:lang w:eastAsia="zh-CN"/>
              </w:rPr>
              <w:t>评</w:t>
            </w:r>
            <w:r>
              <w:rPr>
                <w:rFonts w:hint="eastAsia" w:ascii="仿宋_GB2312" w:hAnsi="宋体" w:eastAsia="仿宋_GB2312" w:cs="宋体"/>
                <w:spacing w:val="-3"/>
                <w:sz w:val="21"/>
                <w:szCs w:val="21"/>
                <w:highlight w:val="none"/>
                <w:lang w:eastAsia="zh-CN"/>
              </w:rPr>
              <w:t>估</w:t>
            </w:r>
            <w:r>
              <w:rPr>
                <w:rFonts w:hint="eastAsia" w:ascii="仿宋_GB2312" w:hAnsi="宋体" w:eastAsia="仿宋_GB2312" w:cs="宋体"/>
                <w:sz w:val="21"/>
                <w:szCs w:val="21"/>
                <w:highlight w:val="none"/>
                <w:lang w:eastAsia="zh-CN"/>
              </w:rPr>
              <w:t>结</w:t>
            </w:r>
            <w:r>
              <w:rPr>
                <w:rFonts w:hint="eastAsia" w:ascii="仿宋_GB2312" w:hAnsi="宋体" w:eastAsia="仿宋_GB2312" w:cs="宋体"/>
                <w:spacing w:val="-3"/>
                <w:sz w:val="21"/>
                <w:szCs w:val="21"/>
                <w:highlight w:val="none"/>
                <w:lang w:eastAsia="zh-CN"/>
              </w:rPr>
              <w:t>果</w:t>
            </w:r>
            <w:r>
              <w:rPr>
                <w:rFonts w:hint="eastAsia" w:ascii="仿宋_GB2312" w:hAnsi="宋体" w:eastAsia="仿宋_GB2312" w:cs="宋体"/>
                <w:sz w:val="21"/>
                <w:szCs w:val="21"/>
                <w:highlight w:val="none"/>
                <w:lang w:eastAsia="zh-CN"/>
              </w:rPr>
              <w:t>具有</w:t>
            </w:r>
            <w:r>
              <w:rPr>
                <w:rFonts w:hint="eastAsia" w:ascii="仿宋_GB2312" w:hAnsi="宋体" w:eastAsia="仿宋_GB2312" w:cs="宋体"/>
                <w:spacing w:val="-3"/>
                <w:sz w:val="21"/>
                <w:szCs w:val="21"/>
                <w:highlight w:val="none"/>
                <w:lang w:eastAsia="zh-CN"/>
              </w:rPr>
              <w:t>效</w:t>
            </w:r>
            <w:r>
              <w:rPr>
                <w:rFonts w:hint="eastAsia" w:ascii="仿宋_GB2312" w:hAnsi="宋体" w:eastAsia="仿宋_GB2312" w:cs="宋体"/>
                <w:sz w:val="21"/>
                <w:szCs w:val="21"/>
                <w:highlight w:val="none"/>
                <w:lang w:eastAsia="zh-CN"/>
              </w:rPr>
              <w:t>力。</w:t>
            </w:r>
          </w:p>
          <w:p w14:paraId="692CF0D4">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本人</w:t>
            </w:r>
            <w:r>
              <w:rPr>
                <w:rFonts w:hint="eastAsia" w:ascii="仿宋_GB2312" w:hAnsi="宋体" w:eastAsia="仿宋_GB2312" w:cs="宋体"/>
                <w:spacing w:val="-3"/>
                <w:sz w:val="21"/>
                <w:szCs w:val="21"/>
                <w:highlight w:val="none"/>
                <w:lang w:eastAsia="zh-CN"/>
              </w:rPr>
              <w:t>风</w:t>
            </w:r>
            <w:r>
              <w:rPr>
                <w:rFonts w:hint="eastAsia" w:ascii="仿宋_GB2312" w:hAnsi="宋体" w:eastAsia="仿宋_GB2312" w:cs="宋体"/>
                <w:sz w:val="21"/>
                <w:szCs w:val="21"/>
                <w:highlight w:val="none"/>
                <w:lang w:eastAsia="zh-CN"/>
              </w:rPr>
              <w:t>险</w:t>
            </w:r>
            <w:r>
              <w:rPr>
                <w:rFonts w:hint="eastAsia" w:ascii="仿宋_GB2312" w:hAnsi="宋体" w:eastAsia="仿宋_GB2312" w:cs="宋体"/>
                <w:spacing w:val="-3"/>
                <w:sz w:val="21"/>
                <w:szCs w:val="21"/>
                <w:highlight w:val="none"/>
                <w:lang w:eastAsia="zh-CN"/>
              </w:rPr>
              <w:t>承</w:t>
            </w:r>
            <w:r>
              <w:rPr>
                <w:rFonts w:hint="eastAsia" w:ascii="仿宋_GB2312" w:hAnsi="宋体" w:eastAsia="仿宋_GB2312" w:cs="宋体"/>
                <w:sz w:val="21"/>
                <w:szCs w:val="21"/>
                <w:highlight w:val="none"/>
                <w:lang w:eastAsia="zh-CN"/>
              </w:rPr>
              <w:t>受</w:t>
            </w:r>
            <w:r>
              <w:rPr>
                <w:rFonts w:hint="eastAsia" w:ascii="仿宋_GB2312" w:hAnsi="宋体" w:eastAsia="仿宋_GB2312" w:cs="宋体"/>
                <w:spacing w:val="-3"/>
                <w:sz w:val="21"/>
                <w:szCs w:val="21"/>
                <w:highlight w:val="none"/>
                <w:lang w:eastAsia="zh-CN"/>
              </w:rPr>
              <w:t>能</w:t>
            </w:r>
            <w:r>
              <w:rPr>
                <w:rFonts w:hint="eastAsia" w:ascii="仿宋_GB2312" w:hAnsi="宋体" w:eastAsia="仿宋_GB2312" w:cs="宋体"/>
                <w:sz w:val="21"/>
                <w:szCs w:val="21"/>
                <w:highlight w:val="none"/>
                <w:lang w:eastAsia="zh-CN"/>
              </w:rPr>
              <w:t>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级：</w:t>
            </w:r>
            <w:r>
              <w:rPr>
                <w:rFonts w:hint="eastAsia" w:ascii="仿宋_GB2312" w:hAnsi="宋体" w:eastAsia="仿宋_GB2312" w:cs="宋体"/>
                <w:sz w:val="21"/>
                <w:szCs w:val="21"/>
                <w:highlight w:val="none"/>
                <w:lang w:eastAsia="zh-CN"/>
              </w:rPr>
              <w:tab/>
            </w:r>
            <w:r>
              <w:rPr>
                <w:rFonts w:hint="eastAsia" w:ascii="仿宋_GB2312" w:hAnsi="宋体" w:eastAsia="仿宋_GB2312" w:cs="宋体"/>
                <w:sz w:val="21"/>
                <w:szCs w:val="21"/>
                <w:highlight w:val="none"/>
                <w:lang w:eastAsia="zh-CN"/>
              </w:rPr>
              <w:t>（由</w:t>
            </w:r>
            <w:r>
              <w:rPr>
                <w:rFonts w:hint="eastAsia" w:ascii="仿宋_GB2312" w:hAnsi="宋体" w:eastAsia="仿宋_GB2312" w:cs="宋体"/>
                <w:spacing w:val="-3"/>
                <w:sz w:val="21"/>
                <w:szCs w:val="21"/>
                <w:highlight w:val="none"/>
                <w:lang w:eastAsia="zh-CN"/>
              </w:rPr>
              <w:t>投资者</w:t>
            </w:r>
            <w:r>
              <w:rPr>
                <w:rFonts w:hint="eastAsia" w:ascii="仿宋_GB2312" w:hAnsi="宋体" w:eastAsia="仿宋_GB2312" w:cs="宋体"/>
                <w:sz w:val="21"/>
                <w:szCs w:val="21"/>
                <w:highlight w:val="none"/>
                <w:lang w:eastAsia="zh-CN"/>
              </w:rPr>
              <w:t>自行</w:t>
            </w:r>
            <w:r>
              <w:rPr>
                <w:rFonts w:hint="eastAsia" w:ascii="仿宋_GB2312" w:hAnsi="宋体" w:eastAsia="仿宋_GB2312" w:cs="宋体"/>
                <w:spacing w:val="-3"/>
                <w:sz w:val="21"/>
                <w:szCs w:val="21"/>
                <w:highlight w:val="none"/>
                <w:lang w:eastAsia="zh-CN"/>
              </w:rPr>
              <w:t>填</w:t>
            </w:r>
            <w:r>
              <w:rPr>
                <w:rFonts w:hint="eastAsia" w:ascii="仿宋_GB2312" w:hAnsi="宋体" w:eastAsia="仿宋_GB2312" w:cs="宋体"/>
                <w:sz w:val="21"/>
                <w:szCs w:val="21"/>
                <w:highlight w:val="none"/>
                <w:lang w:eastAsia="zh-CN"/>
              </w:rPr>
              <w:t>写）</w:t>
            </w:r>
          </w:p>
          <w:p w14:paraId="5D08820F">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根据</w:t>
            </w:r>
            <w:r>
              <w:rPr>
                <w:rFonts w:hint="eastAsia" w:ascii="仿宋_GB2312" w:hAnsi="宋体" w:eastAsia="仿宋_GB2312" w:cs="宋体"/>
                <w:spacing w:val="-3"/>
                <w:sz w:val="21"/>
                <w:szCs w:val="21"/>
                <w:highlight w:val="none"/>
                <w:lang w:eastAsia="zh-CN"/>
              </w:rPr>
              <w:t>监</w:t>
            </w:r>
            <w:r>
              <w:rPr>
                <w:rFonts w:hint="eastAsia" w:ascii="仿宋_GB2312" w:hAnsi="宋体" w:eastAsia="仿宋_GB2312" w:cs="宋体"/>
                <w:sz w:val="21"/>
                <w:szCs w:val="21"/>
                <w:highlight w:val="none"/>
                <w:lang w:eastAsia="zh-CN"/>
              </w:rPr>
              <w:t>管</w:t>
            </w:r>
            <w:r>
              <w:rPr>
                <w:rFonts w:hint="eastAsia" w:ascii="仿宋_GB2312" w:hAnsi="宋体" w:eastAsia="仿宋_GB2312" w:cs="宋体"/>
                <w:spacing w:val="-3"/>
                <w:sz w:val="21"/>
                <w:szCs w:val="21"/>
                <w:highlight w:val="none"/>
                <w:lang w:eastAsia="zh-CN"/>
              </w:rPr>
              <w:t>部</w:t>
            </w:r>
            <w:r>
              <w:rPr>
                <w:rFonts w:hint="eastAsia" w:ascii="仿宋_GB2312" w:hAnsi="宋体" w:eastAsia="仿宋_GB2312" w:cs="宋体"/>
                <w:sz w:val="21"/>
                <w:szCs w:val="21"/>
                <w:highlight w:val="none"/>
                <w:lang w:eastAsia="zh-CN"/>
              </w:rPr>
              <w:t>门</w:t>
            </w:r>
            <w:r>
              <w:rPr>
                <w:rFonts w:hint="eastAsia" w:ascii="仿宋_GB2312" w:hAnsi="宋体" w:eastAsia="仿宋_GB2312" w:cs="宋体"/>
                <w:spacing w:val="-3"/>
                <w:sz w:val="21"/>
                <w:szCs w:val="21"/>
                <w:highlight w:val="none"/>
                <w:lang w:eastAsia="zh-CN"/>
              </w:rPr>
              <w:t>的</w:t>
            </w:r>
            <w:r>
              <w:rPr>
                <w:rFonts w:hint="eastAsia" w:ascii="仿宋_GB2312" w:hAnsi="宋体" w:eastAsia="仿宋_GB2312" w:cs="宋体"/>
                <w:sz w:val="21"/>
                <w:szCs w:val="21"/>
                <w:highlight w:val="none"/>
                <w:lang w:eastAsia="zh-CN"/>
              </w:rPr>
              <w:t>要</w:t>
            </w:r>
            <w:r>
              <w:rPr>
                <w:rFonts w:hint="eastAsia" w:ascii="仿宋_GB2312" w:hAnsi="宋体" w:eastAsia="仿宋_GB2312" w:cs="宋体"/>
                <w:spacing w:val="-3"/>
                <w:sz w:val="21"/>
                <w:szCs w:val="21"/>
                <w:highlight w:val="none"/>
                <w:lang w:eastAsia="zh-CN"/>
              </w:rPr>
              <w:t>求</w:t>
            </w:r>
            <w:r>
              <w:rPr>
                <w:rFonts w:hint="eastAsia" w:ascii="仿宋_GB2312" w:hAnsi="宋体" w:eastAsia="仿宋_GB2312" w:cs="宋体"/>
                <w:spacing w:val="-29"/>
                <w:sz w:val="21"/>
                <w:szCs w:val="21"/>
                <w:highlight w:val="none"/>
                <w:lang w:eastAsia="zh-CN"/>
              </w:rPr>
              <w:t>，</w:t>
            </w:r>
            <w:r>
              <w:rPr>
                <w:rFonts w:hint="eastAsia" w:ascii="仿宋_GB2312" w:hAnsi="宋体" w:eastAsia="仿宋_GB2312" w:cs="宋体"/>
                <w:spacing w:val="-3"/>
                <w:sz w:val="21"/>
                <w:szCs w:val="21"/>
                <w:highlight w:val="none"/>
                <w:lang w:eastAsia="zh-CN"/>
              </w:rPr>
              <w:t>为</w:t>
            </w:r>
            <w:r>
              <w:rPr>
                <w:rFonts w:hint="eastAsia" w:ascii="仿宋_GB2312" w:hAnsi="宋体" w:eastAsia="仿宋_GB2312" w:cs="宋体"/>
                <w:sz w:val="21"/>
                <w:szCs w:val="21"/>
                <w:highlight w:val="none"/>
                <w:lang w:eastAsia="zh-CN"/>
              </w:rPr>
              <w:t>确保</w:t>
            </w:r>
            <w:r>
              <w:rPr>
                <w:rFonts w:hint="eastAsia" w:ascii="仿宋_GB2312" w:hAnsi="宋体" w:eastAsia="仿宋_GB2312" w:cs="宋体"/>
                <w:spacing w:val="-3"/>
                <w:sz w:val="21"/>
                <w:szCs w:val="21"/>
                <w:highlight w:val="none"/>
                <w:lang w:eastAsia="zh-CN"/>
              </w:rPr>
              <w:t>投资者充</w:t>
            </w:r>
            <w:r>
              <w:rPr>
                <w:rFonts w:hint="eastAsia" w:ascii="仿宋_GB2312" w:hAnsi="宋体" w:eastAsia="仿宋_GB2312" w:cs="宋体"/>
                <w:sz w:val="21"/>
                <w:szCs w:val="21"/>
                <w:highlight w:val="none"/>
                <w:lang w:eastAsia="zh-CN"/>
              </w:rPr>
              <w:t>分</w:t>
            </w:r>
            <w:r>
              <w:rPr>
                <w:rFonts w:hint="eastAsia" w:ascii="仿宋_GB2312" w:hAnsi="宋体" w:eastAsia="仿宋_GB2312" w:cs="宋体"/>
                <w:spacing w:val="-3"/>
                <w:sz w:val="21"/>
                <w:szCs w:val="21"/>
                <w:highlight w:val="none"/>
                <w:lang w:eastAsia="zh-CN"/>
              </w:rPr>
              <w:t>理</w:t>
            </w:r>
            <w:r>
              <w:rPr>
                <w:rFonts w:hint="eastAsia" w:ascii="仿宋_GB2312" w:hAnsi="宋体" w:eastAsia="仿宋_GB2312" w:cs="宋体"/>
                <w:sz w:val="21"/>
                <w:szCs w:val="21"/>
                <w:highlight w:val="none"/>
                <w:lang w:eastAsia="zh-CN"/>
              </w:rPr>
              <w:t>解</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w:t>
            </w:r>
            <w:r>
              <w:rPr>
                <w:rFonts w:hint="eastAsia" w:ascii="仿宋_GB2312" w:hAnsi="宋体" w:eastAsia="仿宋_GB2312" w:cs="宋体"/>
                <w:spacing w:val="-3"/>
                <w:sz w:val="21"/>
                <w:szCs w:val="21"/>
                <w:highlight w:val="none"/>
                <w:lang w:eastAsia="zh-CN"/>
              </w:rPr>
              <w:t>产</w:t>
            </w:r>
            <w:r>
              <w:rPr>
                <w:rFonts w:hint="eastAsia" w:ascii="仿宋_GB2312" w:hAnsi="宋体" w:eastAsia="仿宋_GB2312" w:cs="宋体"/>
                <w:sz w:val="21"/>
                <w:szCs w:val="21"/>
                <w:highlight w:val="none"/>
                <w:lang w:eastAsia="zh-CN"/>
              </w:rPr>
              <w:t>品的</w:t>
            </w:r>
            <w:r>
              <w:rPr>
                <w:rFonts w:hint="eastAsia" w:ascii="仿宋_GB2312" w:hAnsi="宋体" w:eastAsia="仿宋_GB2312" w:cs="宋体"/>
                <w:spacing w:val="-3"/>
                <w:sz w:val="21"/>
                <w:szCs w:val="21"/>
                <w:highlight w:val="none"/>
                <w:lang w:eastAsia="zh-CN"/>
              </w:rPr>
              <w:t>风险</w:t>
            </w:r>
            <w:r>
              <w:rPr>
                <w:rFonts w:hint="eastAsia" w:ascii="仿宋_GB2312" w:hAnsi="宋体" w:eastAsia="仿宋_GB2312" w:cs="宋体"/>
                <w:spacing w:val="-27"/>
                <w:sz w:val="21"/>
                <w:szCs w:val="21"/>
                <w:highlight w:val="none"/>
                <w:lang w:eastAsia="zh-CN"/>
              </w:rPr>
              <w:t>，</w:t>
            </w:r>
            <w:r>
              <w:rPr>
                <w:rFonts w:hint="eastAsia" w:ascii="仿宋_GB2312" w:hAnsi="宋体" w:eastAsia="仿宋_GB2312" w:cs="宋体"/>
                <w:spacing w:val="-3"/>
                <w:sz w:val="21"/>
                <w:szCs w:val="21"/>
                <w:highlight w:val="none"/>
                <w:lang w:eastAsia="zh-CN"/>
              </w:rPr>
              <w:t>请</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确</w:t>
            </w:r>
            <w:r>
              <w:rPr>
                <w:rFonts w:hint="eastAsia" w:ascii="仿宋_GB2312" w:hAnsi="宋体" w:eastAsia="仿宋_GB2312" w:cs="宋体"/>
                <w:sz w:val="21"/>
                <w:szCs w:val="21"/>
                <w:highlight w:val="none"/>
                <w:lang w:eastAsia="zh-CN"/>
              </w:rPr>
              <w:t>认</w:t>
            </w:r>
            <w:r>
              <w:rPr>
                <w:rFonts w:hint="eastAsia" w:ascii="仿宋_GB2312" w:hAnsi="宋体" w:eastAsia="仿宋_GB2312" w:cs="宋体"/>
                <w:spacing w:val="-3"/>
                <w:sz w:val="21"/>
                <w:szCs w:val="21"/>
                <w:highlight w:val="none"/>
                <w:lang w:eastAsia="zh-CN"/>
              </w:rPr>
              <w:t>栏抄</w:t>
            </w:r>
            <w:r>
              <w:rPr>
                <w:rFonts w:hint="eastAsia" w:ascii="仿宋_GB2312" w:hAnsi="宋体" w:eastAsia="仿宋_GB2312" w:cs="宋体"/>
                <w:sz w:val="21"/>
                <w:szCs w:val="21"/>
                <w:highlight w:val="none"/>
                <w:lang w:eastAsia="zh-CN"/>
              </w:rPr>
              <w:t>录以</w:t>
            </w:r>
            <w:r>
              <w:rPr>
                <w:rFonts w:hint="eastAsia" w:ascii="仿宋_GB2312" w:hAnsi="宋体" w:eastAsia="仿宋_GB2312" w:cs="宋体"/>
                <w:spacing w:val="-3"/>
                <w:sz w:val="21"/>
                <w:szCs w:val="21"/>
                <w:highlight w:val="none"/>
                <w:lang w:eastAsia="zh-CN"/>
              </w:rPr>
              <w:t>下</w:t>
            </w:r>
            <w:r>
              <w:rPr>
                <w:rFonts w:hint="eastAsia" w:ascii="仿宋_GB2312" w:hAnsi="宋体" w:eastAsia="仿宋_GB2312" w:cs="宋体"/>
                <w:sz w:val="21"/>
                <w:szCs w:val="21"/>
                <w:highlight w:val="none"/>
                <w:lang w:eastAsia="zh-CN"/>
              </w:rPr>
              <w:t>语</w:t>
            </w:r>
            <w:r>
              <w:rPr>
                <w:rFonts w:hint="eastAsia" w:ascii="仿宋_GB2312" w:hAnsi="宋体" w:eastAsia="仿宋_GB2312" w:cs="宋体"/>
                <w:spacing w:val="-3"/>
                <w:sz w:val="21"/>
                <w:szCs w:val="21"/>
                <w:highlight w:val="none"/>
                <w:lang w:eastAsia="zh-CN"/>
              </w:rPr>
              <w:t>句</w:t>
            </w:r>
            <w:r>
              <w:rPr>
                <w:rFonts w:hint="eastAsia" w:ascii="仿宋_GB2312" w:hAnsi="宋体" w:eastAsia="仿宋_GB2312" w:cs="宋体"/>
                <w:sz w:val="21"/>
                <w:szCs w:val="21"/>
                <w:highlight w:val="none"/>
                <w:lang w:eastAsia="zh-CN"/>
              </w:rPr>
              <w:t>并签名：</w:t>
            </w:r>
          </w:p>
          <w:p w14:paraId="21CBDB91">
            <w:pPr>
              <w:rPr>
                <w:rFonts w:ascii="仿宋_GB2312" w:hAnsi="宋体" w:eastAsia="仿宋_GB2312" w:cs="宋体"/>
                <w:sz w:val="18"/>
                <w:szCs w:val="18"/>
                <w:highlight w:val="none"/>
                <w:lang w:eastAsia="zh-CN"/>
              </w:rPr>
            </w:pPr>
          </w:p>
          <w:p w14:paraId="23452ED6">
            <w:pPr>
              <w:ind w:left="420"/>
              <w:rPr>
                <w:rFonts w:ascii="仿宋_GB2312" w:hAnsi="宋体" w:eastAsia="仿宋_GB2312" w:cs="宋体"/>
                <w:sz w:val="30"/>
                <w:szCs w:val="30"/>
                <w:highlight w:val="none"/>
                <w:lang w:eastAsia="zh-CN"/>
              </w:rPr>
            </w:pPr>
            <w:r>
              <w:rPr>
                <w:rFonts w:hint="eastAsia" w:ascii="仿宋_GB2312" w:hAnsi="宋体" w:eastAsia="仿宋_GB2312" w:cs="宋体"/>
                <w:spacing w:val="2"/>
                <w:w w:val="99"/>
                <w:sz w:val="30"/>
                <w:szCs w:val="30"/>
                <w:highlight w:val="none"/>
                <w:lang w:eastAsia="zh-CN"/>
              </w:rPr>
              <w:t>本</w:t>
            </w:r>
            <w:r>
              <w:rPr>
                <w:rFonts w:hint="eastAsia" w:ascii="仿宋_GB2312" w:hAnsi="宋体" w:eastAsia="仿宋_GB2312" w:cs="宋体"/>
                <w:w w:val="99"/>
                <w:sz w:val="30"/>
                <w:szCs w:val="30"/>
                <w:highlight w:val="none"/>
                <w:lang w:eastAsia="zh-CN"/>
              </w:rPr>
              <w:t>人</w:t>
            </w:r>
            <w:r>
              <w:rPr>
                <w:rFonts w:hint="eastAsia" w:ascii="仿宋_GB2312" w:hAnsi="宋体" w:eastAsia="仿宋_GB2312" w:cs="宋体"/>
                <w:spacing w:val="2"/>
                <w:w w:val="99"/>
                <w:sz w:val="30"/>
                <w:szCs w:val="30"/>
                <w:highlight w:val="none"/>
                <w:lang w:eastAsia="zh-CN"/>
              </w:rPr>
              <w:t>已</w:t>
            </w:r>
            <w:r>
              <w:rPr>
                <w:rFonts w:hint="eastAsia" w:ascii="仿宋_GB2312" w:hAnsi="宋体" w:eastAsia="仿宋_GB2312" w:cs="宋体"/>
                <w:w w:val="99"/>
                <w:sz w:val="30"/>
                <w:szCs w:val="30"/>
                <w:highlight w:val="none"/>
                <w:lang w:eastAsia="zh-CN"/>
              </w:rPr>
              <w:t>经</w:t>
            </w:r>
            <w:r>
              <w:rPr>
                <w:rFonts w:hint="eastAsia" w:ascii="仿宋_GB2312" w:hAnsi="宋体" w:eastAsia="仿宋_GB2312" w:cs="宋体"/>
                <w:spacing w:val="2"/>
                <w:w w:val="99"/>
                <w:sz w:val="30"/>
                <w:szCs w:val="30"/>
                <w:highlight w:val="none"/>
                <w:lang w:eastAsia="zh-CN"/>
              </w:rPr>
              <w:t>阅</w:t>
            </w:r>
            <w:r>
              <w:rPr>
                <w:rFonts w:hint="eastAsia" w:ascii="仿宋_GB2312" w:hAnsi="宋体" w:eastAsia="仿宋_GB2312" w:cs="宋体"/>
                <w:w w:val="99"/>
                <w:sz w:val="30"/>
                <w:szCs w:val="30"/>
                <w:highlight w:val="none"/>
                <w:lang w:eastAsia="zh-CN"/>
              </w:rPr>
              <w:t>读</w:t>
            </w:r>
            <w:r>
              <w:rPr>
                <w:rFonts w:hint="eastAsia" w:ascii="仿宋_GB2312" w:hAnsi="宋体" w:eastAsia="仿宋_GB2312" w:cs="宋体"/>
                <w:spacing w:val="2"/>
                <w:w w:val="99"/>
                <w:sz w:val="30"/>
                <w:szCs w:val="30"/>
                <w:highlight w:val="none"/>
                <w:lang w:eastAsia="zh-CN"/>
              </w:rPr>
              <w:t>风</w:t>
            </w:r>
            <w:r>
              <w:rPr>
                <w:rFonts w:hint="eastAsia" w:ascii="仿宋_GB2312" w:hAnsi="宋体" w:eastAsia="仿宋_GB2312" w:cs="宋体"/>
                <w:w w:val="99"/>
                <w:sz w:val="30"/>
                <w:szCs w:val="30"/>
                <w:highlight w:val="none"/>
                <w:lang w:eastAsia="zh-CN"/>
              </w:rPr>
              <w:t>险</w:t>
            </w:r>
            <w:r>
              <w:rPr>
                <w:rFonts w:hint="eastAsia" w:ascii="仿宋_GB2312" w:hAnsi="宋体" w:eastAsia="仿宋_GB2312" w:cs="宋体"/>
                <w:spacing w:val="2"/>
                <w:w w:val="99"/>
                <w:sz w:val="30"/>
                <w:szCs w:val="30"/>
                <w:highlight w:val="none"/>
                <w:lang w:eastAsia="zh-CN"/>
              </w:rPr>
              <w:t>揭</w:t>
            </w:r>
            <w:r>
              <w:rPr>
                <w:rFonts w:hint="eastAsia" w:ascii="仿宋_GB2312" w:hAnsi="宋体" w:eastAsia="仿宋_GB2312" w:cs="宋体"/>
                <w:w w:val="99"/>
                <w:sz w:val="30"/>
                <w:szCs w:val="30"/>
                <w:highlight w:val="none"/>
                <w:lang w:eastAsia="zh-CN"/>
              </w:rPr>
              <w:t>示</w:t>
            </w:r>
            <w:r>
              <w:rPr>
                <w:rFonts w:hint="eastAsia" w:ascii="仿宋_GB2312" w:hAnsi="宋体" w:eastAsia="仿宋_GB2312" w:cs="宋体"/>
                <w:spacing w:val="2"/>
                <w:w w:val="99"/>
                <w:sz w:val="30"/>
                <w:szCs w:val="30"/>
                <w:highlight w:val="none"/>
                <w:lang w:eastAsia="zh-CN"/>
              </w:rPr>
              <w:t>，</w:t>
            </w:r>
            <w:r>
              <w:rPr>
                <w:rFonts w:hint="eastAsia" w:ascii="仿宋_GB2312" w:hAnsi="宋体" w:eastAsia="仿宋_GB2312" w:cs="宋体"/>
                <w:w w:val="99"/>
                <w:sz w:val="30"/>
                <w:szCs w:val="30"/>
                <w:highlight w:val="none"/>
                <w:lang w:eastAsia="zh-CN"/>
              </w:rPr>
              <w:t>愿</w:t>
            </w:r>
            <w:r>
              <w:rPr>
                <w:rFonts w:hint="eastAsia" w:ascii="仿宋_GB2312" w:hAnsi="宋体" w:eastAsia="仿宋_GB2312" w:cs="宋体"/>
                <w:spacing w:val="2"/>
                <w:w w:val="99"/>
                <w:sz w:val="30"/>
                <w:szCs w:val="30"/>
                <w:highlight w:val="none"/>
                <w:lang w:eastAsia="zh-CN"/>
              </w:rPr>
              <w:t>意</w:t>
            </w:r>
            <w:r>
              <w:rPr>
                <w:rFonts w:hint="eastAsia" w:ascii="仿宋_GB2312" w:hAnsi="宋体" w:eastAsia="仿宋_GB2312" w:cs="宋体"/>
                <w:w w:val="99"/>
                <w:sz w:val="30"/>
                <w:szCs w:val="30"/>
                <w:highlight w:val="none"/>
                <w:lang w:eastAsia="zh-CN"/>
              </w:rPr>
              <w:t>承</w:t>
            </w:r>
            <w:r>
              <w:rPr>
                <w:rFonts w:hint="eastAsia" w:ascii="仿宋_GB2312" w:hAnsi="宋体" w:eastAsia="仿宋_GB2312" w:cs="宋体"/>
                <w:spacing w:val="2"/>
                <w:w w:val="99"/>
                <w:sz w:val="30"/>
                <w:szCs w:val="30"/>
                <w:highlight w:val="none"/>
                <w:lang w:eastAsia="zh-CN"/>
              </w:rPr>
              <w:t>担</w:t>
            </w:r>
            <w:r>
              <w:rPr>
                <w:rFonts w:hint="eastAsia" w:ascii="仿宋_GB2312" w:hAnsi="宋体" w:eastAsia="仿宋_GB2312" w:cs="宋体"/>
                <w:w w:val="99"/>
                <w:sz w:val="30"/>
                <w:szCs w:val="30"/>
                <w:highlight w:val="none"/>
                <w:lang w:eastAsia="zh-CN"/>
              </w:rPr>
              <w:t>投</w:t>
            </w:r>
            <w:r>
              <w:rPr>
                <w:rFonts w:hint="eastAsia" w:ascii="仿宋_GB2312" w:hAnsi="宋体" w:eastAsia="仿宋_GB2312" w:cs="宋体"/>
                <w:spacing w:val="2"/>
                <w:w w:val="99"/>
                <w:sz w:val="30"/>
                <w:szCs w:val="30"/>
                <w:highlight w:val="none"/>
                <w:lang w:eastAsia="zh-CN"/>
              </w:rPr>
              <w:t>资</w:t>
            </w:r>
            <w:r>
              <w:rPr>
                <w:rFonts w:hint="eastAsia" w:ascii="仿宋_GB2312" w:hAnsi="宋体" w:eastAsia="仿宋_GB2312" w:cs="宋体"/>
                <w:w w:val="99"/>
                <w:sz w:val="30"/>
                <w:szCs w:val="30"/>
                <w:highlight w:val="none"/>
                <w:lang w:eastAsia="zh-CN"/>
              </w:rPr>
              <w:t>风</w:t>
            </w:r>
            <w:r>
              <w:rPr>
                <w:rFonts w:hint="eastAsia" w:ascii="仿宋_GB2312" w:hAnsi="宋体" w:eastAsia="仿宋_GB2312" w:cs="宋体"/>
                <w:spacing w:val="2"/>
                <w:w w:val="99"/>
                <w:sz w:val="30"/>
                <w:szCs w:val="30"/>
                <w:highlight w:val="none"/>
                <w:lang w:eastAsia="zh-CN"/>
              </w:rPr>
              <w:t>险</w:t>
            </w:r>
            <w:r>
              <w:rPr>
                <w:rFonts w:hint="eastAsia" w:ascii="仿宋_GB2312" w:hAnsi="宋体" w:eastAsia="仿宋_GB2312" w:cs="宋体"/>
                <w:w w:val="99"/>
                <w:sz w:val="30"/>
                <w:szCs w:val="30"/>
                <w:highlight w:val="none"/>
                <w:lang w:eastAsia="zh-CN"/>
              </w:rPr>
              <w:t>。</w:t>
            </w:r>
          </w:p>
          <w:p w14:paraId="27956255">
            <w:pPr>
              <w:rPr>
                <w:rFonts w:ascii="仿宋_GB2312" w:hAnsi="宋体" w:eastAsia="仿宋_GB2312" w:cs="宋体"/>
                <w:sz w:val="20"/>
                <w:szCs w:val="20"/>
                <w:highlight w:val="none"/>
                <w:lang w:eastAsia="zh-CN"/>
              </w:rPr>
            </w:pPr>
          </w:p>
          <w:p w14:paraId="71920DA1">
            <w:pPr>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抄</w:t>
            </w:r>
            <w:r>
              <w:rPr>
                <w:rFonts w:hint="eastAsia" w:ascii="仿宋_GB2312" w:hAnsi="宋体" w:eastAsia="仿宋_GB2312" w:cs="宋体"/>
                <w:sz w:val="21"/>
                <w:szCs w:val="21"/>
                <w:highlight w:val="none"/>
                <w:lang w:eastAsia="zh-CN"/>
              </w:rPr>
              <w:t>录</w:t>
            </w:r>
            <w:r>
              <w:rPr>
                <w:rFonts w:hint="eastAsia" w:ascii="仿宋_GB2312" w:hAnsi="宋体" w:eastAsia="仿宋_GB2312" w:cs="宋体"/>
                <w:spacing w:val="-3"/>
                <w:sz w:val="21"/>
                <w:szCs w:val="21"/>
                <w:highlight w:val="none"/>
                <w:lang w:eastAsia="zh-CN"/>
              </w:rPr>
              <w:t>：</w:t>
            </w:r>
          </w:p>
          <w:p w14:paraId="3404A93D">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（投资者声</w:t>
            </w:r>
            <w:r>
              <w:rPr>
                <w:rFonts w:hint="eastAsia" w:ascii="仿宋_GB2312" w:hAnsi="宋体" w:eastAsia="仿宋_GB2312" w:cs="宋体"/>
                <w:spacing w:val="-3"/>
                <w:sz w:val="21"/>
                <w:szCs w:val="21"/>
                <w:highlight w:val="none"/>
                <w:lang w:eastAsia="zh-CN"/>
              </w:rPr>
              <w:t>明</w:t>
            </w:r>
            <w:r>
              <w:rPr>
                <w:rFonts w:hint="eastAsia" w:ascii="仿宋_GB2312" w:hAnsi="宋体" w:eastAsia="仿宋_GB2312" w:cs="宋体"/>
                <w:spacing w:val="-20"/>
                <w:sz w:val="21"/>
                <w:szCs w:val="21"/>
                <w:highlight w:val="none"/>
                <w:lang w:eastAsia="zh-CN"/>
              </w:rPr>
              <w:t>：</w:t>
            </w:r>
            <w:r>
              <w:rPr>
                <w:rFonts w:hint="eastAsia" w:ascii="仿宋_GB2312" w:hAnsi="宋体" w:eastAsia="仿宋_GB2312" w:cs="宋体"/>
                <w:sz w:val="21"/>
                <w:szCs w:val="21"/>
                <w:highlight w:val="none"/>
                <w:lang w:eastAsia="zh-CN"/>
              </w:rPr>
              <w:t>投</w:t>
            </w:r>
            <w:r>
              <w:rPr>
                <w:rFonts w:hint="eastAsia" w:ascii="仿宋_GB2312" w:hAnsi="宋体" w:eastAsia="仿宋_GB2312" w:cs="宋体"/>
                <w:spacing w:val="-3"/>
                <w:sz w:val="21"/>
                <w:szCs w:val="21"/>
                <w:highlight w:val="none"/>
                <w:lang w:eastAsia="zh-CN"/>
              </w:rPr>
              <w:t>资</w:t>
            </w:r>
            <w:r>
              <w:rPr>
                <w:rFonts w:hint="eastAsia" w:ascii="仿宋_GB2312" w:hAnsi="宋体" w:eastAsia="仿宋_GB2312" w:cs="宋体"/>
                <w:sz w:val="21"/>
                <w:szCs w:val="21"/>
                <w:highlight w:val="none"/>
                <w:lang w:eastAsia="zh-CN"/>
              </w:rPr>
              <w:t>决</w:t>
            </w:r>
            <w:r>
              <w:rPr>
                <w:rFonts w:hint="eastAsia" w:ascii="仿宋_GB2312" w:hAnsi="宋体" w:eastAsia="仿宋_GB2312" w:cs="宋体"/>
                <w:spacing w:val="-3"/>
                <w:sz w:val="21"/>
                <w:szCs w:val="21"/>
                <w:highlight w:val="none"/>
                <w:lang w:eastAsia="zh-CN"/>
              </w:rPr>
              <w:t>策完</w:t>
            </w:r>
            <w:r>
              <w:rPr>
                <w:rFonts w:hint="eastAsia" w:ascii="仿宋_GB2312" w:hAnsi="宋体" w:eastAsia="仿宋_GB2312" w:cs="宋体"/>
                <w:sz w:val="21"/>
                <w:szCs w:val="21"/>
                <w:highlight w:val="none"/>
                <w:lang w:eastAsia="zh-CN"/>
              </w:rPr>
              <w:t>全是</w:t>
            </w:r>
            <w:r>
              <w:rPr>
                <w:rFonts w:hint="eastAsia" w:ascii="仿宋_GB2312" w:hAnsi="宋体" w:eastAsia="仿宋_GB2312" w:cs="宋体"/>
                <w:spacing w:val="-3"/>
                <w:sz w:val="21"/>
                <w:szCs w:val="21"/>
                <w:highlight w:val="none"/>
                <w:lang w:eastAsia="zh-CN"/>
              </w:rPr>
              <w:t>由</w:t>
            </w:r>
            <w:r>
              <w:rPr>
                <w:rFonts w:hint="eastAsia" w:ascii="仿宋_GB2312" w:hAnsi="宋体" w:eastAsia="仿宋_GB2312" w:cs="宋体"/>
                <w:sz w:val="21"/>
                <w:szCs w:val="21"/>
                <w:highlight w:val="none"/>
                <w:lang w:eastAsia="zh-CN"/>
              </w:rPr>
              <w:t>本人独立、自主、</w:t>
            </w:r>
            <w:r>
              <w:rPr>
                <w:rFonts w:hint="eastAsia" w:ascii="仿宋_GB2312" w:hAnsi="宋体" w:eastAsia="仿宋_GB2312" w:cs="宋体"/>
                <w:spacing w:val="2"/>
                <w:sz w:val="21"/>
                <w:szCs w:val="21"/>
                <w:highlight w:val="none"/>
                <w:lang w:eastAsia="zh-CN"/>
              </w:rPr>
              <w:t>谨</w:t>
            </w:r>
            <w:r>
              <w:rPr>
                <w:rFonts w:hint="eastAsia" w:ascii="仿宋_GB2312" w:hAnsi="宋体" w:eastAsia="仿宋_GB2312" w:cs="宋体"/>
                <w:sz w:val="21"/>
                <w:szCs w:val="21"/>
                <w:highlight w:val="none"/>
                <w:lang w:eastAsia="zh-CN"/>
              </w:rPr>
              <w:t>慎做出的。</w:t>
            </w:r>
            <w:r>
              <w:rPr>
                <w:rFonts w:hint="eastAsia" w:ascii="仿宋_GB2312" w:hAnsi="宋体" w:eastAsia="仿宋_GB2312" w:cs="宋体"/>
                <w:b/>
                <w:sz w:val="21"/>
                <w:szCs w:val="21"/>
                <w:highlight w:val="none"/>
                <w:lang w:eastAsia="zh-CN"/>
              </w:rPr>
              <w:t>本人已经阅</w:t>
            </w:r>
            <w:r>
              <w:rPr>
                <w:rFonts w:hint="eastAsia" w:ascii="仿宋_GB2312" w:hAnsi="宋体" w:eastAsia="仿宋_GB2312" w:cs="宋体"/>
                <w:b/>
                <w:spacing w:val="2"/>
                <w:sz w:val="21"/>
                <w:szCs w:val="21"/>
                <w:highlight w:val="none"/>
                <w:lang w:eastAsia="zh-CN"/>
              </w:rPr>
              <w:t>读《理财</w:t>
            </w:r>
            <w:r>
              <w:rPr>
                <w:rFonts w:hint="eastAsia" w:ascii="仿宋_GB2312" w:hAnsi="宋体" w:eastAsia="仿宋_GB2312" w:cs="宋体"/>
                <w:b/>
                <w:sz w:val="21"/>
                <w:szCs w:val="21"/>
                <w:highlight w:val="none"/>
                <w:lang w:eastAsia="zh-CN"/>
              </w:rPr>
              <w:t>产品协议》《信息授权书（理财业务版）》《投资者权</w:t>
            </w:r>
            <w:r>
              <w:rPr>
                <w:rFonts w:hint="eastAsia" w:ascii="仿宋_GB2312" w:hAnsi="宋体" w:eastAsia="仿宋_GB2312" w:cs="宋体"/>
                <w:b/>
                <w:spacing w:val="2"/>
                <w:sz w:val="21"/>
                <w:szCs w:val="21"/>
                <w:highlight w:val="none"/>
                <w:lang w:eastAsia="zh-CN"/>
              </w:rPr>
              <w:t>益</w:t>
            </w:r>
            <w:r>
              <w:rPr>
                <w:rFonts w:hint="eastAsia" w:ascii="仿宋_GB2312" w:hAnsi="宋体" w:eastAsia="仿宋_GB2312" w:cs="宋体"/>
                <w:b/>
                <w:sz w:val="21"/>
                <w:szCs w:val="21"/>
                <w:highlight w:val="none"/>
                <w:lang w:eastAsia="zh-CN"/>
              </w:rPr>
              <w:t>须知》《</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3"/>
                <w:sz w:val="21"/>
                <w:szCs w:val="21"/>
                <w:highlight w:val="none"/>
                <w:lang w:eastAsia="zh-CN"/>
              </w:rPr>
              <w:t>揭</w:t>
            </w:r>
            <w:r>
              <w:rPr>
                <w:rFonts w:hint="eastAsia" w:ascii="仿宋_GB2312" w:hAnsi="宋体" w:eastAsia="仿宋_GB2312" w:cs="宋体"/>
                <w:b/>
                <w:sz w:val="21"/>
                <w:szCs w:val="21"/>
                <w:highlight w:val="none"/>
                <w:lang w:eastAsia="zh-CN"/>
              </w:rPr>
              <w:t>示</w:t>
            </w:r>
            <w:r>
              <w:rPr>
                <w:rFonts w:hint="eastAsia" w:ascii="仿宋_GB2312" w:hAnsi="宋体" w:eastAsia="仿宋_GB2312" w:cs="宋体"/>
                <w:b/>
                <w:spacing w:val="-3"/>
                <w:sz w:val="21"/>
                <w:szCs w:val="21"/>
                <w:highlight w:val="none"/>
                <w:lang w:eastAsia="zh-CN"/>
              </w:rPr>
              <w:t>书</w:t>
            </w:r>
            <w:r>
              <w:rPr>
                <w:rFonts w:hint="eastAsia" w:ascii="仿宋_GB2312" w:hAnsi="宋体" w:eastAsia="仿宋_GB2312" w:cs="宋体"/>
                <w:b/>
                <w:sz w:val="21"/>
                <w:szCs w:val="21"/>
                <w:highlight w:val="none"/>
                <w:lang w:eastAsia="zh-CN"/>
              </w:rPr>
              <w:t>》及</w:t>
            </w:r>
            <w:r>
              <w:rPr>
                <w:rFonts w:hint="eastAsia" w:ascii="仿宋_GB2312" w:hAnsi="宋体" w:eastAsia="仿宋_GB2312" w:cs="宋体"/>
                <w:b/>
                <w:spacing w:val="-3"/>
                <w:sz w:val="21"/>
                <w:szCs w:val="21"/>
                <w:highlight w:val="none"/>
                <w:lang w:eastAsia="zh-CN"/>
              </w:rPr>
              <w:t>本</w:t>
            </w:r>
            <w:r>
              <w:rPr>
                <w:rFonts w:hint="eastAsia" w:ascii="仿宋_GB2312" w:hAnsi="宋体" w:eastAsia="仿宋_GB2312" w:cs="宋体"/>
                <w:b/>
                <w:sz w:val="21"/>
                <w:szCs w:val="21"/>
                <w:highlight w:val="none"/>
                <w:lang w:eastAsia="zh-CN"/>
              </w:rPr>
              <w:t>期</w:t>
            </w:r>
            <w:r>
              <w:rPr>
                <w:rFonts w:hint="eastAsia" w:ascii="仿宋_GB2312" w:hAnsi="宋体" w:eastAsia="仿宋_GB2312" w:cs="宋体"/>
                <w:b/>
                <w:spacing w:val="-3"/>
                <w:sz w:val="21"/>
                <w:szCs w:val="21"/>
                <w:highlight w:val="none"/>
                <w:lang w:eastAsia="zh-CN"/>
              </w:rPr>
              <w:t>产</w:t>
            </w:r>
            <w:r>
              <w:rPr>
                <w:rFonts w:hint="eastAsia" w:ascii="仿宋_GB2312" w:hAnsi="宋体" w:eastAsia="仿宋_GB2312" w:cs="宋体"/>
                <w:b/>
                <w:sz w:val="21"/>
                <w:szCs w:val="21"/>
                <w:highlight w:val="none"/>
                <w:lang w:eastAsia="zh-CN"/>
              </w:rPr>
              <w:t>品</w:t>
            </w:r>
            <w:r>
              <w:rPr>
                <w:rFonts w:hint="eastAsia" w:ascii="仿宋_GB2312" w:hAnsi="宋体" w:eastAsia="仿宋_GB2312" w:cs="宋体"/>
                <w:b/>
                <w:sz w:val="21"/>
                <w:szCs w:val="21"/>
                <w:highlight w:val="none"/>
                <w:lang w:val="en-US" w:eastAsia="zh-CN"/>
              </w:rPr>
              <w:t>的</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说</w:t>
            </w:r>
            <w:r>
              <w:rPr>
                <w:rFonts w:hint="eastAsia" w:ascii="仿宋_GB2312" w:hAnsi="宋体" w:eastAsia="仿宋_GB2312" w:cs="宋体"/>
                <w:b/>
                <w:spacing w:val="-3"/>
                <w:sz w:val="21"/>
                <w:szCs w:val="21"/>
                <w:highlight w:val="none"/>
                <w:lang w:eastAsia="zh-CN"/>
              </w:rPr>
              <w:t>明</w:t>
            </w:r>
            <w:r>
              <w:rPr>
                <w:rFonts w:hint="eastAsia" w:ascii="仿宋_GB2312" w:hAnsi="宋体" w:eastAsia="仿宋_GB2312" w:cs="宋体"/>
                <w:b/>
                <w:sz w:val="21"/>
                <w:szCs w:val="21"/>
                <w:highlight w:val="none"/>
                <w:lang w:eastAsia="zh-CN"/>
              </w:rPr>
              <w:t>书》所有条款</w:t>
            </w:r>
            <w:r>
              <w:rPr>
                <w:rFonts w:hint="eastAsia" w:ascii="仿宋_GB2312" w:hAnsi="宋体" w:eastAsia="仿宋_GB2312" w:cs="宋体"/>
                <w:b/>
                <w:spacing w:val="-3"/>
                <w:sz w:val="21"/>
                <w:szCs w:val="21"/>
                <w:highlight w:val="none"/>
                <w:lang w:eastAsia="zh-CN"/>
              </w:rPr>
              <w:t>，</w:t>
            </w:r>
            <w:r>
              <w:rPr>
                <w:rFonts w:hint="eastAsia" w:ascii="仿宋_GB2312" w:hAnsi="宋体" w:eastAsia="仿宋_GB2312" w:cs="宋体"/>
                <w:b/>
                <w:sz w:val="21"/>
                <w:szCs w:val="21"/>
                <w:highlight w:val="none"/>
                <w:lang w:eastAsia="zh-CN"/>
              </w:rPr>
              <w:t>充</w:t>
            </w:r>
            <w:r>
              <w:rPr>
                <w:rFonts w:hint="eastAsia" w:ascii="仿宋_GB2312" w:hAnsi="宋体" w:eastAsia="仿宋_GB2312" w:cs="宋体"/>
                <w:b/>
                <w:spacing w:val="-3"/>
                <w:sz w:val="21"/>
                <w:szCs w:val="21"/>
                <w:highlight w:val="none"/>
                <w:lang w:eastAsia="zh-CN"/>
              </w:rPr>
              <w:t>分</w:t>
            </w:r>
            <w:r>
              <w:rPr>
                <w:rFonts w:hint="eastAsia" w:ascii="仿宋_GB2312" w:hAnsi="宋体" w:eastAsia="仿宋_GB2312" w:cs="宋体"/>
                <w:b/>
                <w:sz w:val="21"/>
                <w:szCs w:val="21"/>
                <w:highlight w:val="none"/>
                <w:lang w:eastAsia="zh-CN"/>
              </w:rPr>
              <w:t>理解</w:t>
            </w:r>
            <w:r>
              <w:rPr>
                <w:rFonts w:hint="eastAsia" w:ascii="仿宋_GB2312" w:hAnsi="宋体" w:eastAsia="仿宋_GB2312" w:cs="宋体"/>
                <w:b/>
                <w:spacing w:val="-3"/>
                <w:sz w:val="21"/>
                <w:szCs w:val="21"/>
                <w:highlight w:val="none"/>
                <w:lang w:eastAsia="zh-CN"/>
              </w:rPr>
              <w:t>并同意前述所有协议条款，</w:t>
            </w:r>
            <w:r>
              <w:rPr>
                <w:rFonts w:hint="eastAsia" w:ascii="仿宋_GB2312" w:hAnsi="宋体" w:eastAsia="仿宋_GB2312" w:cs="宋体"/>
                <w:b/>
                <w:sz w:val="21"/>
                <w:szCs w:val="21"/>
                <w:highlight w:val="none"/>
                <w:lang w:eastAsia="zh-CN"/>
              </w:rPr>
              <w:t>自</w:t>
            </w:r>
            <w:r>
              <w:rPr>
                <w:rFonts w:hint="eastAsia" w:ascii="仿宋_GB2312" w:hAnsi="宋体" w:eastAsia="仿宋_GB2312" w:cs="宋体"/>
                <w:b/>
                <w:spacing w:val="-3"/>
                <w:sz w:val="21"/>
                <w:szCs w:val="21"/>
                <w:highlight w:val="none"/>
                <w:lang w:eastAsia="zh-CN"/>
              </w:rPr>
              <w:t>愿</w:t>
            </w:r>
            <w:r>
              <w:rPr>
                <w:rFonts w:hint="eastAsia" w:ascii="仿宋_GB2312" w:hAnsi="宋体" w:eastAsia="仿宋_GB2312" w:cs="宋体"/>
                <w:b/>
                <w:sz w:val="21"/>
                <w:szCs w:val="21"/>
                <w:highlight w:val="none"/>
                <w:lang w:eastAsia="zh-CN"/>
              </w:rPr>
              <w:t>承</w:t>
            </w:r>
            <w:r>
              <w:rPr>
                <w:rFonts w:hint="eastAsia" w:ascii="仿宋_GB2312" w:hAnsi="宋体" w:eastAsia="仿宋_GB2312" w:cs="宋体"/>
                <w:b/>
                <w:spacing w:val="-3"/>
                <w:sz w:val="21"/>
                <w:szCs w:val="21"/>
                <w:highlight w:val="none"/>
                <w:lang w:eastAsia="zh-CN"/>
              </w:rPr>
              <w:t>担</w:t>
            </w:r>
            <w:r>
              <w:rPr>
                <w:rFonts w:hint="eastAsia" w:ascii="仿宋_GB2312" w:hAnsi="宋体" w:eastAsia="仿宋_GB2312" w:cs="宋体"/>
                <w:b/>
                <w:sz w:val="21"/>
                <w:szCs w:val="21"/>
                <w:highlight w:val="none"/>
                <w:lang w:eastAsia="zh-CN"/>
              </w:rPr>
              <w:t>本</w:t>
            </w:r>
            <w:r>
              <w:rPr>
                <w:rFonts w:hint="eastAsia" w:ascii="仿宋_GB2312" w:hAnsi="宋体" w:eastAsia="仿宋_GB2312" w:cs="宋体"/>
                <w:b/>
                <w:spacing w:val="-3"/>
                <w:sz w:val="21"/>
                <w:szCs w:val="21"/>
                <w:highlight w:val="none"/>
                <w:lang w:eastAsia="zh-CN"/>
              </w:rPr>
              <w:t>期</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相关</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108"/>
                <w:sz w:val="21"/>
                <w:szCs w:val="21"/>
                <w:highlight w:val="none"/>
                <w:lang w:eastAsia="zh-CN"/>
              </w:rPr>
              <w:t>。</w:t>
            </w:r>
            <w:r>
              <w:rPr>
                <w:rFonts w:hint="eastAsia" w:ascii="仿宋_GB2312" w:hAnsi="宋体" w:eastAsia="仿宋_GB2312" w:cs="宋体"/>
                <w:sz w:val="21"/>
                <w:szCs w:val="21"/>
                <w:highlight w:val="none"/>
              </w:rPr>
              <w:t>）</w:t>
            </w:r>
          </w:p>
          <w:p w14:paraId="6950F688">
            <w:pPr>
              <w:rPr>
                <w:rFonts w:ascii="仿宋_GB2312" w:hAnsi="宋体" w:eastAsia="仿宋_GB2312" w:cs="宋体"/>
                <w:sz w:val="21"/>
                <w:szCs w:val="21"/>
                <w:highlight w:val="none"/>
                <w:lang w:eastAsia="zh-CN"/>
              </w:rPr>
            </w:pPr>
          </w:p>
          <w:p w14:paraId="5968F80E">
            <w:pPr>
              <w:rPr>
                <w:rFonts w:ascii="仿宋_GB2312" w:hAnsi="宋体" w:eastAsia="仿宋_GB2312" w:cs="宋体"/>
                <w:spacing w:val="-20"/>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签</w:t>
            </w:r>
            <w:r>
              <w:rPr>
                <w:rFonts w:hint="eastAsia" w:ascii="仿宋_GB2312" w:hAnsi="宋体" w:eastAsia="仿宋_GB2312" w:cs="宋体"/>
                <w:sz w:val="21"/>
                <w:szCs w:val="21"/>
                <w:highlight w:val="none"/>
                <w:lang w:eastAsia="zh-CN"/>
              </w:rPr>
              <w:t>名</w:t>
            </w:r>
            <w:r>
              <w:rPr>
                <w:rFonts w:hint="eastAsia" w:ascii="仿宋_GB2312" w:hAnsi="宋体" w:eastAsia="仿宋_GB2312" w:cs="宋体"/>
                <w:spacing w:val="-20"/>
                <w:sz w:val="21"/>
                <w:szCs w:val="21"/>
                <w:highlight w:val="none"/>
                <w:lang w:eastAsia="zh-CN"/>
              </w:rPr>
              <w:t>：</w:t>
            </w:r>
          </w:p>
          <w:p w14:paraId="26528F47">
            <w:pPr>
              <w:jc w:val="right"/>
              <w:rPr>
                <w:rFonts w:ascii="仿宋_GB2312" w:hAnsi="Times New Roman" w:eastAsia="仿宋_GB2312" w:cs="Times New Roman"/>
                <w:sz w:val="21"/>
                <w:szCs w:val="21"/>
                <w:highlight w:val="none"/>
                <w:lang w:eastAsia="zh-CN"/>
              </w:rPr>
            </w:pPr>
            <w:r>
              <w:rPr>
                <w:rFonts w:hint="eastAsia" w:ascii="仿宋_GB2312" w:hAnsi="宋体" w:eastAsia="仿宋_GB2312" w:cs="宋体"/>
                <w:sz w:val="21"/>
                <w:szCs w:val="21"/>
                <w:highlight w:val="none"/>
                <w:lang w:eastAsia="zh-CN"/>
              </w:rPr>
              <w:t>年      月     日</w:t>
            </w:r>
          </w:p>
        </w:tc>
      </w:tr>
    </w:tbl>
    <w:p w14:paraId="6D8A7539">
      <w:pPr>
        <w:ind w:right="131"/>
        <w:jc w:val="right"/>
        <w:rPr>
          <w:rFonts w:ascii="仿宋_GB2312" w:hAnsi="宋体" w:eastAsia="仿宋_GB2312" w:cs="Times New Roman"/>
          <w:sz w:val="21"/>
          <w:szCs w:val="24"/>
          <w:highlight w:val="none"/>
          <w:lang w:eastAsia="zh-CN"/>
        </w:rPr>
      </w:pPr>
    </w:p>
    <w:p w14:paraId="71D15AD0">
      <w:pPr>
        <w:ind w:right="131"/>
        <w:rPr>
          <w:rFonts w:ascii="Times New Roman" w:hAnsi="宋体" w:eastAsia="宋体" w:cs="Times New Roman"/>
          <w:sz w:val="24"/>
          <w:szCs w:val="24"/>
          <w:highlight w:val="none"/>
          <w:lang w:eastAsia="zh-CN"/>
        </w:rPr>
      </w:pPr>
    </w:p>
    <w:p w14:paraId="559D9328">
      <w:pPr>
        <w:ind w:right="131"/>
        <w:rPr>
          <w:rFonts w:ascii="Times New Roman" w:hAnsi="宋体" w:eastAsia="宋体" w:cs="Times New Roman"/>
          <w:sz w:val="24"/>
          <w:szCs w:val="24"/>
          <w:highlight w:val="none"/>
          <w:lang w:eastAsia="zh-CN"/>
        </w:rPr>
      </w:pPr>
    </w:p>
    <w:p w14:paraId="097847EB">
      <w:pPr>
        <w:ind w:left="139" w:right="1502"/>
        <w:rPr>
          <w:rFonts w:ascii="Times New Roman" w:hAnsi="宋体" w:eastAsia="宋体" w:cs="Times New Roman"/>
          <w:spacing w:val="-2"/>
          <w:sz w:val="21"/>
          <w:szCs w:val="21"/>
          <w:highlight w:val="none"/>
          <w:lang w:eastAsia="zh-CN"/>
        </w:rPr>
      </w:pPr>
    </w:p>
    <w:p w14:paraId="4E13373C">
      <w:pPr>
        <w:ind w:left="139" w:right="1502"/>
        <w:rPr>
          <w:rFonts w:ascii="Times New Roman" w:hAnsi="宋体" w:eastAsia="宋体" w:cs="Times New Roman"/>
          <w:spacing w:val="-2"/>
          <w:sz w:val="21"/>
          <w:szCs w:val="21"/>
          <w:highlight w:val="none"/>
          <w:lang w:eastAsia="zh-CN"/>
        </w:rPr>
      </w:pPr>
    </w:p>
    <w:p w14:paraId="51A5D8B2">
      <w:pPr>
        <w:ind w:left="139" w:right="1502"/>
        <w:rPr>
          <w:rFonts w:ascii="Times New Roman" w:hAnsi="宋体" w:eastAsia="宋体" w:cs="Times New Roman"/>
          <w:spacing w:val="-2"/>
          <w:sz w:val="21"/>
          <w:szCs w:val="21"/>
          <w:highlight w:val="none"/>
          <w:lang w:eastAsia="zh-CN"/>
        </w:rPr>
      </w:pPr>
    </w:p>
    <w:p w14:paraId="01874A9B">
      <w:pPr>
        <w:ind w:left="139" w:right="1502"/>
        <w:rPr>
          <w:rFonts w:ascii="Times New Roman" w:hAnsi="宋体" w:eastAsia="宋体" w:cs="Times New Roman"/>
          <w:spacing w:val="-2"/>
          <w:sz w:val="21"/>
          <w:szCs w:val="21"/>
          <w:highlight w:val="none"/>
          <w:lang w:eastAsia="zh-CN"/>
        </w:rPr>
      </w:pPr>
    </w:p>
    <w:p w14:paraId="61932B8A">
      <w:pPr>
        <w:ind w:left="139" w:right="1502"/>
        <w:rPr>
          <w:rFonts w:ascii="Times New Roman" w:hAnsi="宋体" w:eastAsia="宋体" w:cs="Times New Roman"/>
          <w:spacing w:val="-2"/>
          <w:sz w:val="21"/>
          <w:szCs w:val="21"/>
          <w:highlight w:val="none"/>
          <w:lang w:eastAsia="zh-CN"/>
        </w:rPr>
      </w:pPr>
    </w:p>
    <w:p w14:paraId="32B69E60">
      <w:pPr>
        <w:ind w:left="139" w:right="1502"/>
        <w:rPr>
          <w:rFonts w:ascii="Times New Roman" w:hAnsi="宋体" w:eastAsia="宋体" w:cs="Times New Roman"/>
          <w:spacing w:val="-2"/>
          <w:sz w:val="21"/>
          <w:szCs w:val="21"/>
          <w:highlight w:val="none"/>
          <w:lang w:eastAsia="zh-CN"/>
        </w:rPr>
      </w:pPr>
    </w:p>
    <w:p w14:paraId="5E8FF040">
      <w:pPr>
        <w:ind w:left="139" w:right="1502"/>
        <w:rPr>
          <w:rFonts w:ascii="Times New Roman" w:hAnsi="宋体" w:eastAsia="宋体" w:cs="Times New Roman"/>
          <w:spacing w:val="-2"/>
          <w:sz w:val="21"/>
          <w:szCs w:val="21"/>
          <w:highlight w:val="none"/>
          <w:lang w:eastAsia="zh-CN"/>
        </w:rPr>
      </w:pPr>
    </w:p>
    <w:p w14:paraId="56BE9426">
      <w:pPr>
        <w:ind w:left="139" w:right="1502"/>
        <w:rPr>
          <w:rFonts w:ascii="Times New Roman" w:hAnsi="宋体" w:eastAsia="宋体" w:cs="Times New Roman"/>
          <w:spacing w:val="-2"/>
          <w:sz w:val="21"/>
          <w:szCs w:val="21"/>
          <w:highlight w:val="none"/>
          <w:lang w:eastAsia="zh-CN"/>
        </w:rPr>
      </w:pPr>
    </w:p>
    <w:p w14:paraId="5147B501">
      <w:pPr>
        <w:ind w:left="139" w:right="1502"/>
        <w:rPr>
          <w:rFonts w:ascii="Times New Roman" w:hAnsi="宋体" w:eastAsia="宋体" w:cs="Times New Roman"/>
          <w:spacing w:val="-2"/>
          <w:sz w:val="21"/>
          <w:szCs w:val="21"/>
          <w:highlight w:val="none"/>
          <w:lang w:eastAsia="zh-CN"/>
        </w:rPr>
      </w:pPr>
    </w:p>
    <w:p w14:paraId="56894A4E">
      <w:pPr>
        <w:ind w:left="139" w:right="1502"/>
        <w:rPr>
          <w:rFonts w:ascii="Times New Roman" w:hAnsi="宋体" w:eastAsia="宋体" w:cs="Times New Roman"/>
          <w:spacing w:val="-2"/>
          <w:sz w:val="21"/>
          <w:szCs w:val="21"/>
          <w:highlight w:val="none"/>
          <w:lang w:eastAsia="zh-CN"/>
        </w:rPr>
      </w:pPr>
    </w:p>
    <w:p w14:paraId="76C428D6">
      <w:pPr>
        <w:ind w:left="139" w:right="1502"/>
        <w:rPr>
          <w:rFonts w:ascii="Times New Roman" w:hAnsi="宋体" w:eastAsia="宋体" w:cs="Times New Roman"/>
          <w:spacing w:val="-2"/>
          <w:sz w:val="21"/>
          <w:szCs w:val="21"/>
          <w:highlight w:val="none"/>
          <w:lang w:eastAsia="zh-CN"/>
        </w:rPr>
      </w:pPr>
    </w:p>
    <w:p w14:paraId="5F8C72C6">
      <w:pPr>
        <w:ind w:left="139" w:right="1502"/>
        <w:rPr>
          <w:rFonts w:ascii="Times New Roman" w:hAnsi="宋体" w:eastAsia="宋体" w:cs="Times New Roman"/>
          <w:spacing w:val="-2"/>
          <w:sz w:val="21"/>
          <w:szCs w:val="21"/>
          <w:highlight w:val="none"/>
          <w:lang w:eastAsia="zh-CN"/>
        </w:rPr>
      </w:pPr>
    </w:p>
    <w:p w14:paraId="05593AF7">
      <w:pPr>
        <w:ind w:left="139" w:right="1502"/>
        <w:rPr>
          <w:rFonts w:ascii="Times New Roman" w:hAnsi="宋体" w:eastAsia="宋体" w:cs="Times New Roman"/>
          <w:spacing w:val="-2"/>
          <w:sz w:val="21"/>
          <w:szCs w:val="21"/>
          <w:highlight w:val="none"/>
          <w:lang w:eastAsia="zh-CN"/>
        </w:rPr>
      </w:pPr>
    </w:p>
    <w:p w14:paraId="1303169A">
      <w:pPr>
        <w:ind w:left="139" w:right="1502"/>
        <w:rPr>
          <w:rFonts w:ascii="Times New Roman" w:hAnsi="宋体" w:eastAsia="宋体" w:cs="Times New Roman"/>
          <w:spacing w:val="-2"/>
          <w:sz w:val="21"/>
          <w:szCs w:val="21"/>
          <w:highlight w:val="none"/>
          <w:lang w:eastAsia="zh-CN"/>
        </w:rPr>
      </w:pPr>
    </w:p>
    <w:p w14:paraId="0EF47986">
      <w:pPr>
        <w:ind w:left="139" w:right="1502"/>
        <w:rPr>
          <w:rFonts w:ascii="Times New Roman" w:hAnsi="宋体" w:eastAsia="宋体" w:cs="Times New Roman"/>
          <w:spacing w:val="-2"/>
          <w:sz w:val="21"/>
          <w:szCs w:val="21"/>
          <w:highlight w:val="none"/>
          <w:lang w:eastAsia="zh-CN"/>
        </w:rPr>
      </w:pPr>
    </w:p>
    <w:p w14:paraId="620ADC48">
      <w:pPr>
        <w:ind w:left="139" w:right="1502"/>
        <w:rPr>
          <w:rFonts w:ascii="Times New Roman" w:hAnsi="宋体" w:eastAsia="宋体" w:cs="Times New Roman"/>
          <w:spacing w:val="-2"/>
          <w:sz w:val="21"/>
          <w:szCs w:val="21"/>
          <w:highlight w:val="none"/>
          <w:lang w:eastAsia="zh-CN"/>
        </w:rPr>
      </w:pPr>
    </w:p>
    <w:p w14:paraId="0483DE2B">
      <w:pPr>
        <w:ind w:left="139" w:right="1502"/>
        <w:rPr>
          <w:rFonts w:ascii="Times New Roman" w:hAnsi="宋体" w:eastAsia="宋体" w:cs="Times New Roman"/>
          <w:spacing w:val="-2"/>
          <w:sz w:val="21"/>
          <w:szCs w:val="21"/>
          <w:highlight w:val="none"/>
          <w:lang w:eastAsia="zh-CN"/>
        </w:rPr>
      </w:pPr>
    </w:p>
    <w:p w14:paraId="27AA7D28">
      <w:pPr>
        <w:ind w:left="139" w:right="1502"/>
        <w:rPr>
          <w:rFonts w:ascii="Times New Roman" w:hAnsi="宋体" w:eastAsia="宋体" w:cs="Times New Roman"/>
          <w:spacing w:val="-2"/>
          <w:sz w:val="21"/>
          <w:szCs w:val="21"/>
          <w:highlight w:val="none"/>
          <w:lang w:eastAsia="zh-CN"/>
        </w:rPr>
      </w:pPr>
    </w:p>
    <w:p w14:paraId="52A742F9">
      <w:pPr>
        <w:ind w:left="139" w:right="1502"/>
        <w:rPr>
          <w:rFonts w:ascii="Times New Roman" w:hAnsi="宋体" w:eastAsia="宋体" w:cs="Times New Roman"/>
          <w:spacing w:val="-2"/>
          <w:sz w:val="21"/>
          <w:szCs w:val="21"/>
          <w:highlight w:val="none"/>
          <w:lang w:eastAsia="zh-CN"/>
        </w:rPr>
      </w:pPr>
    </w:p>
    <w:p w14:paraId="25DF8568">
      <w:pPr>
        <w:ind w:left="139" w:right="1502"/>
        <w:rPr>
          <w:rFonts w:ascii="Times New Roman" w:hAnsi="宋体" w:eastAsia="宋体" w:cs="Times New Roman"/>
          <w:spacing w:val="-2"/>
          <w:sz w:val="21"/>
          <w:szCs w:val="21"/>
          <w:highlight w:val="none"/>
          <w:lang w:eastAsia="zh-CN"/>
        </w:rPr>
      </w:pPr>
    </w:p>
    <w:p w14:paraId="7BE6F899">
      <w:pPr>
        <w:ind w:left="139" w:right="1502"/>
        <w:rPr>
          <w:rFonts w:ascii="Times New Roman" w:hAnsi="宋体" w:eastAsia="宋体" w:cs="Times New Roman"/>
          <w:spacing w:val="-2"/>
          <w:sz w:val="21"/>
          <w:szCs w:val="21"/>
          <w:highlight w:val="none"/>
          <w:lang w:eastAsia="zh-CN"/>
        </w:rPr>
      </w:pPr>
    </w:p>
    <w:p w14:paraId="67CB3908">
      <w:pPr>
        <w:ind w:left="139" w:right="1502"/>
        <w:rPr>
          <w:rFonts w:ascii="Times New Roman" w:hAnsi="宋体" w:eastAsia="宋体" w:cs="Times New Roman"/>
          <w:spacing w:val="-2"/>
          <w:sz w:val="21"/>
          <w:szCs w:val="21"/>
          <w:highlight w:val="none"/>
          <w:lang w:eastAsia="zh-CN"/>
        </w:rPr>
      </w:pPr>
    </w:p>
    <w:p w14:paraId="0921F9B7">
      <w:pPr>
        <w:ind w:left="139" w:right="1502"/>
        <w:rPr>
          <w:rFonts w:ascii="Times New Roman" w:hAnsi="宋体" w:eastAsia="宋体" w:cs="Times New Roman"/>
          <w:spacing w:val="-2"/>
          <w:sz w:val="21"/>
          <w:szCs w:val="21"/>
          <w:highlight w:val="none"/>
          <w:lang w:eastAsia="zh-CN"/>
        </w:rPr>
      </w:pPr>
    </w:p>
    <w:p w14:paraId="37A88A5B">
      <w:pPr>
        <w:ind w:left="139" w:right="1502"/>
        <w:rPr>
          <w:rFonts w:ascii="Times New Roman" w:hAnsi="宋体" w:eastAsia="宋体" w:cs="Times New Roman"/>
          <w:spacing w:val="-2"/>
          <w:sz w:val="21"/>
          <w:szCs w:val="21"/>
          <w:highlight w:val="none"/>
          <w:lang w:eastAsia="zh-CN"/>
        </w:rPr>
      </w:pPr>
    </w:p>
    <w:p w14:paraId="45DD91B8">
      <w:pPr>
        <w:ind w:left="139" w:right="1502"/>
        <w:rPr>
          <w:rFonts w:ascii="Times New Roman" w:hAnsi="宋体" w:eastAsia="宋体" w:cs="Times New Roman"/>
          <w:spacing w:val="-2"/>
          <w:sz w:val="21"/>
          <w:szCs w:val="21"/>
          <w:highlight w:val="none"/>
          <w:lang w:eastAsia="zh-CN"/>
        </w:rPr>
      </w:pPr>
    </w:p>
    <w:p w14:paraId="703FDBBA">
      <w:pPr>
        <w:ind w:left="139" w:right="1502"/>
        <w:rPr>
          <w:rFonts w:ascii="Times New Roman" w:hAnsi="宋体" w:eastAsia="宋体" w:cs="Times New Roman"/>
          <w:spacing w:val="-2"/>
          <w:sz w:val="21"/>
          <w:szCs w:val="21"/>
          <w:highlight w:val="none"/>
          <w:lang w:eastAsia="zh-CN"/>
        </w:rPr>
      </w:pPr>
    </w:p>
    <w:p w14:paraId="61104FE2">
      <w:pPr>
        <w:ind w:left="139" w:right="1502"/>
        <w:rPr>
          <w:rFonts w:ascii="Times New Roman" w:hAnsi="宋体" w:eastAsia="宋体" w:cs="Times New Roman"/>
          <w:spacing w:val="-2"/>
          <w:sz w:val="21"/>
          <w:szCs w:val="21"/>
          <w:highlight w:val="none"/>
          <w:lang w:eastAsia="zh-CN"/>
        </w:rPr>
      </w:pPr>
    </w:p>
    <w:p w14:paraId="6F67E5D0">
      <w:pPr>
        <w:ind w:left="139" w:right="1502"/>
        <w:rPr>
          <w:rFonts w:ascii="Times New Roman" w:hAnsi="宋体" w:eastAsia="宋体" w:cs="Times New Roman"/>
          <w:spacing w:val="-2"/>
          <w:sz w:val="21"/>
          <w:szCs w:val="21"/>
          <w:highlight w:val="none"/>
          <w:lang w:eastAsia="zh-CN"/>
        </w:rPr>
      </w:pPr>
    </w:p>
    <w:p w14:paraId="65BF27A3">
      <w:pPr>
        <w:ind w:left="139" w:right="1502"/>
        <w:rPr>
          <w:rFonts w:ascii="Times New Roman" w:hAnsi="宋体" w:eastAsia="宋体" w:cs="Times New Roman"/>
          <w:spacing w:val="-2"/>
          <w:sz w:val="21"/>
          <w:szCs w:val="21"/>
          <w:highlight w:val="none"/>
          <w:lang w:eastAsia="zh-CN"/>
        </w:rPr>
      </w:pPr>
    </w:p>
    <w:p w14:paraId="65CCC0FF">
      <w:pPr>
        <w:ind w:left="139" w:right="1502"/>
        <w:rPr>
          <w:rFonts w:ascii="Times New Roman" w:hAnsi="宋体" w:eastAsia="宋体" w:cs="Times New Roman"/>
          <w:spacing w:val="-2"/>
          <w:sz w:val="21"/>
          <w:szCs w:val="21"/>
          <w:highlight w:val="none"/>
          <w:lang w:eastAsia="zh-CN"/>
        </w:rPr>
      </w:pPr>
    </w:p>
    <w:p w14:paraId="273A0196">
      <w:pPr>
        <w:ind w:left="139" w:right="1502"/>
        <w:rPr>
          <w:rFonts w:ascii="Times New Roman" w:hAnsi="宋体" w:eastAsia="宋体" w:cs="Times New Roman"/>
          <w:spacing w:val="-2"/>
          <w:sz w:val="21"/>
          <w:szCs w:val="21"/>
          <w:highlight w:val="none"/>
          <w:lang w:eastAsia="zh-CN"/>
        </w:rPr>
      </w:pPr>
    </w:p>
    <w:p w14:paraId="202B2B2B">
      <w:pPr>
        <w:ind w:left="139" w:right="1502"/>
        <w:rPr>
          <w:rFonts w:ascii="Times New Roman" w:hAnsi="宋体" w:eastAsia="宋体" w:cs="Times New Roman"/>
          <w:spacing w:val="-2"/>
          <w:sz w:val="21"/>
          <w:szCs w:val="21"/>
          <w:highlight w:val="none"/>
          <w:lang w:eastAsia="zh-CN"/>
        </w:rPr>
      </w:pPr>
    </w:p>
    <w:p w14:paraId="7DC2FC7E">
      <w:pPr>
        <w:ind w:left="139" w:right="1502"/>
        <w:rPr>
          <w:rFonts w:ascii="Times New Roman" w:hAnsi="宋体" w:eastAsia="宋体" w:cs="Times New Roman"/>
          <w:spacing w:val="-2"/>
          <w:sz w:val="21"/>
          <w:szCs w:val="21"/>
          <w:highlight w:val="none"/>
          <w:lang w:eastAsia="zh-CN"/>
        </w:rPr>
      </w:pPr>
    </w:p>
    <w:p w14:paraId="3CEA6877">
      <w:pPr>
        <w:ind w:left="139" w:right="1502"/>
        <w:rPr>
          <w:rFonts w:ascii="Times New Roman" w:hAnsi="宋体" w:eastAsia="宋体" w:cs="Times New Roman"/>
          <w:spacing w:val="-2"/>
          <w:sz w:val="21"/>
          <w:szCs w:val="21"/>
          <w:highlight w:val="none"/>
          <w:lang w:eastAsia="zh-CN"/>
        </w:rPr>
      </w:pPr>
    </w:p>
    <w:p w14:paraId="395D18CC">
      <w:pPr>
        <w:ind w:left="139" w:right="1502"/>
        <w:rPr>
          <w:rFonts w:ascii="Times New Roman" w:hAnsi="宋体" w:eastAsia="宋体" w:cs="Times New Roman"/>
          <w:spacing w:val="-2"/>
          <w:sz w:val="21"/>
          <w:szCs w:val="21"/>
          <w:highlight w:val="none"/>
          <w:lang w:eastAsia="zh-CN"/>
        </w:rPr>
      </w:pPr>
    </w:p>
    <w:p w14:paraId="7AA42A7E">
      <w:pPr>
        <w:ind w:firstLine="2160" w:firstLineChars="600"/>
        <w:rPr>
          <w:rFonts w:hint="eastAsia" w:ascii="方正小标宋_GBK" w:hAnsi="方正小标宋_GBK" w:eastAsia="方正小标宋_GBK" w:cs="方正小标宋_GBK"/>
          <w:sz w:val="36"/>
          <w:szCs w:val="36"/>
          <w:highlight w:val="none"/>
          <w:lang w:eastAsia="zh-CN"/>
        </w:rPr>
      </w:pPr>
      <w:bookmarkStart w:id="0" w:name="_GoBack"/>
      <w:bookmarkEnd w:id="0"/>
      <w:r>
        <w:rPr>
          <w:rFonts w:hint="eastAsia" w:ascii="方正小标宋_GBK" w:hAnsi="方正小标宋_GBK" w:eastAsia="方正小标宋_GBK" w:cs="方正小标宋_GBK"/>
          <w:sz w:val="36"/>
          <w:szCs w:val="36"/>
          <w:highlight w:val="none"/>
          <w:lang w:eastAsia="zh-CN"/>
        </w:rPr>
        <w:t>信息授权书（理财业务版）</w:t>
      </w:r>
    </w:p>
    <w:p w14:paraId="61CCFBFD">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24CD168">
      <w:pPr>
        <w:pStyle w:val="3"/>
        <w:spacing w:before="0"/>
        <w:ind w:left="0" w:right="153"/>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尊敬的投资者：</w:t>
      </w:r>
    </w:p>
    <w:p w14:paraId="4B4C3E89">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val="0"/>
          <w:bCs w:val="0"/>
          <w:sz w:val="20"/>
          <w:highlight w:val="none"/>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highlight w:val="none"/>
          <w:lang w:eastAsia="zh-CN"/>
        </w:rPr>
        <w:t>为了保障您的合法权益，请您在</w:t>
      </w:r>
      <w:r>
        <w:rPr>
          <w:rFonts w:ascii="仿宋_GB2312" w:eastAsia="仿宋_GB2312" w:cs="Times New Roman" w:hAnsiTheme="minorEastAsia"/>
          <w:b/>
          <w:bCs/>
          <w:sz w:val="20"/>
          <w:highlight w:val="none"/>
          <w:lang w:eastAsia="zh-CN"/>
        </w:rPr>
        <w:t>签署</w:t>
      </w:r>
      <w:r>
        <w:rPr>
          <w:rFonts w:hint="eastAsia" w:ascii="仿宋_GB2312" w:eastAsia="仿宋_GB2312" w:cs="Times New Roman" w:hAnsiTheme="minorEastAsia"/>
          <w:b/>
          <w:bCs/>
          <w:sz w:val="20"/>
          <w:highlight w:val="none"/>
          <w:lang w:eastAsia="zh-CN"/>
        </w:rPr>
        <w:t>本授权书之前，务必审慎阅读本授权书</w:t>
      </w:r>
      <w:r>
        <w:rPr>
          <w:rFonts w:hint="eastAsia" w:ascii="仿宋_GB2312" w:eastAsia="仿宋_GB2312" w:cs="Times New Roman" w:hAnsiTheme="minorEastAsia"/>
          <w:b/>
          <w:bCs/>
          <w:sz w:val="20"/>
          <w:highlight w:val="none"/>
          <w:lang w:val="en-US" w:eastAsia="zh-CN"/>
        </w:rPr>
        <w:t>各</w:t>
      </w:r>
      <w:r>
        <w:rPr>
          <w:rFonts w:hint="eastAsia" w:ascii="仿宋_GB2312" w:eastAsia="仿宋_GB2312" w:cs="Times New Roman" w:hAnsiTheme="minorEastAsia"/>
          <w:b/>
          <w:bCs/>
          <w:sz w:val="20"/>
          <w:highlight w:val="none"/>
          <w:lang w:eastAsia="zh-CN"/>
        </w:rPr>
        <w:t>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highlight w:val="none"/>
          <w:lang w:val="en-US" w:eastAsia="zh-CN"/>
        </w:rPr>
        <w:t>与</w:t>
      </w:r>
      <w:r>
        <w:rPr>
          <w:rFonts w:hint="eastAsia" w:ascii="仿宋_GB2312" w:eastAsia="仿宋_GB2312" w:cs="Times New Roman" w:hAnsiTheme="minorEastAsia"/>
          <w:b/>
          <w:bCs/>
          <w:sz w:val="20"/>
          <w:highlight w:val="none"/>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0D212B65">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一、信息收集</w:t>
      </w:r>
    </w:p>
    <w:p w14:paraId="3878E7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在遵循合法、正当、必要原则的前提下，您在办理理财业务签约、购买理财产品、办理定投等业务时，您</w:t>
      </w:r>
      <w:r>
        <w:rPr>
          <w:rFonts w:hint="eastAsia" w:ascii="仿宋_GB2312" w:eastAsia="仿宋_GB2312" w:cs="Times New Roman" w:hAnsiTheme="minorEastAsia"/>
          <w:sz w:val="20"/>
          <w:highlight w:val="none"/>
          <w:lang w:val="en-US" w:eastAsia="zh-CN"/>
        </w:rPr>
        <w:t>不可撤销地</w:t>
      </w:r>
      <w:r>
        <w:rPr>
          <w:rFonts w:hint="eastAsia" w:ascii="仿宋_GB2312" w:eastAsia="仿宋_GB2312" w:cs="Times New Roman" w:hAnsiTheme="minorEastAsia"/>
          <w:sz w:val="20"/>
          <w:highlight w:val="none"/>
          <w:lang w:eastAsia="zh-CN"/>
        </w:rPr>
        <w:t>授权贵阳农商银行处理您的如下信息：</w:t>
      </w:r>
    </w:p>
    <w:p w14:paraId="12DAFEE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姓名、身份证号码、银行卡卡号、银行卡有效期、银行预留手机号等</w:t>
      </w:r>
      <w:r>
        <w:rPr>
          <w:rFonts w:hint="eastAsia" w:ascii="仿宋_GB2312" w:eastAsia="仿宋_GB2312" w:cs="Times New Roman" w:hAnsiTheme="minorEastAsia"/>
          <w:b/>
          <w:bCs/>
          <w:sz w:val="20"/>
          <w:highlight w:val="none"/>
          <w:lang w:val="en-US" w:eastAsia="zh-CN"/>
        </w:rPr>
        <w:t>与业务办理相关的</w:t>
      </w:r>
      <w:r>
        <w:rPr>
          <w:rFonts w:hint="eastAsia" w:ascii="仿宋_GB2312" w:eastAsia="仿宋_GB2312" w:cs="Times New Roman" w:hAnsiTheme="minorEastAsia"/>
          <w:b/>
          <w:bCs/>
          <w:sz w:val="20"/>
          <w:highlight w:val="none"/>
          <w:lang w:eastAsia="zh-CN"/>
        </w:rPr>
        <w:t>信息。</w:t>
      </w:r>
    </w:p>
    <w:p w14:paraId="027FC98C">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二、信息使用</w:t>
      </w:r>
    </w:p>
    <w:p w14:paraId="68353C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为完整地向您提供服务以及保护各方的合法权益，您理解和同意贵阳农商银行可能会将您的信息用于如下用途：</w:t>
      </w:r>
    </w:p>
    <w:p w14:paraId="7E57A0A7">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）采取密码验证、短信验证码等手段以便于验证您的身份，确保完成理财产品交易。</w:t>
      </w:r>
    </w:p>
    <w:p w14:paraId="2A0499A3">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78D3D06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highlight w:val="none"/>
          <w:lang w:val="en-US" w:eastAsia="zh-CN"/>
        </w:rPr>
        <w:t>授权书</w:t>
      </w:r>
      <w:r>
        <w:rPr>
          <w:rFonts w:hint="eastAsia" w:ascii="仿宋_GB2312" w:eastAsia="仿宋_GB2312" w:cs="Times New Roman" w:hAnsiTheme="minorEastAsia"/>
          <w:b/>
          <w:bCs/>
          <w:sz w:val="20"/>
          <w:highlight w:val="none"/>
          <w:lang w:eastAsia="zh-CN"/>
        </w:rPr>
        <w:t>提供的客服电话要求退订或在收到相关信息后按照信息提示的方式退订。</w:t>
      </w:r>
    </w:p>
    <w:p w14:paraId="4EE80537">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预防或阻止违法、违规的活动，如识别、打击洗钱、</w:t>
      </w:r>
      <w:r>
        <w:rPr>
          <w:rFonts w:hint="eastAsia" w:ascii="仿宋_GB2312" w:eastAsia="仿宋_GB2312" w:cs="Times New Roman" w:hAnsiTheme="minorEastAsia"/>
          <w:b/>
          <w:bCs/>
          <w:sz w:val="20"/>
          <w:highlight w:val="none"/>
          <w:lang w:val="en-US" w:eastAsia="zh-CN"/>
        </w:rPr>
        <w:t>恐怖融资、逃税</w:t>
      </w:r>
      <w:r>
        <w:rPr>
          <w:rFonts w:hint="eastAsia" w:ascii="仿宋_GB2312" w:eastAsia="仿宋_GB2312" w:cs="Times New Roman" w:hAnsiTheme="minorEastAsia"/>
          <w:b/>
          <w:bCs/>
          <w:sz w:val="20"/>
          <w:highlight w:val="none"/>
          <w:lang w:eastAsia="zh-CN"/>
        </w:rPr>
        <w:t>等。</w:t>
      </w:r>
    </w:p>
    <w:p w14:paraId="4E26C4E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（五）</w:t>
      </w:r>
      <w:r>
        <w:rPr>
          <w:rFonts w:hint="eastAsia" w:ascii="仿宋_GB2312" w:eastAsia="仿宋_GB2312" w:cs="Times New Roman" w:hAnsiTheme="minorEastAsia"/>
          <w:b/>
          <w:bCs/>
          <w:sz w:val="20"/>
          <w:highlight w:val="none"/>
          <w:lang w:eastAsia="zh-CN"/>
        </w:rPr>
        <w:t>为维护您的权益(例如预防或阻止非法或危及您人身、财产安全的活动)，或者为了解决服务提供方与您之间的争议。</w:t>
      </w:r>
    </w:p>
    <w:p w14:paraId="210EC8A3">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（六）</w:t>
      </w:r>
      <w:r>
        <w:rPr>
          <w:rFonts w:hint="eastAsia" w:ascii="仿宋_GB2312" w:eastAsia="仿宋_GB2312" w:cs="Times New Roman" w:hAnsiTheme="minorEastAsia"/>
          <w:b/>
          <w:bCs/>
          <w:sz w:val="20"/>
          <w:highlight w:val="none"/>
          <w:lang w:eastAsia="zh-CN"/>
        </w:rPr>
        <w:t>根据法律法规、政府机构、监管部门要求或其他经您另行明确同意的用途。</w:t>
      </w:r>
    </w:p>
    <w:p w14:paraId="457ADDD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三、信息提供</w:t>
      </w:r>
    </w:p>
    <w:p w14:paraId="0F339E4C">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highlight w:val="none"/>
          <w:lang w:eastAsia="zh-CN"/>
        </w:rPr>
        <w:t>，该等第三方将会在贵阳农商银行官方网站上进行公示，您可以在贵阳农商银行官方网站上查询:</w:t>
      </w:r>
    </w:p>
    <w:p w14:paraId="13B9AA9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一</w:t>
      </w:r>
      <w:r>
        <w:rPr>
          <w:rFonts w:hint="eastAsia" w:ascii="仿宋_GB2312" w:eastAsia="仿宋_GB2312" w:cs="Times New Roman" w:hAnsiTheme="minorEastAsia"/>
          <w:b/>
          <w:bCs/>
          <w:sz w:val="20"/>
          <w:highlight w:val="none"/>
          <w:lang w:eastAsia="zh-CN"/>
        </w:rPr>
        <w:t>）当向您提供的金融服务需要由贵阳农商银行与第三方共同提供时。</w:t>
      </w:r>
    </w:p>
    <w:p w14:paraId="68F0865D">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二</w:t>
      </w:r>
      <w:r>
        <w:rPr>
          <w:rFonts w:hint="eastAsia" w:ascii="仿宋_GB2312" w:eastAsia="仿宋_GB2312" w:cs="Times New Roman" w:hAnsiTheme="minorEastAsia"/>
          <w:b/>
          <w:bCs/>
          <w:sz w:val="20"/>
          <w:highlight w:val="none"/>
          <w:lang w:eastAsia="zh-CN"/>
        </w:rPr>
        <w:t>）用于核实您的身份、处理与您相关的争议、或维护您和/或贵阳农商银行的合法权益的特定情况。</w:t>
      </w:r>
    </w:p>
    <w:p w14:paraId="146A449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）向审计机构或审计监管机构提供审计所需的必要信息。</w:t>
      </w:r>
    </w:p>
    <w:p w14:paraId="3657D5EE">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）根据法律法规、政府机构及其监管部门的要求提供。</w:t>
      </w:r>
    </w:p>
    <w:p w14:paraId="73C786B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四、授权期限</w:t>
      </w:r>
    </w:p>
    <w:p w14:paraId="674D255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自您签署本授权书之日起，至贵阳农商银行与您的理财产品协议</w:t>
      </w:r>
      <w:r>
        <w:rPr>
          <w:rFonts w:hint="eastAsia" w:ascii="仿宋_GB2312" w:eastAsia="仿宋_GB2312" w:cs="Times New Roman" w:hAnsiTheme="minorEastAsia"/>
          <w:b/>
          <w:bCs/>
          <w:sz w:val="20"/>
          <w:highlight w:val="none"/>
          <w:lang w:val="en-US" w:eastAsia="zh-CN"/>
        </w:rPr>
        <w:t>项下全部义务</w:t>
      </w:r>
      <w:r>
        <w:rPr>
          <w:rFonts w:hint="eastAsia" w:ascii="仿宋_GB2312" w:eastAsia="仿宋_GB2312" w:cs="Times New Roman" w:hAnsiTheme="minorEastAsia"/>
          <w:b/>
          <w:bCs/>
          <w:sz w:val="20"/>
          <w:highlight w:val="none"/>
          <w:lang w:eastAsia="zh-CN"/>
        </w:rPr>
        <w:t>履行完毕之日止。</w:t>
      </w:r>
      <w:r>
        <w:rPr>
          <w:rFonts w:hint="eastAsia" w:ascii="仿宋_GB2312" w:eastAsia="仿宋_GB2312" w:cs="Times New Roman" w:hAnsiTheme="minorEastAsia"/>
          <w:sz w:val="20"/>
          <w:highlight w:val="none"/>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1DDE3B59">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五、信息安全</w:t>
      </w:r>
    </w:p>
    <w:p w14:paraId="1DEE962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在使用您信息时，贵阳农商银行会采取必要措施保障信息安全，防止信息非法泄露或不当使用。贵阳农商银行超出本授权范围进行数据查询和使用的一切后果及法律责任由贵阳农商银行</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承担。</w:t>
      </w:r>
    </w:p>
    <w:p w14:paraId="529738AD">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六、权利告知</w:t>
      </w:r>
    </w:p>
    <w:p w14:paraId="3506299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0BC6147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color w:val="auto"/>
          <w:sz w:val="20"/>
          <w:highlight w:val="none"/>
          <w:lang w:val="en-US" w:eastAsia="zh-CN"/>
        </w:rPr>
        <w:t>电话</w:t>
      </w:r>
      <w:r>
        <w:rPr>
          <w:rFonts w:hint="eastAsia" w:ascii="仿宋_GB2312" w:eastAsia="仿宋_GB2312" w:cs="Times New Roman" w:hAnsiTheme="minorEastAsia"/>
          <w:b/>
          <w:bCs/>
          <w:sz w:val="20"/>
          <w:highlight w:val="none"/>
          <w:lang w:eastAsia="zh-CN"/>
        </w:rPr>
        <w:t>0</w:t>
      </w:r>
      <w:r>
        <w:rPr>
          <w:rFonts w:ascii="仿宋_GB2312" w:eastAsia="仿宋_GB2312" w:cs="Times New Roman" w:hAnsiTheme="minorEastAsia"/>
          <w:b/>
          <w:bCs/>
          <w:sz w:val="20"/>
          <w:highlight w:val="none"/>
          <w:lang w:eastAsia="zh-CN"/>
        </w:rPr>
        <w:t>851-</w:t>
      </w:r>
      <w:r>
        <w:rPr>
          <w:rFonts w:hint="eastAsia" w:ascii="仿宋_GB2312" w:eastAsia="仿宋_GB2312" w:cs="Times New Roman" w:hAnsiTheme="minorEastAsia"/>
          <w:b/>
          <w:bCs/>
          <w:sz w:val="20"/>
          <w:highlight w:val="none"/>
          <w:lang w:eastAsia="zh-CN"/>
        </w:rPr>
        <w:t>96</w:t>
      </w:r>
      <w:r>
        <w:rPr>
          <w:rFonts w:hint="eastAsia" w:ascii="仿宋_GB2312" w:eastAsia="仿宋_GB2312" w:cs="Times New Roman" w:hAnsiTheme="minorEastAsia"/>
          <w:b/>
          <w:bCs/>
          <w:sz w:val="20"/>
          <w:highlight w:val="none"/>
          <w:lang w:val="en-US" w:eastAsia="zh-CN"/>
        </w:rPr>
        <w:t>688</w:t>
      </w:r>
      <w:r>
        <w:rPr>
          <w:rFonts w:hint="eastAsia" w:ascii="仿宋_GB2312" w:eastAsia="仿宋_GB2312" w:cs="Times New Roman" w:hAnsiTheme="minorEastAsia"/>
          <w:b/>
          <w:bCs/>
          <w:sz w:val="20"/>
          <w:highlight w:val="none"/>
          <w:lang w:eastAsia="zh-CN"/>
        </w:rPr>
        <w:t>联系以便为您处理。</w:t>
      </w:r>
    </w:p>
    <w:p w14:paraId="56611D4D">
      <w:pPr>
        <w:pStyle w:val="3"/>
        <w:spacing w:before="0"/>
        <w:ind w:left="0" w:right="153"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七、责任限制</w:t>
      </w:r>
    </w:p>
    <w:p w14:paraId="00B6ABB1">
      <w:pPr>
        <w:ind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在本授权书存续期内，若有权机关要求查询您的个人信息的，贵阳农商银行将依法履行配合查询义务，在法律法规无禁止性规定或有权机关未要求保密的前提下，</w:t>
      </w:r>
      <w:r>
        <w:rPr>
          <w:rFonts w:hint="eastAsia" w:ascii="仿宋_GB2312" w:eastAsia="仿宋_GB2312" w:cs="Times New Roman" w:hAnsiTheme="minorEastAsia"/>
          <w:b/>
          <w:bCs/>
          <w:sz w:val="20"/>
          <w:highlight w:val="none"/>
          <w:lang w:eastAsia="zh-CN"/>
        </w:rPr>
        <w:t>贵阳农商银行</w:t>
      </w:r>
      <w:r>
        <w:rPr>
          <w:rFonts w:hint="eastAsia" w:ascii="仿宋_GB2312" w:eastAsia="仿宋_GB2312" w:cs="Times New Roman" w:hAnsiTheme="minorEastAsia"/>
          <w:b/>
          <w:bCs/>
          <w:sz w:val="20"/>
          <w:highlight w:val="none"/>
          <w:lang w:val="en-US" w:eastAsia="zh-CN"/>
        </w:rPr>
        <w:t>可以向您告知。</w:t>
      </w:r>
    </w:p>
    <w:p w14:paraId="346154E1">
      <w:pPr>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八、授权人声明已知悉并理解本授权书所有内容(特别是加粗字体内容)以及由此产生的法律效力，并同意上述条款所载内容。</w:t>
      </w:r>
    </w:p>
    <w:p w14:paraId="712188A5">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九、本授权书为纸质的，经您签署后生效；本授权书为电子形式的，经您在贵阳农商银行</w:t>
      </w:r>
      <w:r>
        <w:rPr>
          <w:rFonts w:hint="eastAsia" w:ascii="仿宋_GB2312" w:eastAsia="仿宋_GB2312" w:cs="Times New Roman" w:hAnsiTheme="minorEastAsia"/>
          <w:b/>
          <w:bCs/>
          <w:sz w:val="20"/>
          <w:highlight w:val="none"/>
          <w:lang w:val="en-US" w:eastAsia="zh-CN"/>
        </w:rPr>
        <w:t>电子渠道</w:t>
      </w:r>
      <w:r>
        <w:rPr>
          <w:rFonts w:hint="eastAsia" w:ascii="仿宋_GB2312" w:eastAsia="仿宋_GB2312" w:cs="Times New Roman" w:hAnsiTheme="minorEastAsia"/>
          <w:b/>
          <w:bCs/>
          <w:sz w:val="20"/>
          <w:highlight w:val="none"/>
          <w:lang w:eastAsia="zh-CN"/>
        </w:rPr>
        <w:t>页面上勾选确认后生效。</w:t>
      </w:r>
    </w:p>
    <w:p w14:paraId="1BA26AF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十、特别提示</w:t>
      </w:r>
    </w:p>
    <w:p w14:paraId="6793EB7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0851-96</w:t>
      </w:r>
      <w:r>
        <w:rPr>
          <w:rFonts w:hint="eastAsia" w:ascii="仿宋_GB2312" w:eastAsia="仿宋_GB2312" w:cs="Times New Roman"/>
          <w:b/>
          <w:bCs/>
          <w:color w:val="auto"/>
          <w:sz w:val="20"/>
          <w:highlight w:val="none"/>
          <w:lang w:val="en-US" w:eastAsia="zh-CN"/>
        </w:rPr>
        <w:t>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48DF1CE3">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6D5A6CDF">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04FCD4DB">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AA89056">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052965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4306D6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7EAEA1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13FD8F0">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6A6122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授权人(签名):                                    </w:t>
      </w:r>
    </w:p>
    <w:p w14:paraId="0BA33BD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证件号码:                              </w:t>
      </w:r>
    </w:p>
    <w:p w14:paraId="4371A31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证件类型:□身份证□临时身份证□其他                     </w:t>
      </w:r>
    </w:p>
    <w:p w14:paraId="1AEA3F21">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授权日期：   年   月   日</w:t>
      </w:r>
    </w:p>
    <w:p w14:paraId="5717889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493E38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B01894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CF5875E">
      <w:pPr>
        <w:pStyle w:val="3"/>
        <w:spacing w:before="0"/>
        <w:ind w:left="0" w:right="151"/>
        <w:jc w:val="both"/>
        <w:rPr>
          <w:rFonts w:ascii="Times New Roman" w:hAnsi="Times New Roman" w:cs="Times New Roman" w:eastAsiaTheme="minorEastAsia"/>
          <w:highlight w:val="none"/>
          <w:lang w:eastAsia="zh-CN"/>
        </w:rPr>
      </w:pPr>
    </w:p>
    <w:p w14:paraId="78C6390D"/>
    <w:p w14:paraId="5975484A">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3997"/>
    </w:sdtPr>
    <w:sdtContent>
      <w:p w14:paraId="25793385">
        <w:pPr>
          <w:pStyle w:val="5"/>
          <w:jc w:val="center"/>
        </w:pPr>
        <w:r>
          <w:fldChar w:fldCharType="begin"/>
        </w:r>
        <w:r>
          <w:instrText xml:space="preserve"> PAGE   \* MERGEFORMAT </w:instrText>
        </w:r>
        <w:r>
          <w:fldChar w:fldCharType="separate"/>
        </w:r>
        <w:r>
          <w:rPr>
            <w:lang w:val="zh-CN"/>
          </w:rPr>
          <w:t>4</w:t>
        </w:r>
        <w:r>
          <w:rPr>
            <w:lang w:val="zh-CN"/>
          </w:rPr>
          <w:fldChar w:fldCharType="end"/>
        </w:r>
      </w:p>
    </w:sdtContent>
  </w:sdt>
  <w:p w14:paraId="0243CBCA">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30F3">
    <w:pPr>
      <w:pStyle w:val="5"/>
      <w:jc w:val="center"/>
    </w:pPr>
    <w:r>
      <w:fldChar w:fldCharType="begin"/>
    </w:r>
    <w:r>
      <w:instrText xml:space="preserve"> PAGE   \* MERGEFORMAT </w:instrText>
    </w:r>
    <w:r>
      <w:fldChar w:fldCharType="separate"/>
    </w:r>
    <w:r>
      <w:rPr>
        <w:lang w:val="zh-CN"/>
      </w:rPr>
      <w:t>15</w:t>
    </w:r>
    <w:r>
      <w:rPr>
        <w:lang w:val="zh-CN"/>
      </w:rPr>
      <w:fldChar w:fldCharType="end"/>
    </w:r>
  </w:p>
  <w:p w14:paraId="7D877ADB">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2A1651"/>
    <w:multiLevelType w:val="singleLevel"/>
    <w:tmpl w:val="5D2A165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34090"/>
    <w:rsid w:val="01665CD0"/>
    <w:rsid w:val="077B52A3"/>
    <w:rsid w:val="0DA8433F"/>
    <w:rsid w:val="14C43E6F"/>
    <w:rsid w:val="1D4A266D"/>
    <w:rsid w:val="1E8C402A"/>
    <w:rsid w:val="1F4123A3"/>
    <w:rsid w:val="20DD7BBC"/>
    <w:rsid w:val="27A33803"/>
    <w:rsid w:val="280C303E"/>
    <w:rsid w:val="2A114FB3"/>
    <w:rsid w:val="2B3F4CCE"/>
    <w:rsid w:val="2F790BD4"/>
    <w:rsid w:val="32EE7A36"/>
    <w:rsid w:val="35D74D4E"/>
    <w:rsid w:val="398A26C1"/>
    <w:rsid w:val="449452DA"/>
    <w:rsid w:val="44B1352F"/>
    <w:rsid w:val="46406132"/>
    <w:rsid w:val="483A34C3"/>
    <w:rsid w:val="4A396CAD"/>
    <w:rsid w:val="4EE2217A"/>
    <w:rsid w:val="4FEC5B9E"/>
    <w:rsid w:val="542470F7"/>
    <w:rsid w:val="56700D40"/>
    <w:rsid w:val="57783AC4"/>
    <w:rsid w:val="58FE01AC"/>
    <w:rsid w:val="59AD2E9B"/>
    <w:rsid w:val="5EF857E8"/>
    <w:rsid w:val="62880B22"/>
    <w:rsid w:val="63DA6F9E"/>
    <w:rsid w:val="650E00AE"/>
    <w:rsid w:val="65DD3369"/>
    <w:rsid w:val="6B122275"/>
    <w:rsid w:val="6C396815"/>
    <w:rsid w:val="6C856CD0"/>
    <w:rsid w:val="6D2A2982"/>
    <w:rsid w:val="71CE33D4"/>
    <w:rsid w:val="742224EB"/>
    <w:rsid w:val="755608C5"/>
    <w:rsid w:val="79CD6947"/>
    <w:rsid w:val="79D35F1A"/>
    <w:rsid w:val="7BED18A6"/>
    <w:rsid w:val="7DBA6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Body Text Indent"/>
    <w:basedOn w:val="1"/>
    <w:unhideWhenUsed/>
    <w:qFormat/>
    <w:uiPriority w:val="0"/>
    <w:pPr>
      <w:spacing w:after="120"/>
      <w:ind w:left="420" w:leftChars="200"/>
    </w:pPr>
    <w:rPr>
      <w:rFonts w:hint="eastAsia"/>
      <w:sz w:val="20"/>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Body Text First Indent 2"/>
    <w:basedOn w:val="4"/>
    <w:next w:val="3"/>
    <w:unhideWhenUsed/>
    <w:qFormat/>
    <w:uiPriority w:val="0"/>
    <w:pPr>
      <w:ind w:left="0" w:firstLine="420"/>
    </w:pPr>
    <w:rPr>
      <w:rFonts w:ascii="仿宋_GB2312"/>
      <w:sz w:val="32"/>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annotation reference"/>
    <w:basedOn w:val="9"/>
    <w:semiHidden/>
    <w:unhideWhenUsed/>
    <w:qFormat/>
    <w:uiPriority w:val="99"/>
    <w:rPr>
      <w:sz w:val="21"/>
      <w:szCs w:val="21"/>
    </w:rPr>
  </w:style>
  <w:style w:type="paragraph" w:customStyle="1" w:styleId="11">
    <w:name w:val="Table Paragraph"/>
    <w:basedOn w:val="1"/>
    <w:qFormat/>
    <w:uiPriority w:val="1"/>
  </w:style>
  <w:style w:type="table" w:customStyle="1" w:styleId="12">
    <w:name w:val="Table Normal"/>
    <w:semiHidden/>
    <w:unhideWhenUsed/>
    <w:qFormat/>
    <w:uiPriority w:val="2"/>
    <w:tblPr>
      <w:tblCellMar>
        <w:top w:w="0" w:type="dxa"/>
        <w:left w:w="0" w:type="dxa"/>
        <w:bottom w:w="0" w:type="dxa"/>
        <w:right w:w="0" w:type="dxa"/>
      </w:tblCellMar>
    </w:tblPr>
  </w:style>
  <w:style w:type="paragraph" w:customStyle="1" w:styleId="13">
    <w:name w:val="标题 21"/>
    <w:basedOn w:val="1"/>
    <w:qFormat/>
    <w:uiPriority w:val="1"/>
    <w:pPr>
      <w:ind w:left="602"/>
      <w:outlineLvl w:val="2"/>
    </w:pPr>
    <w:rPr>
      <w:rFonts w:ascii="宋体" w:hAnsi="宋体" w:eastAsia="宋体"/>
      <w:sz w:val="24"/>
      <w:szCs w:val="24"/>
    </w:rPr>
  </w:style>
  <w:style w:type="paragraph" w:customStyle="1" w:styleId="14">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5">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19773</Words>
  <Characters>20538</Characters>
  <Lines>0</Lines>
  <Paragraphs>0</Paragraphs>
  <TotalTime>7</TotalTime>
  <ScaleCrop>false</ScaleCrop>
  <LinksUpToDate>false</LinksUpToDate>
  <CharactersWithSpaces>21002</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2025-08-27T07:05:00Z</dcterms:created>
  <dc:creator>Lenovo</dc:creator>
  <cp:lastModifiedBy>汪雁翔</cp:lastModifiedBy>
  <dcterms:modified xsi:type="dcterms:W3CDTF">2026-10-22T01:42:18Z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DB416E6DE17D4F97B67CE843B994C916_13</vt:lpwstr>
  </property>
</Properties>
</file>