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76B0C">
      <w:pPr>
        <w:jc w:val="left"/>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4</w:t>
      </w:r>
      <w:r>
        <w:rPr>
          <w:rFonts w:hint="eastAsia" w:ascii="Times New Roman" w:hAnsi="Times New Roman" w:eastAsia="黑体" w:cs="Times New Roman"/>
          <w:sz w:val="32"/>
          <w:szCs w:val="32"/>
          <w:lang w:val="en-US" w:eastAsia="zh-CN"/>
        </w:rPr>
        <w:t>-2</w:t>
      </w:r>
    </w:p>
    <w:p w14:paraId="5F089166">
      <w:pPr>
        <w:spacing w:line="560" w:lineRule="exact"/>
        <w:jc w:val="center"/>
        <w:rPr>
          <w:rFonts w:ascii="Times New Roman" w:hAnsi="Times New Roman" w:eastAsia="仿宋_GB2312" w:cs="Times New Roman"/>
          <w:szCs w:val="21"/>
        </w:rPr>
      </w:pPr>
      <w:r>
        <w:rPr>
          <w:rFonts w:ascii="Times New Roman" w:hAnsi="Times New Roman" w:eastAsia="方正小标宋简体" w:cs="Times New Roman"/>
          <w:bCs/>
          <w:sz w:val="44"/>
          <w:szCs w:val="44"/>
        </w:rPr>
        <w:t>授权委托书</w:t>
      </w:r>
    </w:p>
    <w:p w14:paraId="24F1EA4B">
      <w:pPr>
        <w:spacing w:line="560" w:lineRule="exact"/>
        <w:ind w:firstLine="640" w:firstLineChars="200"/>
        <w:rPr>
          <w:rFonts w:ascii="Times New Roman" w:hAnsi="Times New Roman" w:eastAsia="仿宋_GB2312" w:cs="Times New Roman"/>
          <w:sz w:val="32"/>
          <w:szCs w:val="32"/>
        </w:rPr>
      </w:pPr>
    </w:p>
    <w:p w14:paraId="3944674D">
      <w:pPr>
        <w:spacing w:line="560" w:lineRule="exact"/>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u w:val="none"/>
          <w:lang w:val="en-US" w:eastAsia="zh-CN"/>
        </w:rPr>
        <w:t>本人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（身份证号码：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，持有股份</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股）</w:t>
      </w:r>
      <w:r>
        <w:rPr>
          <w:rFonts w:hint="eastAsia" w:ascii="仿宋_GB2312" w:hAnsi="仿宋_GB2312" w:eastAsia="仿宋_GB2312" w:cs="仿宋_GB2312"/>
          <w:sz w:val="32"/>
          <w:szCs w:val="32"/>
        </w:rPr>
        <w:t>兹委托</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eastAsia="zh-CN"/>
        </w:rPr>
        <w:t>（先生</w:t>
      </w:r>
      <w:r>
        <w:rPr>
          <w:rFonts w:hint="eastAsia" w:ascii="仿宋_GB2312" w:hAnsi="仿宋_GB2312" w:eastAsia="仿宋_GB2312" w:cs="仿宋_GB2312"/>
          <w:sz w:val="32"/>
          <w:szCs w:val="32"/>
          <w:u w:val="none"/>
          <w:lang w:val="en-US" w:eastAsia="zh-CN"/>
        </w:rPr>
        <w:t>/女士）（身份证号码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）作为</w:t>
      </w:r>
      <w:r>
        <w:rPr>
          <w:rFonts w:hint="eastAsia" w:ascii="Times New Roman" w:hAnsi="Times New Roman" w:eastAsia="仿宋_GB2312" w:cs="Times New Roman"/>
          <w:sz w:val="32"/>
          <w:szCs w:val="32"/>
        </w:rPr>
        <w:t>本人的</w:t>
      </w:r>
      <w:r>
        <w:rPr>
          <w:rFonts w:ascii="Times New Roman" w:hAnsi="Times New Roman" w:eastAsia="仿宋_GB2312" w:cs="Times New Roman"/>
          <w:sz w:val="32"/>
          <w:szCs w:val="32"/>
        </w:rPr>
        <w:t>代理人出席贵州铜仁农村商业银行股份有限公司成立大会暨股东会第一次会议（以下简称“本次会议”）并行使表决权。</w:t>
      </w:r>
    </w:p>
    <w:p w14:paraId="42F501F2">
      <w:pPr>
        <w:spacing w:line="560" w:lineRule="exact"/>
        <w:ind w:firstLine="640" w:firstLineChars="200"/>
        <w:rPr>
          <w:rFonts w:ascii="Times New Roman" w:hAnsi="Times New Roman" w:cs="Times New Roman"/>
        </w:rPr>
      </w:pPr>
      <w:r>
        <w:rPr>
          <w:rFonts w:ascii="Times New Roman" w:hAnsi="Times New Roman" w:eastAsia="仿宋_GB2312" w:cs="Times New Roman"/>
          <w:sz w:val="32"/>
          <w:szCs w:val="32"/>
        </w:rPr>
        <w:t>一、代理人有权对《关于</w:t>
      </w:r>
      <w:r>
        <w:rPr>
          <w:rFonts w:hint="eastAsia" w:ascii="Times New Roman" w:hAnsi="Times New Roman" w:eastAsia="仿宋_GB2312" w:cs="Times New Roman"/>
          <w:sz w:val="32"/>
          <w:szCs w:val="32"/>
          <w:lang w:val="en-US" w:eastAsia="zh-CN"/>
        </w:rPr>
        <w:t>审议</w:t>
      </w:r>
      <w:r>
        <w:rPr>
          <w:rFonts w:ascii="Times New Roman" w:hAnsi="Times New Roman" w:eastAsia="仿宋_GB2312" w:cs="Times New Roman"/>
          <w:sz w:val="32"/>
          <w:szCs w:val="32"/>
        </w:rPr>
        <w:t>〈贵州铜仁农村商业银行股份有限公司筹建工作报告〉的议案》等列入本次会议议程的所有相关事项进行审议、表决，有权代为选举第一届董事会非职工董事，并按以下意见表决相关议案。</w:t>
      </w:r>
    </w:p>
    <w:tbl>
      <w:tblPr>
        <w:tblStyle w:val="12"/>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5931"/>
        <w:gridCol w:w="786"/>
        <w:gridCol w:w="768"/>
        <w:gridCol w:w="787"/>
      </w:tblGrid>
      <w:tr w14:paraId="77E6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917" w:type="dxa"/>
            <w:vAlign w:val="center"/>
          </w:tcPr>
          <w:p w14:paraId="6A730371">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序号</w:t>
            </w:r>
          </w:p>
        </w:tc>
        <w:tc>
          <w:tcPr>
            <w:tcW w:w="5931" w:type="dxa"/>
            <w:vAlign w:val="center"/>
          </w:tcPr>
          <w:p w14:paraId="7A5468C7">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议案名称</w:t>
            </w:r>
          </w:p>
        </w:tc>
        <w:tc>
          <w:tcPr>
            <w:tcW w:w="786" w:type="dxa"/>
            <w:vAlign w:val="center"/>
          </w:tcPr>
          <w:p w14:paraId="291FB63C">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赞成</w:t>
            </w:r>
          </w:p>
        </w:tc>
        <w:tc>
          <w:tcPr>
            <w:tcW w:w="768" w:type="dxa"/>
            <w:vAlign w:val="center"/>
          </w:tcPr>
          <w:p w14:paraId="6F8B0B0B">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反对</w:t>
            </w:r>
          </w:p>
        </w:tc>
        <w:tc>
          <w:tcPr>
            <w:tcW w:w="787" w:type="dxa"/>
            <w:vAlign w:val="center"/>
          </w:tcPr>
          <w:p w14:paraId="27AC5164">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弃权</w:t>
            </w:r>
          </w:p>
        </w:tc>
      </w:tr>
      <w:tr w14:paraId="5238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917" w:type="dxa"/>
            <w:vAlign w:val="center"/>
          </w:tcPr>
          <w:p w14:paraId="4939614B">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w:t>
            </w:r>
          </w:p>
        </w:tc>
        <w:tc>
          <w:tcPr>
            <w:tcW w:w="5931" w:type="dxa"/>
            <w:tcBorders>
              <w:top w:val="single" w:color="auto" w:sz="4" w:space="0"/>
              <w:left w:val="single" w:color="auto" w:sz="4" w:space="0"/>
              <w:bottom w:val="single" w:color="auto" w:sz="4" w:space="0"/>
              <w:right w:val="single" w:color="auto" w:sz="4" w:space="0"/>
            </w:tcBorders>
            <w:vAlign w:val="center"/>
          </w:tcPr>
          <w:p w14:paraId="5A265476">
            <w:pPr>
              <w:pStyle w:val="9"/>
              <w:spacing w:after="0" w:line="240" w:lineRule="auto"/>
              <w:rPr>
                <w:rFonts w:ascii="Times New Roman" w:hAnsi="Times New Roman" w:cs="Times New Roman"/>
                <w:sz w:val="24"/>
                <w:szCs w:val="24"/>
              </w:rPr>
            </w:pPr>
            <w:r>
              <w:rPr>
                <w:rFonts w:hint="eastAsia" w:ascii="Times New Roman" w:hAnsi="Times New Roman" w:eastAsia="仿宋_GB2312" w:cs="Times New Roman"/>
                <w:bCs/>
                <w:sz w:val="24"/>
                <w:szCs w:val="24"/>
              </w:rPr>
              <w:t>关于审议《贵州铜仁农村商业银行股份有限公司筹建工作报告》的议案</w:t>
            </w:r>
          </w:p>
        </w:tc>
        <w:tc>
          <w:tcPr>
            <w:tcW w:w="786" w:type="dxa"/>
            <w:vAlign w:val="center"/>
          </w:tcPr>
          <w:p w14:paraId="57815112">
            <w:pPr>
              <w:pStyle w:val="9"/>
              <w:spacing w:line="320" w:lineRule="exact"/>
              <w:rPr>
                <w:rFonts w:ascii="Times New Roman" w:hAnsi="Times New Roman" w:eastAsia="仿宋_GB2312" w:cs="Times New Roman"/>
                <w:sz w:val="28"/>
                <w:szCs w:val="32"/>
                <w:u w:val="single"/>
              </w:rPr>
            </w:pPr>
          </w:p>
        </w:tc>
        <w:tc>
          <w:tcPr>
            <w:tcW w:w="768" w:type="dxa"/>
            <w:vAlign w:val="center"/>
          </w:tcPr>
          <w:p w14:paraId="60006349">
            <w:pPr>
              <w:pStyle w:val="9"/>
              <w:spacing w:line="320" w:lineRule="exact"/>
              <w:rPr>
                <w:rFonts w:ascii="Times New Roman" w:hAnsi="Times New Roman" w:eastAsia="仿宋_GB2312" w:cs="Times New Roman"/>
                <w:sz w:val="28"/>
                <w:szCs w:val="32"/>
                <w:u w:val="single"/>
              </w:rPr>
            </w:pPr>
          </w:p>
        </w:tc>
        <w:tc>
          <w:tcPr>
            <w:tcW w:w="787" w:type="dxa"/>
            <w:vAlign w:val="center"/>
          </w:tcPr>
          <w:p w14:paraId="1D60807D">
            <w:pPr>
              <w:pStyle w:val="9"/>
              <w:spacing w:line="320" w:lineRule="exact"/>
              <w:rPr>
                <w:rFonts w:ascii="Times New Roman" w:hAnsi="Times New Roman" w:eastAsia="仿宋_GB2312" w:cs="Times New Roman"/>
                <w:sz w:val="28"/>
                <w:szCs w:val="32"/>
                <w:u w:val="single"/>
              </w:rPr>
            </w:pPr>
          </w:p>
        </w:tc>
      </w:tr>
      <w:tr w14:paraId="1F5D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69136E26">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2</w:t>
            </w:r>
          </w:p>
        </w:tc>
        <w:tc>
          <w:tcPr>
            <w:tcW w:w="5931" w:type="dxa"/>
            <w:tcBorders>
              <w:top w:val="nil"/>
              <w:left w:val="single" w:color="auto" w:sz="4" w:space="0"/>
              <w:bottom w:val="single" w:color="auto" w:sz="4" w:space="0"/>
              <w:right w:val="single" w:color="auto" w:sz="4" w:space="0"/>
            </w:tcBorders>
            <w:vAlign w:val="center"/>
          </w:tcPr>
          <w:p w14:paraId="5AA04EAA">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关于审议《贵州铜仁农村商业银行股份有限公司章程（草案）》的议案</w:t>
            </w:r>
          </w:p>
        </w:tc>
        <w:tc>
          <w:tcPr>
            <w:tcW w:w="786" w:type="dxa"/>
            <w:vAlign w:val="center"/>
          </w:tcPr>
          <w:p w14:paraId="49B67BAB">
            <w:pPr>
              <w:pStyle w:val="9"/>
              <w:spacing w:line="320" w:lineRule="exact"/>
              <w:rPr>
                <w:rFonts w:ascii="Times New Roman" w:hAnsi="Times New Roman" w:eastAsia="仿宋_GB2312" w:cs="Times New Roman"/>
                <w:sz w:val="28"/>
                <w:szCs w:val="32"/>
                <w:u w:val="single"/>
              </w:rPr>
            </w:pPr>
          </w:p>
        </w:tc>
        <w:tc>
          <w:tcPr>
            <w:tcW w:w="768" w:type="dxa"/>
            <w:vAlign w:val="center"/>
          </w:tcPr>
          <w:p w14:paraId="2D2425F3">
            <w:pPr>
              <w:pStyle w:val="9"/>
              <w:spacing w:line="320" w:lineRule="exact"/>
              <w:rPr>
                <w:rFonts w:ascii="Times New Roman" w:hAnsi="Times New Roman" w:eastAsia="仿宋_GB2312" w:cs="Times New Roman"/>
                <w:sz w:val="28"/>
                <w:szCs w:val="32"/>
                <w:u w:val="single"/>
              </w:rPr>
            </w:pPr>
          </w:p>
        </w:tc>
        <w:tc>
          <w:tcPr>
            <w:tcW w:w="787" w:type="dxa"/>
            <w:vAlign w:val="center"/>
          </w:tcPr>
          <w:p w14:paraId="5748023A">
            <w:pPr>
              <w:pStyle w:val="9"/>
              <w:spacing w:line="320" w:lineRule="exact"/>
              <w:rPr>
                <w:rFonts w:ascii="Times New Roman" w:hAnsi="Times New Roman" w:eastAsia="仿宋_GB2312" w:cs="Times New Roman"/>
                <w:sz w:val="28"/>
                <w:szCs w:val="32"/>
                <w:u w:val="single"/>
              </w:rPr>
            </w:pPr>
          </w:p>
        </w:tc>
      </w:tr>
      <w:tr w14:paraId="6289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917" w:type="dxa"/>
            <w:vAlign w:val="center"/>
          </w:tcPr>
          <w:p w14:paraId="0FFD4855">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3</w:t>
            </w:r>
          </w:p>
        </w:tc>
        <w:tc>
          <w:tcPr>
            <w:tcW w:w="5931" w:type="dxa"/>
            <w:tcBorders>
              <w:top w:val="nil"/>
              <w:left w:val="single" w:color="auto" w:sz="4" w:space="0"/>
              <w:bottom w:val="single" w:color="auto" w:sz="4" w:space="0"/>
              <w:right w:val="single" w:color="auto" w:sz="4" w:space="0"/>
            </w:tcBorders>
            <w:vAlign w:val="center"/>
          </w:tcPr>
          <w:p w14:paraId="157CABAA">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关于审议《贵州铜仁农村商业银行股份有限公司股东会议事规则》的议案</w:t>
            </w:r>
          </w:p>
        </w:tc>
        <w:tc>
          <w:tcPr>
            <w:tcW w:w="786" w:type="dxa"/>
            <w:vAlign w:val="center"/>
          </w:tcPr>
          <w:p w14:paraId="084E0E5D">
            <w:pPr>
              <w:pStyle w:val="9"/>
              <w:spacing w:line="320" w:lineRule="exact"/>
              <w:rPr>
                <w:rFonts w:ascii="Times New Roman" w:hAnsi="Times New Roman" w:eastAsia="仿宋_GB2312" w:cs="Times New Roman"/>
                <w:sz w:val="28"/>
                <w:szCs w:val="32"/>
                <w:u w:val="single"/>
              </w:rPr>
            </w:pPr>
          </w:p>
        </w:tc>
        <w:tc>
          <w:tcPr>
            <w:tcW w:w="768" w:type="dxa"/>
            <w:vAlign w:val="center"/>
          </w:tcPr>
          <w:p w14:paraId="70DE5E3C">
            <w:pPr>
              <w:pStyle w:val="9"/>
              <w:spacing w:line="320" w:lineRule="exact"/>
              <w:rPr>
                <w:rFonts w:ascii="Times New Roman" w:hAnsi="Times New Roman" w:eastAsia="仿宋_GB2312" w:cs="Times New Roman"/>
                <w:sz w:val="28"/>
                <w:szCs w:val="32"/>
                <w:u w:val="single"/>
              </w:rPr>
            </w:pPr>
          </w:p>
        </w:tc>
        <w:tc>
          <w:tcPr>
            <w:tcW w:w="787" w:type="dxa"/>
            <w:vAlign w:val="center"/>
          </w:tcPr>
          <w:p w14:paraId="3B9A51E9">
            <w:pPr>
              <w:pStyle w:val="9"/>
              <w:spacing w:line="320" w:lineRule="exact"/>
              <w:rPr>
                <w:rFonts w:ascii="Times New Roman" w:hAnsi="Times New Roman" w:eastAsia="仿宋_GB2312" w:cs="Times New Roman"/>
                <w:sz w:val="28"/>
                <w:szCs w:val="32"/>
                <w:u w:val="single"/>
              </w:rPr>
            </w:pPr>
          </w:p>
        </w:tc>
      </w:tr>
      <w:tr w14:paraId="74E5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917" w:type="dxa"/>
            <w:vAlign w:val="center"/>
          </w:tcPr>
          <w:p w14:paraId="18C734BF">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4</w:t>
            </w:r>
          </w:p>
        </w:tc>
        <w:tc>
          <w:tcPr>
            <w:tcW w:w="5931" w:type="dxa"/>
            <w:tcBorders>
              <w:top w:val="nil"/>
              <w:left w:val="single" w:color="auto" w:sz="4" w:space="0"/>
              <w:bottom w:val="single" w:color="auto" w:sz="4" w:space="0"/>
              <w:right w:val="single" w:color="auto" w:sz="4" w:space="0"/>
            </w:tcBorders>
            <w:vAlign w:val="center"/>
          </w:tcPr>
          <w:p w14:paraId="1B82DA79">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关于审议《贵州铜仁农村商业银行股份有限公司董事会议事规则》的议案</w:t>
            </w:r>
          </w:p>
        </w:tc>
        <w:tc>
          <w:tcPr>
            <w:tcW w:w="786" w:type="dxa"/>
            <w:vAlign w:val="center"/>
          </w:tcPr>
          <w:p w14:paraId="162B8171">
            <w:pPr>
              <w:pStyle w:val="9"/>
              <w:spacing w:line="320" w:lineRule="exact"/>
              <w:rPr>
                <w:rFonts w:ascii="Times New Roman" w:hAnsi="Times New Roman" w:eastAsia="仿宋_GB2312" w:cs="Times New Roman"/>
                <w:sz w:val="28"/>
                <w:szCs w:val="32"/>
                <w:u w:val="single"/>
              </w:rPr>
            </w:pPr>
          </w:p>
        </w:tc>
        <w:tc>
          <w:tcPr>
            <w:tcW w:w="768" w:type="dxa"/>
            <w:vAlign w:val="center"/>
          </w:tcPr>
          <w:p w14:paraId="47D6EF87">
            <w:pPr>
              <w:pStyle w:val="9"/>
              <w:spacing w:line="320" w:lineRule="exact"/>
              <w:rPr>
                <w:rFonts w:ascii="Times New Roman" w:hAnsi="Times New Roman" w:eastAsia="仿宋_GB2312" w:cs="Times New Roman"/>
                <w:sz w:val="28"/>
                <w:szCs w:val="32"/>
                <w:u w:val="single"/>
              </w:rPr>
            </w:pPr>
          </w:p>
        </w:tc>
        <w:tc>
          <w:tcPr>
            <w:tcW w:w="787" w:type="dxa"/>
            <w:vAlign w:val="center"/>
          </w:tcPr>
          <w:p w14:paraId="32FEFDC5">
            <w:pPr>
              <w:pStyle w:val="9"/>
              <w:spacing w:line="320" w:lineRule="exact"/>
              <w:rPr>
                <w:rFonts w:ascii="Times New Roman" w:hAnsi="Times New Roman" w:eastAsia="仿宋_GB2312" w:cs="Times New Roman"/>
                <w:sz w:val="28"/>
                <w:szCs w:val="32"/>
                <w:u w:val="single"/>
              </w:rPr>
            </w:pPr>
          </w:p>
        </w:tc>
      </w:tr>
      <w:tr w14:paraId="0E0D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3D4FE87A">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5</w:t>
            </w:r>
          </w:p>
        </w:tc>
        <w:tc>
          <w:tcPr>
            <w:tcW w:w="5931" w:type="dxa"/>
            <w:tcBorders>
              <w:top w:val="nil"/>
              <w:left w:val="single" w:color="auto" w:sz="4" w:space="0"/>
              <w:bottom w:val="single" w:color="auto" w:sz="4" w:space="0"/>
              <w:right w:val="single" w:color="auto" w:sz="4" w:space="0"/>
            </w:tcBorders>
            <w:vAlign w:val="center"/>
          </w:tcPr>
          <w:p w14:paraId="0620493B">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关于审议《贵州铜仁农村商业银行股份有限公司第一届董事会非职工董事选举制度》的议案</w:t>
            </w:r>
          </w:p>
        </w:tc>
        <w:tc>
          <w:tcPr>
            <w:tcW w:w="786" w:type="dxa"/>
            <w:vAlign w:val="center"/>
          </w:tcPr>
          <w:p w14:paraId="4ACB23A5">
            <w:pPr>
              <w:pStyle w:val="9"/>
              <w:spacing w:line="320" w:lineRule="exact"/>
              <w:rPr>
                <w:rFonts w:ascii="Times New Roman" w:hAnsi="Times New Roman" w:eastAsia="仿宋_GB2312" w:cs="Times New Roman"/>
                <w:sz w:val="28"/>
                <w:szCs w:val="32"/>
                <w:u w:val="single"/>
              </w:rPr>
            </w:pPr>
          </w:p>
        </w:tc>
        <w:tc>
          <w:tcPr>
            <w:tcW w:w="768" w:type="dxa"/>
            <w:vAlign w:val="center"/>
          </w:tcPr>
          <w:p w14:paraId="5196F07A">
            <w:pPr>
              <w:pStyle w:val="9"/>
              <w:spacing w:line="320" w:lineRule="exact"/>
              <w:rPr>
                <w:rFonts w:ascii="Times New Roman" w:hAnsi="Times New Roman" w:eastAsia="仿宋_GB2312" w:cs="Times New Roman"/>
                <w:sz w:val="28"/>
                <w:szCs w:val="32"/>
                <w:u w:val="single"/>
              </w:rPr>
            </w:pPr>
          </w:p>
        </w:tc>
        <w:tc>
          <w:tcPr>
            <w:tcW w:w="787" w:type="dxa"/>
            <w:vAlign w:val="center"/>
          </w:tcPr>
          <w:p w14:paraId="3FA26211">
            <w:pPr>
              <w:pStyle w:val="9"/>
              <w:spacing w:line="320" w:lineRule="exact"/>
              <w:rPr>
                <w:rFonts w:ascii="Times New Roman" w:hAnsi="Times New Roman" w:eastAsia="仿宋_GB2312" w:cs="Times New Roman"/>
                <w:sz w:val="28"/>
                <w:szCs w:val="32"/>
                <w:u w:val="single"/>
              </w:rPr>
            </w:pPr>
          </w:p>
        </w:tc>
      </w:tr>
      <w:tr w14:paraId="776C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3EF7084A">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6</w:t>
            </w:r>
          </w:p>
        </w:tc>
        <w:tc>
          <w:tcPr>
            <w:tcW w:w="5931" w:type="dxa"/>
            <w:tcBorders>
              <w:top w:val="nil"/>
              <w:left w:val="single" w:color="auto" w:sz="4" w:space="0"/>
              <w:bottom w:val="single" w:color="auto" w:sz="4" w:space="0"/>
              <w:right w:val="single" w:color="auto" w:sz="4" w:space="0"/>
            </w:tcBorders>
            <w:vAlign w:val="center"/>
          </w:tcPr>
          <w:p w14:paraId="1DA25F5D">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关于审议《贵州铜仁农村商业银行股份有限公司第一届董事会董事长、副董事长选举制度》的议案</w:t>
            </w:r>
          </w:p>
        </w:tc>
        <w:tc>
          <w:tcPr>
            <w:tcW w:w="786" w:type="dxa"/>
            <w:vAlign w:val="center"/>
          </w:tcPr>
          <w:p w14:paraId="4F3A743E">
            <w:pPr>
              <w:pStyle w:val="9"/>
              <w:spacing w:line="320" w:lineRule="exact"/>
              <w:rPr>
                <w:rFonts w:ascii="Times New Roman" w:hAnsi="Times New Roman" w:eastAsia="仿宋_GB2312" w:cs="Times New Roman"/>
                <w:sz w:val="28"/>
                <w:szCs w:val="32"/>
                <w:u w:val="single"/>
              </w:rPr>
            </w:pPr>
          </w:p>
        </w:tc>
        <w:tc>
          <w:tcPr>
            <w:tcW w:w="768" w:type="dxa"/>
            <w:vAlign w:val="center"/>
          </w:tcPr>
          <w:p w14:paraId="5E6E6089">
            <w:pPr>
              <w:pStyle w:val="9"/>
              <w:spacing w:line="320" w:lineRule="exact"/>
              <w:rPr>
                <w:rFonts w:ascii="Times New Roman" w:hAnsi="Times New Roman" w:eastAsia="仿宋_GB2312" w:cs="Times New Roman"/>
                <w:sz w:val="28"/>
                <w:szCs w:val="32"/>
                <w:u w:val="single"/>
              </w:rPr>
            </w:pPr>
          </w:p>
        </w:tc>
        <w:tc>
          <w:tcPr>
            <w:tcW w:w="787" w:type="dxa"/>
            <w:vAlign w:val="center"/>
          </w:tcPr>
          <w:p w14:paraId="03A33CFA">
            <w:pPr>
              <w:pStyle w:val="9"/>
              <w:spacing w:line="320" w:lineRule="exact"/>
              <w:rPr>
                <w:rFonts w:ascii="Times New Roman" w:hAnsi="Times New Roman" w:eastAsia="仿宋_GB2312" w:cs="Times New Roman"/>
                <w:sz w:val="28"/>
                <w:szCs w:val="32"/>
                <w:u w:val="single"/>
              </w:rPr>
            </w:pPr>
          </w:p>
        </w:tc>
      </w:tr>
      <w:tr w14:paraId="1275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17" w:type="dxa"/>
            <w:vAlign w:val="center"/>
          </w:tcPr>
          <w:p w14:paraId="16E44E3A">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7</w:t>
            </w:r>
          </w:p>
        </w:tc>
        <w:tc>
          <w:tcPr>
            <w:tcW w:w="5931" w:type="dxa"/>
            <w:tcBorders>
              <w:top w:val="single" w:color="auto" w:sz="4" w:space="0"/>
              <w:left w:val="single" w:color="auto" w:sz="4" w:space="0"/>
              <w:bottom w:val="single" w:color="auto" w:sz="4" w:space="0"/>
              <w:right w:val="single" w:color="auto" w:sz="4" w:space="0"/>
            </w:tcBorders>
            <w:vAlign w:val="center"/>
          </w:tcPr>
          <w:p w14:paraId="59E3A9A4">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关于审议《贵州铜仁农村商业银行股份有限公司独立董事管理办法》的议案</w:t>
            </w:r>
          </w:p>
        </w:tc>
        <w:tc>
          <w:tcPr>
            <w:tcW w:w="786" w:type="dxa"/>
            <w:vAlign w:val="center"/>
          </w:tcPr>
          <w:p w14:paraId="006C0591">
            <w:pPr>
              <w:pStyle w:val="9"/>
              <w:spacing w:line="320" w:lineRule="exact"/>
              <w:rPr>
                <w:rFonts w:ascii="Times New Roman" w:hAnsi="Times New Roman" w:eastAsia="仿宋_GB2312" w:cs="Times New Roman"/>
                <w:sz w:val="28"/>
                <w:szCs w:val="32"/>
                <w:u w:val="single"/>
              </w:rPr>
            </w:pPr>
          </w:p>
        </w:tc>
        <w:tc>
          <w:tcPr>
            <w:tcW w:w="768" w:type="dxa"/>
            <w:vAlign w:val="center"/>
          </w:tcPr>
          <w:p w14:paraId="1E6A0894">
            <w:pPr>
              <w:pStyle w:val="9"/>
              <w:spacing w:line="320" w:lineRule="exact"/>
              <w:rPr>
                <w:rFonts w:ascii="Times New Roman" w:hAnsi="Times New Roman" w:eastAsia="仿宋_GB2312" w:cs="Times New Roman"/>
                <w:sz w:val="28"/>
                <w:szCs w:val="32"/>
                <w:u w:val="single"/>
              </w:rPr>
            </w:pPr>
          </w:p>
        </w:tc>
        <w:tc>
          <w:tcPr>
            <w:tcW w:w="787" w:type="dxa"/>
            <w:vAlign w:val="center"/>
          </w:tcPr>
          <w:p w14:paraId="754D4BFC">
            <w:pPr>
              <w:pStyle w:val="9"/>
              <w:spacing w:line="320" w:lineRule="exact"/>
              <w:rPr>
                <w:rFonts w:ascii="Times New Roman" w:hAnsi="Times New Roman" w:eastAsia="仿宋_GB2312" w:cs="Times New Roman"/>
                <w:sz w:val="28"/>
                <w:szCs w:val="32"/>
                <w:u w:val="single"/>
              </w:rPr>
            </w:pPr>
          </w:p>
        </w:tc>
      </w:tr>
      <w:tr w14:paraId="05C5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17" w:type="dxa"/>
            <w:vAlign w:val="center"/>
          </w:tcPr>
          <w:p w14:paraId="35EC19B0">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8</w:t>
            </w:r>
          </w:p>
        </w:tc>
        <w:tc>
          <w:tcPr>
            <w:tcW w:w="5931" w:type="dxa"/>
            <w:tcBorders>
              <w:top w:val="nil"/>
              <w:left w:val="single" w:color="auto" w:sz="4" w:space="0"/>
              <w:bottom w:val="single" w:color="auto" w:sz="4" w:space="0"/>
              <w:right w:val="single" w:color="auto" w:sz="4" w:space="0"/>
            </w:tcBorders>
            <w:vAlign w:val="center"/>
          </w:tcPr>
          <w:p w14:paraId="7EE277B3">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关于审议《贵州铜仁农村商业银行股份有限公司董事履职评价办法》的议案</w:t>
            </w:r>
          </w:p>
        </w:tc>
        <w:tc>
          <w:tcPr>
            <w:tcW w:w="786" w:type="dxa"/>
            <w:vAlign w:val="center"/>
          </w:tcPr>
          <w:p w14:paraId="485E23A8">
            <w:pPr>
              <w:pStyle w:val="9"/>
              <w:spacing w:line="320" w:lineRule="exact"/>
              <w:rPr>
                <w:rFonts w:ascii="Times New Roman" w:hAnsi="Times New Roman" w:eastAsia="仿宋_GB2312" w:cs="Times New Roman"/>
                <w:sz w:val="28"/>
                <w:szCs w:val="32"/>
                <w:u w:val="single"/>
              </w:rPr>
            </w:pPr>
          </w:p>
        </w:tc>
        <w:tc>
          <w:tcPr>
            <w:tcW w:w="768" w:type="dxa"/>
            <w:vAlign w:val="center"/>
          </w:tcPr>
          <w:p w14:paraId="788BD01D">
            <w:pPr>
              <w:pStyle w:val="9"/>
              <w:spacing w:line="320" w:lineRule="exact"/>
              <w:rPr>
                <w:rFonts w:ascii="Times New Roman" w:hAnsi="Times New Roman" w:eastAsia="仿宋_GB2312" w:cs="Times New Roman"/>
                <w:sz w:val="28"/>
                <w:szCs w:val="32"/>
                <w:u w:val="single"/>
              </w:rPr>
            </w:pPr>
          </w:p>
        </w:tc>
        <w:tc>
          <w:tcPr>
            <w:tcW w:w="787" w:type="dxa"/>
            <w:vAlign w:val="center"/>
          </w:tcPr>
          <w:p w14:paraId="1DC83ADD">
            <w:pPr>
              <w:pStyle w:val="9"/>
              <w:spacing w:line="320" w:lineRule="exact"/>
              <w:rPr>
                <w:rFonts w:ascii="Times New Roman" w:hAnsi="Times New Roman" w:eastAsia="仿宋_GB2312" w:cs="Times New Roman"/>
                <w:sz w:val="28"/>
                <w:szCs w:val="32"/>
                <w:u w:val="single"/>
              </w:rPr>
            </w:pPr>
          </w:p>
        </w:tc>
      </w:tr>
      <w:tr w14:paraId="76B5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7" w:type="dxa"/>
            <w:vAlign w:val="center"/>
          </w:tcPr>
          <w:p w14:paraId="3358AA95">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9</w:t>
            </w:r>
          </w:p>
        </w:tc>
        <w:tc>
          <w:tcPr>
            <w:tcW w:w="5931" w:type="dxa"/>
            <w:tcBorders>
              <w:top w:val="nil"/>
              <w:left w:val="single" w:color="auto" w:sz="4" w:space="0"/>
              <w:bottom w:val="single" w:color="auto" w:sz="4" w:space="0"/>
              <w:right w:val="single" w:color="auto" w:sz="4" w:space="0"/>
            </w:tcBorders>
            <w:vAlign w:val="center"/>
          </w:tcPr>
          <w:p w14:paraId="5BB562AE">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关于审议《贵州铜仁农村商业银行股份有限公司董事薪酬管理办法》的议案</w:t>
            </w:r>
          </w:p>
        </w:tc>
        <w:tc>
          <w:tcPr>
            <w:tcW w:w="786" w:type="dxa"/>
            <w:vAlign w:val="center"/>
          </w:tcPr>
          <w:p w14:paraId="06A16A9B">
            <w:pPr>
              <w:pStyle w:val="9"/>
              <w:spacing w:line="320" w:lineRule="exact"/>
              <w:rPr>
                <w:rFonts w:ascii="Times New Roman" w:hAnsi="Times New Roman" w:eastAsia="仿宋_GB2312" w:cs="Times New Roman"/>
                <w:sz w:val="28"/>
                <w:szCs w:val="32"/>
                <w:u w:val="single"/>
              </w:rPr>
            </w:pPr>
          </w:p>
        </w:tc>
        <w:tc>
          <w:tcPr>
            <w:tcW w:w="768" w:type="dxa"/>
            <w:vAlign w:val="center"/>
          </w:tcPr>
          <w:p w14:paraId="7CB536B6">
            <w:pPr>
              <w:pStyle w:val="9"/>
              <w:spacing w:line="320" w:lineRule="exact"/>
              <w:rPr>
                <w:rFonts w:ascii="Times New Roman" w:hAnsi="Times New Roman" w:eastAsia="仿宋_GB2312" w:cs="Times New Roman"/>
                <w:sz w:val="28"/>
                <w:szCs w:val="32"/>
                <w:u w:val="single"/>
              </w:rPr>
            </w:pPr>
          </w:p>
        </w:tc>
        <w:tc>
          <w:tcPr>
            <w:tcW w:w="787" w:type="dxa"/>
            <w:vAlign w:val="center"/>
          </w:tcPr>
          <w:p w14:paraId="13AC058C">
            <w:pPr>
              <w:pStyle w:val="9"/>
              <w:spacing w:line="320" w:lineRule="exact"/>
              <w:rPr>
                <w:rFonts w:ascii="Times New Roman" w:hAnsi="Times New Roman" w:eastAsia="仿宋_GB2312" w:cs="Times New Roman"/>
                <w:sz w:val="28"/>
                <w:szCs w:val="32"/>
                <w:u w:val="single"/>
              </w:rPr>
            </w:pPr>
          </w:p>
        </w:tc>
      </w:tr>
      <w:tr w14:paraId="6558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917" w:type="dxa"/>
            <w:vAlign w:val="center"/>
          </w:tcPr>
          <w:p w14:paraId="4E429649">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10</w:t>
            </w:r>
          </w:p>
        </w:tc>
        <w:tc>
          <w:tcPr>
            <w:tcW w:w="5931" w:type="dxa"/>
            <w:tcBorders>
              <w:top w:val="nil"/>
              <w:left w:val="single" w:color="auto" w:sz="4" w:space="0"/>
              <w:bottom w:val="single" w:color="auto" w:sz="4" w:space="0"/>
              <w:right w:val="single" w:color="auto" w:sz="4" w:space="0"/>
            </w:tcBorders>
            <w:vAlign w:val="center"/>
          </w:tcPr>
          <w:p w14:paraId="0B0319EF">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关于审议《贵州铜仁农村商业银行股份有限公司股权管理办法》的议案</w:t>
            </w:r>
          </w:p>
        </w:tc>
        <w:tc>
          <w:tcPr>
            <w:tcW w:w="786" w:type="dxa"/>
            <w:vAlign w:val="center"/>
          </w:tcPr>
          <w:p w14:paraId="57134E79">
            <w:pPr>
              <w:pStyle w:val="9"/>
              <w:spacing w:line="320" w:lineRule="exact"/>
              <w:rPr>
                <w:rFonts w:ascii="Times New Roman" w:hAnsi="Times New Roman" w:eastAsia="仿宋_GB2312" w:cs="Times New Roman"/>
                <w:sz w:val="28"/>
                <w:szCs w:val="32"/>
                <w:u w:val="single"/>
              </w:rPr>
            </w:pPr>
          </w:p>
        </w:tc>
        <w:tc>
          <w:tcPr>
            <w:tcW w:w="768" w:type="dxa"/>
            <w:vAlign w:val="center"/>
          </w:tcPr>
          <w:p w14:paraId="25F49F7D">
            <w:pPr>
              <w:pStyle w:val="9"/>
              <w:spacing w:line="320" w:lineRule="exact"/>
              <w:rPr>
                <w:rFonts w:ascii="Times New Roman" w:hAnsi="Times New Roman" w:eastAsia="仿宋_GB2312" w:cs="Times New Roman"/>
                <w:sz w:val="28"/>
                <w:szCs w:val="32"/>
                <w:u w:val="single"/>
              </w:rPr>
            </w:pPr>
          </w:p>
        </w:tc>
        <w:tc>
          <w:tcPr>
            <w:tcW w:w="787" w:type="dxa"/>
            <w:vAlign w:val="center"/>
          </w:tcPr>
          <w:p w14:paraId="54597F66">
            <w:pPr>
              <w:pStyle w:val="9"/>
              <w:spacing w:line="320" w:lineRule="exact"/>
              <w:rPr>
                <w:rFonts w:ascii="Times New Roman" w:hAnsi="Times New Roman" w:eastAsia="仿宋_GB2312" w:cs="Times New Roman"/>
                <w:sz w:val="28"/>
                <w:szCs w:val="32"/>
                <w:u w:val="single"/>
              </w:rPr>
            </w:pPr>
          </w:p>
        </w:tc>
      </w:tr>
      <w:tr w14:paraId="5094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2A6E812E">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11</w:t>
            </w:r>
          </w:p>
        </w:tc>
        <w:tc>
          <w:tcPr>
            <w:tcW w:w="5931" w:type="dxa"/>
            <w:tcBorders>
              <w:top w:val="nil"/>
              <w:left w:val="single" w:color="auto" w:sz="4" w:space="0"/>
              <w:bottom w:val="single" w:color="auto" w:sz="4" w:space="0"/>
              <w:right w:val="single" w:color="auto" w:sz="4" w:space="0"/>
            </w:tcBorders>
            <w:vAlign w:val="center"/>
          </w:tcPr>
          <w:p w14:paraId="02B76731">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关于审议《贵州铜仁农村商业银行股份有限公司未来三年战略发展规划》的议案</w:t>
            </w:r>
          </w:p>
        </w:tc>
        <w:tc>
          <w:tcPr>
            <w:tcW w:w="786" w:type="dxa"/>
            <w:vAlign w:val="center"/>
          </w:tcPr>
          <w:p w14:paraId="72958A20">
            <w:pPr>
              <w:pStyle w:val="9"/>
              <w:spacing w:line="320" w:lineRule="exact"/>
              <w:rPr>
                <w:rFonts w:ascii="Times New Roman" w:hAnsi="Times New Roman" w:eastAsia="仿宋_GB2312" w:cs="Times New Roman"/>
                <w:sz w:val="28"/>
                <w:szCs w:val="32"/>
                <w:u w:val="single"/>
              </w:rPr>
            </w:pPr>
          </w:p>
        </w:tc>
        <w:tc>
          <w:tcPr>
            <w:tcW w:w="768" w:type="dxa"/>
            <w:vAlign w:val="center"/>
          </w:tcPr>
          <w:p w14:paraId="239F99EB">
            <w:pPr>
              <w:pStyle w:val="9"/>
              <w:spacing w:line="320" w:lineRule="exact"/>
              <w:rPr>
                <w:rFonts w:ascii="Times New Roman" w:hAnsi="Times New Roman" w:eastAsia="仿宋_GB2312" w:cs="Times New Roman"/>
                <w:sz w:val="28"/>
                <w:szCs w:val="32"/>
                <w:u w:val="single"/>
              </w:rPr>
            </w:pPr>
          </w:p>
        </w:tc>
        <w:tc>
          <w:tcPr>
            <w:tcW w:w="787" w:type="dxa"/>
            <w:vAlign w:val="center"/>
          </w:tcPr>
          <w:p w14:paraId="2046A3D4">
            <w:pPr>
              <w:pStyle w:val="9"/>
              <w:spacing w:line="320" w:lineRule="exact"/>
              <w:rPr>
                <w:rFonts w:ascii="Times New Roman" w:hAnsi="Times New Roman" w:eastAsia="仿宋_GB2312" w:cs="Times New Roman"/>
                <w:sz w:val="28"/>
                <w:szCs w:val="32"/>
                <w:u w:val="single"/>
              </w:rPr>
            </w:pPr>
          </w:p>
        </w:tc>
      </w:tr>
      <w:tr w14:paraId="2C58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0B2AD657">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12</w:t>
            </w:r>
          </w:p>
        </w:tc>
        <w:tc>
          <w:tcPr>
            <w:tcW w:w="5931" w:type="dxa"/>
            <w:tcBorders>
              <w:top w:val="nil"/>
              <w:left w:val="single" w:color="auto" w:sz="4" w:space="0"/>
              <w:bottom w:val="single" w:color="auto" w:sz="4" w:space="0"/>
              <w:right w:val="single" w:color="auto" w:sz="4" w:space="0"/>
            </w:tcBorders>
            <w:vAlign w:val="center"/>
          </w:tcPr>
          <w:p w14:paraId="4A69E1DB">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关于审议《贵州铜仁农村商业银行股份有限公司支持“支农支小”定位工作方案》的议案</w:t>
            </w:r>
          </w:p>
        </w:tc>
        <w:tc>
          <w:tcPr>
            <w:tcW w:w="786" w:type="dxa"/>
            <w:vAlign w:val="center"/>
          </w:tcPr>
          <w:p w14:paraId="14912832">
            <w:pPr>
              <w:pStyle w:val="9"/>
              <w:spacing w:line="320" w:lineRule="exact"/>
              <w:rPr>
                <w:rFonts w:ascii="Times New Roman" w:hAnsi="Times New Roman" w:eastAsia="仿宋_GB2312" w:cs="Times New Roman"/>
                <w:sz w:val="28"/>
                <w:szCs w:val="32"/>
                <w:u w:val="single"/>
              </w:rPr>
            </w:pPr>
          </w:p>
        </w:tc>
        <w:tc>
          <w:tcPr>
            <w:tcW w:w="768" w:type="dxa"/>
            <w:vAlign w:val="center"/>
          </w:tcPr>
          <w:p w14:paraId="708F42F0">
            <w:pPr>
              <w:pStyle w:val="9"/>
              <w:spacing w:line="320" w:lineRule="exact"/>
              <w:rPr>
                <w:rFonts w:ascii="Times New Roman" w:hAnsi="Times New Roman" w:eastAsia="仿宋_GB2312" w:cs="Times New Roman"/>
                <w:sz w:val="28"/>
                <w:szCs w:val="32"/>
                <w:u w:val="single"/>
              </w:rPr>
            </w:pPr>
          </w:p>
        </w:tc>
        <w:tc>
          <w:tcPr>
            <w:tcW w:w="787" w:type="dxa"/>
            <w:vAlign w:val="center"/>
          </w:tcPr>
          <w:p w14:paraId="58EAEFED">
            <w:pPr>
              <w:pStyle w:val="9"/>
              <w:spacing w:line="320" w:lineRule="exact"/>
              <w:rPr>
                <w:rFonts w:ascii="Times New Roman" w:hAnsi="Times New Roman" w:eastAsia="仿宋_GB2312" w:cs="Times New Roman"/>
                <w:sz w:val="28"/>
                <w:szCs w:val="32"/>
                <w:u w:val="single"/>
              </w:rPr>
            </w:pPr>
          </w:p>
        </w:tc>
      </w:tr>
      <w:tr w14:paraId="5B45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762DBE2B">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13</w:t>
            </w:r>
          </w:p>
        </w:tc>
        <w:tc>
          <w:tcPr>
            <w:tcW w:w="5931" w:type="dxa"/>
            <w:tcBorders>
              <w:top w:val="nil"/>
              <w:left w:val="single" w:color="auto" w:sz="4" w:space="0"/>
              <w:bottom w:val="single" w:color="auto" w:sz="4" w:space="0"/>
              <w:right w:val="single" w:color="auto" w:sz="4" w:space="0"/>
            </w:tcBorders>
            <w:vAlign w:val="center"/>
          </w:tcPr>
          <w:p w14:paraId="1C8B9C85">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关于审议《贵州铜仁农村商业银行股份有限公司股份有限公司设立费用报告》的议案</w:t>
            </w:r>
          </w:p>
        </w:tc>
        <w:tc>
          <w:tcPr>
            <w:tcW w:w="786" w:type="dxa"/>
            <w:vAlign w:val="center"/>
          </w:tcPr>
          <w:p w14:paraId="40A85ADD">
            <w:pPr>
              <w:pStyle w:val="9"/>
              <w:spacing w:line="320" w:lineRule="exact"/>
              <w:rPr>
                <w:rFonts w:ascii="Times New Roman" w:hAnsi="Times New Roman" w:eastAsia="仿宋_GB2312" w:cs="Times New Roman"/>
                <w:sz w:val="28"/>
                <w:szCs w:val="32"/>
                <w:u w:val="single"/>
              </w:rPr>
            </w:pPr>
          </w:p>
        </w:tc>
        <w:tc>
          <w:tcPr>
            <w:tcW w:w="768" w:type="dxa"/>
            <w:vAlign w:val="center"/>
          </w:tcPr>
          <w:p w14:paraId="24A9A2E8">
            <w:pPr>
              <w:pStyle w:val="9"/>
              <w:spacing w:line="320" w:lineRule="exact"/>
              <w:rPr>
                <w:rFonts w:ascii="Times New Roman" w:hAnsi="Times New Roman" w:eastAsia="仿宋_GB2312" w:cs="Times New Roman"/>
                <w:sz w:val="28"/>
                <w:szCs w:val="32"/>
                <w:u w:val="single"/>
              </w:rPr>
            </w:pPr>
          </w:p>
        </w:tc>
        <w:tc>
          <w:tcPr>
            <w:tcW w:w="787" w:type="dxa"/>
            <w:vAlign w:val="center"/>
          </w:tcPr>
          <w:p w14:paraId="2DD797D8">
            <w:pPr>
              <w:pStyle w:val="9"/>
              <w:spacing w:line="320" w:lineRule="exact"/>
              <w:rPr>
                <w:rFonts w:ascii="Times New Roman" w:hAnsi="Times New Roman" w:eastAsia="仿宋_GB2312" w:cs="Times New Roman"/>
                <w:sz w:val="28"/>
                <w:szCs w:val="32"/>
                <w:u w:val="single"/>
              </w:rPr>
            </w:pPr>
          </w:p>
        </w:tc>
      </w:tr>
      <w:tr w14:paraId="0015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4FF3370F">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14</w:t>
            </w:r>
          </w:p>
        </w:tc>
        <w:tc>
          <w:tcPr>
            <w:tcW w:w="5931" w:type="dxa"/>
            <w:tcBorders>
              <w:top w:val="nil"/>
              <w:left w:val="single" w:color="auto" w:sz="4" w:space="0"/>
              <w:bottom w:val="single" w:color="auto" w:sz="4" w:space="0"/>
              <w:right w:val="single" w:color="auto" w:sz="4" w:space="0"/>
            </w:tcBorders>
            <w:vAlign w:val="center"/>
          </w:tcPr>
          <w:p w14:paraId="6628BC2E">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关于审议确认贵州铜仁农村商业银行股份有限公司发起人用于抵作股款财产作价的议案</w:t>
            </w:r>
          </w:p>
        </w:tc>
        <w:tc>
          <w:tcPr>
            <w:tcW w:w="786" w:type="dxa"/>
            <w:vAlign w:val="center"/>
          </w:tcPr>
          <w:p w14:paraId="3714090B">
            <w:pPr>
              <w:pStyle w:val="9"/>
              <w:spacing w:line="320" w:lineRule="exact"/>
              <w:rPr>
                <w:rFonts w:ascii="Times New Roman" w:hAnsi="Times New Roman" w:eastAsia="仿宋_GB2312" w:cs="Times New Roman"/>
                <w:sz w:val="28"/>
                <w:szCs w:val="32"/>
                <w:u w:val="single"/>
              </w:rPr>
            </w:pPr>
          </w:p>
        </w:tc>
        <w:tc>
          <w:tcPr>
            <w:tcW w:w="768" w:type="dxa"/>
            <w:vAlign w:val="center"/>
          </w:tcPr>
          <w:p w14:paraId="370E296C">
            <w:pPr>
              <w:pStyle w:val="9"/>
              <w:spacing w:line="320" w:lineRule="exact"/>
              <w:rPr>
                <w:rFonts w:ascii="Times New Roman" w:hAnsi="Times New Roman" w:eastAsia="仿宋_GB2312" w:cs="Times New Roman"/>
                <w:sz w:val="28"/>
                <w:szCs w:val="32"/>
                <w:u w:val="single"/>
              </w:rPr>
            </w:pPr>
          </w:p>
        </w:tc>
        <w:tc>
          <w:tcPr>
            <w:tcW w:w="787" w:type="dxa"/>
            <w:vAlign w:val="center"/>
          </w:tcPr>
          <w:p w14:paraId="2DB86381">
            <w:pPr>
              <w:pStyle w:val="9"/>
              <w:spacing w:line="320" w:lineRule="exact"/>
              <w:rPr>
                <w:rFonts w:ascii="Times New Roman" w:hAnsi="Times New Roman" w:eastAsia="仿宋_GB2312" w:cs="Times New Roman"/>
                <w:sz w:val="28"/>
                <w:szCs w:val="32"/>
                <w:u w:val="single"/>
              </w:rPr>
            </w:pPr>
          </w:p>
        </w:tc>
      </w:tr>
      <w:tr w14:paraId="6DC5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4702BBAB">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15</w:t>
            </w:r>
          </w:p>
        </w:tc>
        <w:tc>
          <w:tcPr>
            <w:tcW w:w="5931" w:type="dxa"/>
            <w:tcBorders>
              <w:top w:val="nil"/>
              <w:left w:val="single" w:color="auto" w:sz="4" w:space="0"/>
              <w:bottom w:val="single" w:color="auto" w:sz="4" w:space="0"/>
              <w:right w:val="single" w:color="auto" w:sz="4" w:space="0"/>
            </w:tcBorders>
            <w:vAlign w:val="center"/>
          </w:tcPr>
          <w:p w14:paraId="1A9D04AA">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关于审议授权贵州铜仁农村商业银行股份有限公司筹建工作小组办理公司设立、登记等有关事宜的议案</w:t>
            </w:r>
          </w:p>
        </w:tc>
        <w:tc>
          <w:tcPr>
            <w:tcW w:w="786" w:type="dxa"/>
            <w:vAlign w:val="center"/>
          </w:tcPr>
          <w:p w14:paraId="14A8E012">
            <w:pPr>
              <w:pStyle w:val="9"/>
              <w:spacing w:line="320" w:lineRule="exact"/>
              <w:rPr>
                <w:rFonts w:ascii="Times New Roman" w:hAnsi="Times New Roman" w:eastAsia="仿宋_GB2312" w:cs="Times New Roman"/>
                <w:sz w:val="28"/>
                <w:szCs w:val="32"/>
                <w:u w:val="single"/>
              </w:rPr>
            </w:pPr>
          </w:p>
        </w:tc>
        <w:tc>
          <w:tcPr>
            <w:tcW w:w="768" w:type="dxa"/>
            <w:vAlign w:val="center"/>
          </w:tcPr>
          <w:p w14:paraId="5BFF4FDE">
            <w:pPr>
              <w:pStyle w:val="9"/>
              <w:spacing w:line="320" w:lineRule="exact"/>
              <w:rPr>
                <w:rFonts w:ascii="Times New Roman" w:hAnsi="Times New Roman" w:eastAsia="仿宋_GB2312" w:cs="Times New Roman"/>
                <w:sz w:val="28"/>
                <w:szCs w:val="32"/>
                <w:u w:val="single"/>
              </w:rPr>
            </w:pPr>
          </w:p>
        </w:tc>
        <w:tc>
          <w:tcPr>
            <w:tcW w:w="787" w:type="dxa"/>
            <w:vAlign w:val="center"/>
          </w:tcPr>
          <w:p w14:paraId="6BE6683C">
            <w:pPr>
              <w:pStyle w:val="9"/>
              <w:spacing w:line="320" w:lineRule="exact"/>
              <w:rPr>
                <w:rFonts w:ascii="Times New Roman" w:hAnsi="Times New Roman" w:eastAsia="仿宋_GB2312" w:cs="Times New Roman"/>
                <w:sz w:val="28"/>
                <w:szCs w:val="32"/>
                <w:u w:val="single"/>
              </w:rPr>
            </w:pPr>
          </w:p>
        </w:tc>
      </w:tr>
      <w:tr w14:paraId="245F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7" w:type="dxa"/>
            <w:vAlign w:val="center"/>
          </w:tcPr>
          <w:p w14:paraId="7603088E">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16</w:t>
            </w:r>
          </w:p>
        </w:tc>
        <w:tc>
          <w:tcPr>
            <w:tcW w:w="5931" w:type="dxa"/>
            <w:tcBorders>
              <w:top w:val="nil"/>
              <w:left w:val="single" w:color="auto" w:sz="4" w:space="0"/>
              <w:bottom w:val="single" w:color="auto" w:sz="4" w:space="0"/>
              <w:right w:val="single" w:color="auto" w:sz="4" w:space="0"/>
            </w:tcBorders>
            <w:vAlign w:val="center"/>
          </w:tcPr>
          <w:p w14:paraId="3B12B751">
            <w:pPr>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关于确认贵州铜仁农村商业银行股份有限公司第一届董事会职工董事选举情况的议案</w:t>
            </w:r>
          </w:p>
        </w:tc>
        <w:tc>
          <w:tcPr>
            <w:tcW w:w="786" w:type="dxa"/>
            <w:vAlign w:val="center"/>
          </w:tcPr>
          <w:p w14:paraId="4992AFEC">
            <w:pPr>
              <w:pStyle w:val="9"/>
              <w:spacing w:line="320" w:lineRule="exact"/>
              <w:rPr>
                <w:rFonts w:ascii="Times New Roman" w:hAnsi="Times New Roman" w:eastAsia="仿宋_GB2312" w:cs="Times New Roman"/>
                <w:sz w:val="28"/>
                <w:szCs w:val="32"/>
                <w:u w:val="single"/>
              </w:rPr>
            </w:pPr>
          </w:p>
        </w:tc>
        <w:tc>
          <w:tcPr>
            <w:tcW w:w="768" w:type="dxa"/>
            <w:vAlign w:val="center"/>
          </w:tcPr>
          <w:p w14:paraId="53B768AD">
            <w:pPr>
              <w:pStyle w:val="9"/>
              <w:spacing w:line="320" w:lineRule="exact"/>
              <w:rPr>
                <w:rFonts w:ascii="Times New Roman" w:hAnsi="Times New Roman" w:eastAsia="仿宋_GB2312" w:cs="Times New Roman"/>
                <w:sz w:val="28"/>
                <w:szCs w:val="32"/>
                <w:u w:val="single"/>
              </w:rPr>
            </w:pPr>
          </w:p>
        </w:tc>
        <w:tc>
          <w:tcPr>
            <w:tcW w:w="787" w:type="dxa"/>
            <w:vAlign w:val="center"/>
          </w:tcPr>
          <w:p w14:paraId="51E7CDED">
            <w:pPr>
              <w:pStyle w:val="9"/>
              <w:spacing w:line="320" w:lineRule="exact"/>
              <w:rPr>
                <w:rFonts w:ascii="Times New Roman" w:hAnsi="Times New Roman" w:eastAsia="仿宋_GB2312" w:cs="Times New Roman"/>
                <w:sz w:val="28"/>
                <w:szCs w:val="32"/>
                <w:u w:val="single"/>
              </w:rPr>
            </w:pPr>
          </w:p>
        </w:tc>
      </w:tr>
      <w:tr w14:paraId="3F23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17" w:type="dxa"/>
            <w:vAlign w:val="center"/>
          </w:tcPr>
          <w:p w14:paraId="100C5F88">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17</w:t>
            </w:r>
          </w:p>
        </w:tc>
        <w:tc>
          <w:tcPr>
            <w:tcW w:w="5931" w:type="dxa"/>
            <w:tcBorders>
              <w:top w:val="nil"/>
              <w:left w:val="single" w:color="auto" w:sz="4" w:space="0"/>
              <w:bottom w:val="single" w:color="auto" w:sz="4" w:space="0"/>
              <w:right w:val="single" w:color="auto" w:sz="4" w:space="0"/>
            </w:tcBorders>
            <w:vAlign w:val="center"/>
          </w:tcPr>
          <w:p w14:paraId="46D0E665">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关于审议召开贵州铜仁农村商业银行股份有限公司第一届董事会第一次会议的议案</w:t>
            </w:r>
            <w:bookmarkStart w:id="0" w:name="_GoBack"/>
            <w:bookmarkEnd w:id="0"/>
          </w:p>
        </w:tc>
        <w:tc>
          <w:tcPr>
            <w:tcW w:w="786" w:type="dxa"/>
            <w:vAlign w:val="center"/>
          </w:tcPr>
          <w:p w14:paraId="7347E107">
            <w:pPr>
              <w:pStyle w:val="9"/>
              <w:spacing w:line="320" w:lineRule="exact"/>
              <w:rPr>
                <w:rFonts w:ascii="Times New Roman" w:hAnsi="Times New Roman" w:eastAsia="仿宋_GB2312" w:cs="Times New Roman"/>
                <w:sz w:val="28"/>
                <w:szCs w:val="32"/>
                <w:u w:val="single"/>
              </w:rPr>
            </w:pPr>
          </w:p>
        </w:tc>
        <w:tc>
          <w:tcPr>
            <w:tcW w:w="768" w:type="dxa"/>
            <w:vAlign w:val="center"/>
          </w:tcPr>
          <w:p w14:paraId="34E50E73">
            <w:pPr>
              <w:pStyle w:val="9"/>
              <w:spacing w:line="320" w:lineRule="exact"/>
              <w:rPr>
                <w:rFonts w:ascii="Times New Roman" w:hAnsi="Times New Roman" w:eastAsia="仿宋_GB2312" w:cs="Times New Roman"/>
                <w:sz w:val="28"/>
                <w:szCs w:val="32"/>
                <w:u w:val="single"/>
              </w:rPr>
            </w:pPr>
          </w:p>
        </w:tc>
        <w:tc>
          <w:tcPr>
            <w:tcW w:w="787" w:type="dxa"/>
            <w:vAlign w:val="center"/>
          </w:tcPr>
          <w:p w14:paraId="00F3CCF6">
            <w:pPr>
              <w:pStyle w:val="9"/>
              <w:spacing w:line="320" w:lineRule="exact"/>
              <w:rPr>
                <w:rFonts w:ascii="Times New Roman" w:hAnsi="Times New Roman" w:eastAsia="仿宋_GB2312" w:cs="Times New Roman"/>
                <w:sz w:val="28"/>
                <w:szCs w:val="32"/>
                <w:u w:val="single"/>
              </w:rPr>
            </w:pPr>
          </w:p>
        </w:tc>
      </w:tr>
      <w:tr w14:paraId="378E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17" w:type="dxa"/>
            <w:vAlign w:val="center"/>
          </w:tcPr>
          <w:p w14:paraId="5F0C4091">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18</w:t>
            </w:r>
          </w:p>
        </w:tc>
        <w:tc>
          <w:tcPr>
            <w:tcW w:w="5931" w:type="dxa"/>
            <w:tcBorders>
              <w:top w:val="nil"/>
              <w:left w:val="single" w:color="auto" w:sz="4" w:space="0"/>
              <w:bottom w:val="single" w:color="auto" w:sz="4" w:space="0"/>
              <w:right w:val="single" w:color="auto" w:sz="4" w:space="0"/>
            </w:tcBorders>
            <w:vAlign w:val="center"/>
          </w:tcPr>
          <w:p w14:paraId="63D7CEDB">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关于选举贵州铜仁农村商业银行股份有限公司第一届董事会非职工董事的议案</w:t>
            </w:r>
          </w:p>
        </w:tc>
        <w:tc>
          <w:tcPr>
            <w:tcW w:w="786" w:type="dxa"/>
            <w:vAlign w:val="center"/>
          </w:tcPr>
          <w:p w14:paraId="1F50F043">
            <w:pPr>
              <w:pStyle w:val="9"/>
              <w:spacing w:line="320" w:lineRule="exact"/>
              <w:rPr>
                <w:rFonts w:ascii="Times New Roman" w:hAnsi="Times New Roman" w:eastAsia="仿宋_GB2312" w:cs="Times New Roman"/>
                <w:sz w:val="28"/>
                <w:szCs w:val="32"/>
                <w:u w:val="single"/>
              </w:rPr>
            </w:pPr>
          </w:p>
        </w:tc>
        <w:tc>
          <w:tcPr>
            <w:tcW w:w="768" w:type="dxa"/>
            <w:vAlign w:val="center"/>
          </w:tcPr>
          <w:p w14:paraId="234C28B7">
            <w:pPr>
              <w:pStyle w:val="9"/>
              <w:spacing w:line="320" w:lineRule="exact"/>
              <w:rPr>
                <w:rFonts w:ascii="Times New Roman" w:hAnsi="Times New Roman" w:eastAsia="仿宋_GB2312" w:cs="Times New Roman"/>
                <w:sz w:val="28"/>
                <w:szCs w:val="32"/>
                <w:u w:val="single"/>
              </w:rPr>
            </w:pPr>
          </w:p>
        </w:tc>
        <w:tc>
          <w:tcPr>
            <w:tcW w:w="787" w:type="dxa"/>
            <w:vAlign w:val="center"/>
          </w:tcPr>
          <w:p w14:paraId="65A08071">
            <w:pPr>
              <w:pStyle w:val="9"/>
              <w:spacing w:line="320" w:lineRule="exact"/>
              <w:rPr>
                <w:rFonts w:ascii="Times New Roman" w:hAnsi="Times New Roman" w:eastAsia="仿宋_GB2312" w:cs="Times New Roman"/>
                <w:sz w:val="28"/>
                <w:szCs w:val="32"/>
                <w:u w:val="single"/>
              </w:rPr>
            </w:pPr>
          </w:p>
        </w:tc>
      </w:tr>
    </w:tbl>
    <w:p w14:paraId="2756C347">
      <w:pPr>
        <w:spacing w:line="400" w:lineRule="exact"/>
        <w:ind w:firstLine="480" w:firstLineChars="200"/>
        <w:rPr>
          <w:rFonts w:ascii="Times New Roman" w:hAnsi="Times New Roman" w:eastAsia="仿宋_GB2312" w:cs="Times New Roman"/>
          <w:sz w:val="24"/>
          <w:szCs w:val="32"/>
        </w:rPr>
      </w:pPr>
      <w:r>
        <w:rPr>
          <w:rFonts w:ascii="Times New Roman" w:hAnsi="Times New Roman" w:eastAsia="仿宋_GB2312" w:cs="Times New Roman"/>
          <w:sz w:val="24"/>
          <w:szCs w:val="32"/>
        </w:rPr>
        <w:t>备注：委托人应针对每一审议事项，在授权委托书 “赞成”、“反对”或“弃权”意向中择一打“√”。如委托人不作具体指示并打“√”的，视为代理人有权按自己的意思进行表决，股东对该表决行为承担相应责任。</w:t>
      </w:r>
    </w:p>
    <w:p w14:paraId="468E4C2B">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二、代理人</w:t>
      </w:r>
      <w:r>
        <w:rPr>
          <w:rFonts w:ascii="Times New Roman" w:hAnsi="Times New Roman" w:eastAsia="仿宋_GB2312" w:cs="Times New Roman"/>
          <w:kern w:val="0"/>
          <w:sz w:val="32"/>
          <w:szCs w:val="32"/>
        </w:rPr>
        <w:t>对可能纳入本次会议议程的临时提案是否有表决权：□是  □否</w:t>
      </w:r>
    </w:p>
    <w:p w14:paraId="5C0CD8C6">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如有，应行使表决权：□赞同  □反对  □弃权</w:t>
      </w:r>
    </w:p>
    <w:p w14:paraId="73E504E2">
      <w:pPr>
        <w:spacing w:line="400" w:lineRule="exact"/>
        <w:ind w:firstLine="480" w:firstLineChars="200"/>
        <w:rPr>
          <w:rFonts w:ascii="Times New Roman" w:hAnsi="Times New Roman" w:eastAsia="仿宋_GB2312" w:cs="Times New Roman"/>
          <w:sz w:val="24"/>
          <w:szCs w:val="32"/>
        </w:rPr>
      </w:pPr>
      <w:r>
        <w:rPr>
          <w:rFonts w:ascii="Times New Roman" w:hAnsi="Times New Roman" w:eastAsia="仿宋_GB2312" w:cs="Times New Roman"/>
          <w:sz w:val="24"/>
          <w:szCs w:val="32"/>
        </w:rPr>
        <w:t>备注：请在方框中择一打“√”。如委托人在本授权委托书中不作具体指示并打“√”的，视为代理人有权按自己的意思对临时提案进行表决，股东对该表决行为承担相应责任。</w:t>
      </w:r>
    </w:p>
    <w:p w14:paraId="33F953F4">
      <w:pPr>
        <w:spacing w:line="4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三、代理人有权代为签署本次会议相关文件，有权代为按自己意思处理与本次会议有关的其他事项。</w:t>
      </w:r>
    </w:p>
    <w:p w14:paraId="7F16893C">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四、代理人在本次会议所做的所有行为均视为委托人的行为，委托人均予以确认。</w:t>
      </w:r>
    </w:p>
    <w:p w14:paraId="1E9BBB95">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本委托无转委托权。委托期限自委托日期起至委托事项办理完毕为止。</w:t>
      </w:r>
    </w:p>
    <w:p w14:paraId="57781579">
      <w:pPr>
        <w:spacing w:line="560" w:lineRule="exact"/>
        <w:rPr>
          <w:rFonts w:ascii="Times New Roman" w:hAnsi="Times New Roman" w:eastAsia="仿宋_GB2312" w:cs="Times New Roman"/>
          <w:sz w:val="32"/>
          <w:szCs w:val="32"/>
        </w:rPr>
      </w:pPr>
    </w:p>
    <w:p w14:paraId="34DCB4B3">
      <w:pPr>
        <w:pStyle w:val="2"/>
        <w:spacing w:before="156"/>
        <w:rPr>
          <w:rFonts w:ascii="Times New Roman" w:hAnsi="Times New Roman" w:cs="Times New Roman"/>
        </w:rPr>
      </w:pPr>
    </w:p>
    <w:p w14:paraId="120D0688">
      <w:pPr>
        <w:pStyle w:val="3"/>
      </w:pPr>
    </w:p>
    <w:p w14:paraId="14F48D5A">
      <w:pPr>
        <w:pStyle w:val="2"/>
      </w:pPr>
    </w:p>
    <w:p w14:paraId="3B9AA74D">
      <w:pPr>
        <w:pStyle w:val="3"/>
      </w:pPr>
    </w:p>
    <w:p w14:paraId="4FA5FD7E">
      <w:pPr>
        <w:pStyle w:val="2"/>
      </w:pPr>
    </w:p>
    <w:p w14:paraId="18C0382C">
      <w:pPr>
        <w:pStyle w:val="2"/>
        <w:spacing w:before="156"/>
        <w:rPr>
          <w:rFonts w:ascii="Times New Roman" w:hAnsi="Times New Roman" w:cs="Times New Roman"/>
        </w:rPr>
      </w:pPr>
    </w:p>
    <w:p w14:paraId="0D5127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lang w:val="en-US" w:eastAsia="zh-CN"/>
        </w:rPr>
      </w:pPr>
      <w:r>
        <w:rPr>
          <w:rFonts w:hint="eastAsia" w:ascii="仿宋_GB2312" w:eastAsia="仿宋_GB2312"/>
          <w:sz w:val="32"/>
          <w:szCs w:val="32"/>
        </w:rPr>
        <w:t>委托人</w:t>
      </w:r>
      <w:r>
        <w:rPr>
          <w:rFonts w:hint="eastAsia" w:ascii="仿宋_GB2312" w:eastAsia="仿宋_GB2312"/>
          <w:sz w:val="32"/>
          <w:szCs w:val="32"/>
          <w:lang w:val="en-US" w:eastAsia="zh-CN"/>
        </w:rPr>
        <w:t>姓名</w:t>
      </w:r>
      <w:r>
        <w:rPr>
          <w:rFonts w:hint="eastAsia" w:ascii="仿宋_GB2312" w:eastAsia="仿宋_GB2312"/>
          <w:sz w:val="32"/>
          <w:szCs w:val="32"/>
        </w:rPr>
        <w:t>（</w:t>
      </w:r>
      <w:r>
        <w:rPr>
          <w:rFonts w:hint="eastAsia" w:ascii="仿宋_GB2312" w:eastAsia="仿宋_GB2312"/>
          <w:sz w:val="32"/>
          <w:szCs w:val="32"/>
          <w:lang w:val="en-US" w:eastAsia="zh-CN"/>
        </w:rPr>
        <w:t>签字/</w:t>
      </w:r>
      <w:r>
        <w:rPr>
          <w:rFonts w:hint="eastAsia" w:ascii="仿宋_GB2312" w:eastAsia="仿宋_GB2312"/>
          <w:sz w:val="32"/>
          <w:szCs w:val="32"/>
        </w:rPr>
        <w:t>盖章）:</w:t>
      </w:r>
      <w:r>
        <w:rPr>
          <w:rFonts w:ascii="仿宋_GB2312" w:eastAsia="仿宋_GB2312"/>
          <w:sz w:val="32"/>
          <w:szCs w:val="32"/>
        </w:rPr>
        <w:t xml:space="preserve">        </w:t>
      </w:r>
      <w:r>
        <w:rPr>
          <w:rFonts w:hint="eastAsia" w:ascii="仿宋_GB2312" w:eastAsia="仿宋_GB2312"/>
          <w:sz w:val="32"/>
          <w:szCs w:val="32"/>
          <w:lang w:val="en-US" w:eastAsia="zh-CN"/>
        </w:rPr>
        <w:t xml:space="preserve"> </w:t>
      </w:r>
    </w:p>
    <w:p w14:paraId="0BB5E4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lang w:val="en-US" w:eastAsia="zh-CN"/>
        </w:rPr>
      </w:pPr>
    </w:p>
    <w:p w14:paraId="102CCF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ascii="仿宋_GB2312" w:eastAsia="仿宋_GB2312"/>
          <w:sz w:val="32"/>
          <w:szCs w:val="32"/>
        </w:rPr>
        <w:t>代理人</w:t>
      </w:r>
      <w:r>
        <w:rPr>
          <w:rFonts w:hint="eastAsia" w:ascii="仿宋_GB2312" w:eastAsia="仿宋_GB2312"/>
          <w:sz w:val="32"/>
          <w:szCs w:val="32"/>
        </w:rPr>
        <w:t>（签名</w:t>
      </w:r>
      <w:r>
        <w:rPr>
          <w:rFonts w:hint="eastAsia" w:ascii="仿宋_GB2312" w:eastAsia="仿宋_GB2312"/>
          <w:sz w:val="32"/>
          <w:szCs w:val="32"/>
          <w:lang w:val="en-US" w:eastAsia="zh-CN"/>
        </w:rPr>
        <w:t>/盖章</w:t>
      </w:r>
      <w:r>
        <w:rPr>
          <w:rFonts w:hint="eastAsia" w:ascii="仿宋_GB2312" w:eastAsia="仿宋_GB2312"/>
          <w:sz w:val="32"/>
          <w:szCs w:val="32"/>
        </w:rPr>
        <w:t>）：</w:t>
      </w:r>
    </w:p>
    <w:p w14:paraId="68863FEB">
      <w:pPr>
        <w:pStyle w:val="9"/>
        <w:rPr>
          <w:rFonts w:hint="eastAsia"/>
        </w:rPr>
      </w:pPr>
    </w:p>
    <w:p w14:paraId="0A67CBBA">
      <w:pPr>
        <w:spacing w:line="560" w:lineRule="exact"/>
        <w:rPr>
          <w:rFonts w:hint="eastAsia" w:eastAsiaTheme="minorEastAsia"/>
          <w:lang w:eastAsia="zh-CN"/>
        </w:rPr>
      </w:pPr>
      <w:r>
        <w:rPr>
          <w:rFonts w:ascii="仿宋_GB2312" w:eastAsia="仿宋_GB2312"/>
          <w:sz w:val="32"/>
          <w:szCs w:val="32"/>
        </w:rPr>
        <w:t>委</w:t>
      </w:r>
      <w:r>
        <w:rPr>
          <w:rFonts w:hint="eastAsia" w:ascii="仿宋_GB2312" w:eastAsia="仿宋_GB2312"/>
          <w:sz w:val="32"/>
          <w:szCs w:val="32"/>
          <w:lang w:val="en-US" w:eastAsia="zh-CN"/>
        </w:rPr>
        <w:t xml:space="preserve"> </w:t>
      </w:r>
      <w:r>
        <w:rPr>
          <w:rFonts w:ascii="仿宋_GB2312" w:eastAsia="仿宋_GB2312"/>
          <w:sz w:val="32"/>
          <w:szCs w:val="32"/>
        </w:rPr>
        <w:t>托</w:t>
      </w:r>
      <w:r>
        <w:rPr>
          <w:rFonts w:hint="eastAsia" w:ascii="仿宋_GB2312" w:eastAsia="仿宋_GB2312"/>
          <w:sz w:val="32"/>
          <w:szCs w:val="32"/>
          <w:lang w:val="en-US" w:eastAsia="zh-CN"/>
        </w:rPr>
        <w:t xml:space="preserve"> </w:t>
      </w:r>
      <w:r>
        <w:rPr>
          <w:rFonts w:ascii="仿宋_GB2312" w:eastAsia="仿宋_GB2312"/>
          <w:sz w:val="32"/>
          <w:szCs w:val="32"/>
        </w:rPr>
        <w:t>日</w:t>
      </w:r>
      <w:r>
        <w:rPr>
          <w:rFonts w:hint="eastAsia" w:ascii="仿宋_GB2312" w:eastAsia="仿宋_GB2312"/>
          <w:sz w:val="32"/>
          <w:szCs w:val="32"/>
          <w:lang w:val="en-US" w:eastAsia="zh-CN"/>
        </w:rPr>
        <w:t xml:space="preserve"> </w:t>
      </w:r>
      <w:r>
        <w:rPr>
          <w:rFonts w:ascii="仿宋_GB2312" w:eastAsia="仿宋_GB2312"/>
          <w:sz w:val="32"/>
          <w:szCs w:val="32"/>
        </w:rPr>
        <w:t>期</w:t>
      </w:r>
      <w:r>
        <w:rPr>
          <w:rFonts w:hint="eastAsia" w:ascii="仿宋_GB2312" w:eastAsia="仿宋_GB2312"/>
          <w:sz w:val="32"/>
          <w:szCs w:val="32"/>
        </w:rPr>
        <w:t>：</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年</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月</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日</w:t>
      </w:r>
      <w:r>
        <w:rPr>
          <w:rFonts w:hint="eastAsia" w:ascii="仿宋_GB2312" w:eastAsia="仿宋_GB2312"/>
          <w:sz w:val="32"/>
          <w:szCs w:val="32"/>
        </w:rPr>
        <w:t xml:space="preserve"> </w:t>
      </w:r>
    </w:p>
    <w:p w14:paraId="7904BE9F">
      <w:pPr>
        <w:spacing w:line="560" w:lineRule="exact"/>
        <w:ind w:firstLine="1050" w:firstLineChars="500"/>
        <w:rPr>
          <w:rFonts w:ascii="Times New Roman" w:hAnsi="Times New Roman" w:eastAsia="仿宋_GB2312" w:cs="Times New Roma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3514A">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3A882">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623A882">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p w14:paraId="40427D91">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8E4"/>
    <w:rsid w:val="0000793E"/>
    <w:rsid w:val="000422EA"/>
    <w:rsid w:val="000D67C7"/>
    <w:rsid w:val="000F028B"/>
    <w:rsid w:val="00176848"/>
    <w:rsid w:val="001B3C03"/>
    <w:rsid w:val="001F70B7"/>
    <w:rsid w:val="002249A7"/>
    <w:rsid w:val="00260AE6"/>
    <w:rsid w:val="0027525C"/>
    <w:rsid w:val="0029607C"/>
    <w:rsid w:val="00306E19"/>
    <w:rsid w:val="003222E9"/>
    <w:rsid w:val="00351316"/>
    <w:rsid w:val="003C7257"/>
    <w:rsid w:val="003D06CA"/>
    <w:rsid w:val="003D14B2"/>
    <w:rsid w:val="004F31C8"/>
    <w:rsid w:val="00506148"/>
    <w:rsid w:val="005165FB"/>
    <w:rsid w:val="00525211"/>
    <w:rsid w:val="00534189"/>
    <w:rsid w:val="0055468A"/>
    <w:rsid w:val="00556C2C"/>
    <w:rsid w:val="005E41EA"/>
    <w:rsid w:val="00632879"/>
    <w:rsid w:val="00645369"/>
    <w:rsid w:val="00654A1D"/>
    <w:rsid w:val="006577E2"/>
    <w:rsid w:val="006A361C"/>
    <w:rsid w:val="006E1398"/>
    <w:rsid w:val="006E34C9"/>
    <w:rsid w:val="00720485"/>
    <w:rsid w:val="00776BD0"/>
    <w:rsid w:val="007B1152"/>
    <w:rsid w:val="00807243"/>
    <w:rsid w:val="008208F4"/>
    <w:rsid w:val="008E3995"/>
    <w:rsid w:val="009154C9"/>
    <w:rsid w:val="009320C6"/>
    <w:rsid w:val="0096417B"/>
    <w:rsid w:val="009833D6"/>
    <w:rsid w:val="009A07CB"/>
    <w:rsid w:val="009D6101"/>
    <w:rsid w:val="009F65A8"/>
    <w:rsid w:val="00A21785"/>
    <w:rsid w:val="00A33D47"/>
    <w:rsid w:val="00A71FC1"/>
    <w:rsid w:val="00A86ECD"/>
    <w:rsid w:val="00A910B9"/>
    <w:rsid w:val="00B33D7E"/>
    <w:rsid w:val="00B70058"/>
    <w:rsid w:val="00B72850"/>
    <w:rsid w:val="00B77202"/>
    <w:rsid w:val="00BC72D5"/>
    <w:rsid w:val="00BE4047"/>
    <w:rsid w:val="00BF1AB0"/>
    <w:rsid w:val="00C26377"/>
    <w:rsid w:val="00C75882"/>
    <w:rsid w:val="00C81E35"/>
    <w:rsid w:val="00D05FD9"/>
    <w:rsid w:val="00D30C91"/>
    <w:rsid w:val="00D67956"/>
    <w:rsid w:val="00DC525F"/>
    <w:rsid w:val="00DD4632"/>
    <w:rsid w:val="00E638E4"/>
    <w:rsid w:val="00EA6590"/>
    <w:rsid w:val="00FA08C0"/>
    <w:rsid w:val="00FB1756"/>
    <w:rsid w:val="02C51744"/>
    <w:rsid w:val="0FED6A13"/>
    <w:rsid w:val="20930C34"/>
    <w:rsid w:val="2B4A2338"/>
    <w:rsid w:val="2F083B83"/>
    <w:rsid w:val="33B36AC1"/>
    <w:rsid w:val="353B7AA0"/>
    <w:rsid w:val="3979503C"/>
    <w:rsid w:val="3EE475C0"/>
    <w:rsid w:val="41BE355B"/>
    <w:rsid w:val="45D71E31"/>
    <w:rsid w:val="4A58346D"/>
    <w:rsid w:val="4CC87FDA"/>
    <w:rsid w:val="4FAC0C1F"/>
    <w:rsid w:val="513F7E4B"/>
    <w:rsid w:val="51D6733E"/>
    <w:rsid w:val="524F3C4F"/>
    <w:rsid w:val="575326D1"/>
    <w:rsid w:val="5BFD92D0"/>
    <w:rsid w:val="5F5468F9"/>
    <w:rsid w:val="69B42F49"/>
    <w:rsid w:val="6FE93105"/>
    <w:rsid w:val="71E232F6"/>
    <w:rsid w:val="77452553"/>
    <w:rsid w:val="77991FDF"/>
    <w:rsid w:val="7B4E250A"/>
    <w:rsid w:val="7D951393"/>
    <w:rsid w:val="7EFEFF02"/>
    <w:rsid w:val="D7FB5BA5"/>
    <w:rsid w:val="FBFBB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before="50" w:beforeLines="50" w:line="360" w:lineRule="auto"/>
    </w:pPr>
    <w:rPr>
      <w:kern w:val="0"/>
      <w:sz w:val="24"/>
      <w:szCs w:val="24"/>
    </w:rPr>
  </w:style>
  <w:style w:type="paragraph" w:styleId="3">
    <w:name w:val="Body Text"/>
    <w:basedOn w:val="1"/>
    <w:next w:val="2"/>
    <w:unhideWhenUsed/>
    <w:qFormat/>
    <w:uiPriority w:val="99"/>
    <w:pPr>
      <w:spacing w:after="120"/>
    </w:pPr>
    <w:rPr>
      <w:rFonts w:ascii="Times New Roman" w:hAnsi="Times New Roman" w:eastAsia="宋体" w:cs="Times New Roman"/>
      <w:szCs w:val="24"/>
    </w:rPr>
  </w:style>
  <w:style w:type="paragraph" w:styleId="4">
    <w:name w:val="annotation text"/>
    <w:basedOn w:val="1"/>
    <w:link w:val="19"/>
    <w:semiHidden/>
    <w:unhideWhenUsed/>
    <w:qFormat/>
    <w:uiPriority w:val="99"/>
    <w:pPr>
      <w:jc w:val="left"/>
    </w:pPr>
  </w:style>
  <w:style w:type="paragraph" w:styleId="5">
    <w:name w:val="Balloon Text"/>
    <w:basedOn w:val="1"/>
    <w:link w:val="21"/>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semiHidden/>
    <w:unhideWhenUsed/>
    <w:qFormat/>
    <w:uiPriority w:val="99"/>
    <w:pPr>
      <w:snapToGrid w:val="0"/>
      <w:jc w:val="left"/>
    </w:pPr>
    <w:rPr>
      <w:sz w:val="18"/>
      <w:szCs w:val="18"/>
    </w:rPr>
  </w:style>
  <w:style w:type="paragraph" w:styleId="9">
    <w:name w:val="Body Text 2"/>
    <w:basedOn w:val="1"/>
    <w:link w:val="18"/>
    <w:semiHidden/>
    <w:unhideWhenUsed/>
    <w:qFormat/>
    <w:uiPriority w:val="99"/>
    <w:pPr>
      <w:spacing w:after="120" w:line="480" w:lineRule="auto"/>
    </w:pPr>
  </w:style>
  <w:style w:type="paragraph" w:styleId="10">
    <w:name w:val="annotation subject"/>
    <w:basedOn w:val="4"/>
    <w:next w:val="4"/>
    <w:link w:val="20"/>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semiHidden/>
    <w:unhideWhenUsed/>
    <w:qFormat/>
    <w:uiPriority w:val="99"/>
    <w:rPr>
      <w:sz w:val="21"/>
      <w:szCs w:val="21"/>
    </w:rPr>
  </w:style>
  <w:style w:type="character" w:styleId="15">
    <w:name w:val="footnote reference"/>
    <w:basedOn w:val="13"/>
    <w:semiHidden/>
    <w:unhideWhenUsed/>
    <w:qFormat/>
    <w:uiPriority w:val="99"/>
    <w:rPr>
      <w:vertAlign w:val="superscript"/>
    </w:rPr>
  </w:style>
  <w:style w:type="character" w:customStyle="1" w:styleId="16">
    <w:name w:val="页眉 字符"/>
    <w:basedOn w:val="13"/>
    <w:link w:val="7"/>
    <w:qFormat/>
    <w:uiPriority w:val="99"/>
    <w:rPr>
      <w:sz w:val="18"/>
      <w:szCs w:val="18"/>
    </w:rPr>
  </w:style>
  <w:style w:type="character" w:customStyle="1" w:styleId="17">
    <w:name w:val="页脚 字符"/>
    <w:basedOn w:val="13"/>
    <w:link w:val="6"/>
    <w:qFormat/>
    <w:uiPriority w:val="99"/>
    <w:rPr>
      <w:sz w:val="18"/>
      <w:szCs w:val="18"/>
    </w:rPr>
  </w:style>
  <w:style w:type="character" w:customStyle="1" w:styleId="18">
    <w:name w:val="正文文本 2 字符"/>
    <w:basedOn w:val="13"/>
    <w:link w:val="9"/>
    <w:semiHidden/>
    <w:qFormat/>
    <w:uiPriority w:val="99"/>
  </w:style>
  <w:style w:type="character" w:customStyle="1" w:styleId="19">
    <w:name w:val="批注文字 字符"/>
    <w:basedOn w:val="13"/>
    <w:link w:val="4"/>
    <w:semiHidden/>
    <w:qFormat/>
    <w:uiPriority w:val="99"/>
  </w:style>
  <w:style w:type="character" w:customStyle="1" w:styleId="20">
    <w:name w:val="批注主题 字符"/>
    <w:basedOn w:val="19"/>
    <w:link w:val="10"/>
    <w:semiHidden/>
    <w:qFormat/>
    <w:uiPriority w:val="99"/>
    <w:rPr>
      <w:b/>
      <w:bCs/>
    </w:rPr>
  </w:style>
  <w:style w:type="character" w:customStyle="1" w:styleId="21">
    <w:name w:val="批注框文本 字符"/>
    <w:basedOn w:val="13"/>
    <w:link w:val="5"/>
    <w:semiHidden/>
    <w:qFormat/>
    <w:uiPriority w:val="99"/>
    <w:rPr>
      <w:sz w:val="18"/>
      <w:szCs w:val="18"/>
    </w:rPr>
  </w:style>
  <w:style w:type="character" w:customStyle="1" w:styleId="22">
    <w:name w:val="脚注文本 字符"/>
    <w:basedOn w:val="13"/>
    <w:link w:val="8"/>
    <w:semiHidden/>
    <w:qFormat/>
    <w:uiPriority w:val="99"/>
    <w:rPr>
      <w:sz w:val="18"/>
      <w:szCs w:val="18"/>
    </w:rPr>
  </w:style>
  <w:style w:type="paragraph" w:customStyle="1" w:styleId="2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261</Words>
  <Characters>1488</Characters>
  <Lines>12</Lines>
  <Paragraphs>3</Paragraphs>
  <TotalTime>0</TotalTime>
  <ScaleCrop>false</ScaleCrop>
  <LinksUpToDate>false</LinksUpToDate>
  <CharactersWithSpaces>1746</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2024-12-05T14:14:00Z</dcterms:created>
  <dc:creator>办公室核稿</dc:creator>
  <cp:lastModifiedBy>106739-周昌艳</cp:lastModifiedBy>
  <cp:lastPrinted>2026-09-02T03:17:00Z</cp:lastPrinted>
  <dcterms:modified xsi:type="dcterms:W3CDTF">2026-09-17T08:41:11Z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eyJoZGlkIjoiNmU3OGFlMDVjNmMxMmU5NmNjZWRhOTc2YzRhMDEzMzUifQ==</vt:lpwstr>
  </property>
  <property fmtid="{D5CDD505-2E9C-101B-9397-08002B2CF9AE}" pid="3" name="KSOProductBuildVer">
    <vt:lpwstr>2052-12.8.2.18205</vt:lpwstr>
  </property>
  <property fmtid="{D5CDD505-2E9C-101B-9397-08002B2CF9AE}" pid="4" name="ICV">
    <vt:lpwstr>8B33FBFE07BE1CB88BDF206A33AC47A7_43</vt:lpwstr>
  </property>
</Properties>
</file>