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jc w:val="center"/>
        <w:rPr>
          <w:rFonts w:ascii="宋体"/>
          <w:b/>
          <w:sz w:val="84"/>
          <w:szCs w:val="8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贵州普定农村商业银行股份有限公司采购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2026年公众责任险项目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二次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/>
          <w:b/>
          <w:bCs/>
          <w:spacing w:val="-20"/>
          <w:sz w:val="7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0"/>
          <w:sz w:val="44"/>
          <w:szCs w:val="44"/>
        </w:rPr>
        <w:t>询价文件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753" w:firstLineChars="445"/>
        <w:textAlignment w:val="auto"/>
        <w:rPr>
          <w:rFonts w:ascii="宋体"/>
          <w:b/>
          <w:bCs/>
          <w:sz w:val="8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4" w:firstLineChars="300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4" w:firstLineChars="300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4" w:firstLineChars="300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4" w:firstLineChars="300"/>
        <w:textAlignment w:val="auto"/>
        <w:rPr>
          <w:rFonts w:ascii="宋体"/>
          <w:b/>
          <w:bCs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62" w:firstLineChars="419"/>
        <w:textAlignment w:val="auto"/>
        <w:rPr>
          <w:rFonts w:ascii="宋体"/>
          <w:b/>
          <w:bCs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262" w:firstLineChars="419"/>
        <w:textAlignment w:val="auto"/>
        <w:rPr>
          <w:rFonts w:ascii="宋体"/>
          <w:b/>
          <w:bCs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810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506" w:firstLineChars="500"/>
        <w:textAlignment w:val="auto"/>
        <w:rPr>
          <w:rFonts w:ascii="Calibri" w:hAnsi="Calibri"/>
        </w:rPr>
      </w:pPr>
      <w:r>
        <w:rPr>
          <w:rFonts w:hint="eastAsia" w:ascii="宋体" w:hAnsi="宋体"/>
          <w:b/>
          <w:bCs/>
          <w:sz w:val="30"/>
          <w:szCs w:val="30"/>
        </w:rPr>
        <w:t>业主单位：</w:t>
      </w:r>
      <w:r>
        <w:rPr>
          <w:rFonts w:hint="eastAsia" w:ascii="宋体" w:hAnsi="宋体"/>
          <w:b/>
          <w:bCs/>
          <w:sz w:val="30"/>
          <w:szCs w:val="30"/>
          <w:u w:val="single"/>
        </w:rPr>
        <w:t>贵州普定农村商业银行股份有限公司</w:t>
      </w:r>
      <w:r>
        <w:rPr>
          <w:rFonts w:ascii="宋体"/>
          <w:b/>
          <w:bCs/>
          <w:sz w:val="30"/>
          <w:szCs w:val="30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506" w:firstLineChars="500"/>
        <w:rPr>
          <w:rStyle w:val="16"/>
          <w:rFonts w:ascii="宋体"/>
          <w:b/>
          <w:bCs/>
          <w:sz w:val="30"/>
          <w:szCs w:val="30"/>
        </w:rPr>
        <w:sectPr>
          <w:footerReference r:id="rId4" w:type="first"/>
          <w:footerReference r:id="rId3" w:type="default"/>
          <w:pgSz w:w="11906" w:h="16838"/>
          <w:pgMar w:top="1089" w:right="1106" w:bottom="1090" w:left="1259" w:header="624" w:footer="720" w:gutter="0"/>
          <w:pgNumType w:start="1"/>
          <w:cols w:space="425" w:num="1"/>
          <w:docGrid w:linePitch="312" w:charSpace="0"/>
        </w:sectPr>
      </w:pPr>
      <w:r>
        <w:rPr>
          <w:rStyle w:val="16"/>
          <w:rFonts w:hint="eastAsia" w:ascii="宋体"/>
          <w:b/>
          <w:bCs/>
          <w:sz w:val="30"/>
          <w:szCs w:val="30"/>
        </w:rPr>
        <w:t>日    期</w:t>
      </w:r>
      <w:r>
        <w:rPr>
          <w:rFonts w:hint="eastAsia" w:ascii="宋体" w:hAnsi="宋体"/>
          <w:b/>
          <w:bCs/>
          <w:sz w:val="30"/>
          <w:szCs w:val="30"/>
        </w:rPr>
        <w:t>：</w:t>
      </w:r>
      <w:r>
        <w:rPr>
          <w:rFonts w:hint="eastAsia" w:ascii="宋体" w:hAnsi="宋体"/>
          <w:b/>
          <w:bCs/>
          <w:sz w:val="30"/>
          <w:szCs w:val="30"/>
          <w:u w:val="single"/>
        </w:rPr>
        <w:t>2026年8月</w:t>
      </w:r>
    </w:p>
    <w:p>
      <w:pPr>
        <w:tabs>
          <w:tab w:val="left" w:pos="1245"/>
          <w:tab w:val="center" w:pos="4535"/>
        </w:tabs>
        <w:spacing w:line="600" w:lineRule="exact"/>
        <w:jc w:val="center"/>
        <w:rPr>
          <w:rStyle w:val="16"/>
          <w:rFonts w:hint="eastAsia" w:ascii="宋体" w:hAnsi="宋体"/>
          <w:b/>
          <w:bCs/>
          <w:sz w:val="44"/>
          <w:szCs w:val="44"/>
        </w:rPr>
      </w:pPr>
    </w:p>
    <w:p>
      <w:pPr>
        <w:tabs>
          <w:tab w:val="left" w:pos="1245"/>
          <w:tab w:val="center" w:pos="4535"/>
        </w:tabs>
        <w:spacing w:line="600" w:lineRule="exact"/>
        <w:jc w:val="center"/>
        <w:rPr>
          <w:rStyle w:val="16"/>
          <w:rFonts w:ascii="宋体"/>
          <w:b/>
          <w:bCs/>
          <w:sz w:val="44"/>
          <w:szCs w:val="44"/>
        </w:rPr>
      </w:pPr>
      <w:r>
        <w:rPr>
          <w:rStyle w:val="16"/>
          <w:rFonts w:hint="eastAsia" w:ascii="宋体" w:hAnsi="宋体"/>
          <w:b/>
          <w:bCs/>
          <w:sz w:val="44"/>
          <w:szCs w:val="44"/>
        </w:rPr>
        <w:t>目</w:t>
      </w:r>
      <w:r>
        <w:rPr>
          <w:rStyle w:val="16"/>
          <w:rFonts w:ascii="宋体" w:hAnsi="宋体"/>
          <w:b/>
          <w:bCs/>
          <w:sz w:val="44"/>
          <w:szCs w:val="44"/>
        </w:rPr>
        <w:t xml:space="preserve">   </w:t>
      </w:r>
      <w:r>
        <w:rPr>
          <w:rStyle w:val="16"/>
          <w:rFonts w:hint="eastAsia" w:ascii="宋体" w:hAnsi="宋体"/>
          <w:b/>
          <w:bCs/>
          <w:sz w:val="44"/>
          <w:szCs w:val="44"/>
        </w:rPr>
        <w:t>录</w:t>
      </w:r>
    </w:p>
    <w:p>
      <w:pPr>
        <w:tabs>
          <w:tab w:val="left" w:pos="1245"/>
          <w:tab w:val="center" w:pos="4535"/>
        </w:tabs>
        <w:spacing w:line="600" w:lineRule="exact"/>
        <w:jc w:val="center"/>
        <w:rPr>
          <w:rStyle w:val="16"/>
          <w:rFonts w:ascii="宋体"/>
          <w:b/>
          <w:bCs/>
          <w:sz w:val="44"/>
          <w:szCs w:val="44"/>
        </w:rPr>
      </w:pPr>
    </w:p>
    <w:p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pacing w:val="24"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第一章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询价</w:t>
      </w:r>
      <w:r>
        <w:rPr>
          <w:rStyle w:val="16"/>
          <w:rFonts w:hint="eastAsia" w:ascii="宋体" w:hAnsi="宋体"/>
          <w:bCs/>
          <w:spacing w:val="24"/>
          <w:sz w:val="24"/>
        </w:rPr>
        <w:t>公告…</w:t>
      </w:r>
      <w:r>
        <w:rPr>
          <w:rStyle w:val="16"/>
          <w:rFonts w:hint="eastAsia" w:ascii="宋体"/>
          <w:bCs/>
          <w:sz w:val="24"/>
        </w:rPr>
        <w:t>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……………………………………</w:t>
      </w:r>
      <w:r>
        <w:rPr>
          <w:rStyle w:val="16"/>
          <w:rFonts w:hint="eastAsia" w:ascii="宋体" w:hAnsi="宋体"/>
          <w:bCs/>
          <w:sz w:val="24"/>
        </w:rPr>
        <w:t>………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3</w:t>
      </w:r>
    </w:p>
    <w:p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第二章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询价须知</w:t>
      </w:r>
      <w:r>
        <w:rPr>
          <w:rStyle w:val="16"/>
          <w:rFonts w:hint="eastAsia" w:ascii="宋体" w:hAnsi="宋体"/>
          <w:bCs/>
          <w:spacing w:val="24"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……………………………………</w:t>
      </w:r>
      <w:r>
        <w:rPr>
          <w:rStyle w:val="16"/>
          <w:rFonts w:hint="eastAsia" w:ascii="宋体" w:hAnsi="宋体"/>
          <w:bCs/>
          <w:sz w:val="24"/>
        </w:rPr>
        <w:t>………  5</w:t>
      </w:r>
    </w:p>
    <w:p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第三章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评审工作程序</w:t>
      </w:r>
      <w:r>
        <w:rPr>
          <w:rStyle w:val="16"/>
          <w:rFonts w:ascii="宋体" w:hAnsi="宋体"/>
          <w:bCs/>
          <w:sz w:val="24"/>
        </w:rPr>
        <w:t xml:space="preserve">  </w:t>
      </w:r>
      <w:r>
        <w:rPr>
          <w:rStyle w:val="16"/>
          <w:rFonts w:hint="eastAsia" w:ascii="宋体" w:hAnsi="宋体"/>
          <w:bCs/>
          <w:sz w:val="24"/>
        </w:rPr>
        <w:t>……………………………………………………………</w:t>
      </w:r>
      <w:r>
        <w:rPr>
          <w:rStyle w:val="16"/>
          <w:rFonts w:hint="eastAsia" w:ascii="宋体"/>
          <w:bCs/>
          <w:sz w:val="24"/>
        </w:rPr>
        <w:t>…………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>11</w:t>
      </w:r>
    </w:p>
    <w:p>
      <w:pPr>
        <w:tabs>
          <w:tab w:val="left" w:pos="1245"/>
          <w:tab w:val="center" w:pos="4535"/>
        </w:tabs>
        <w:spacing w:line="520" w:lineRule="exact"/>
        <w:jc w:val="distribute"/>
        <w:rPr>
          <w:rStyle w:val="16"/>
          <w:rFonts w:ascii="宋体"/>
          <w:bCs/>
          <w:sz w:val="24"/>
        </w:rPr>
      </w:pPr>
      <w:r>
        <w:rPr>
          <w:rStyle w:val="16"/>
          <w:rFonts w:hint="eastAsia" w:ascii="宋体" w:hAnsi="宋体"/>
          <w:bCs/>
          <w:sz w:val="24"/>
        </w:rPr>
        <w:t>第四章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 xml:space="preserve"> 竞选文件格式</w:t>
      </w:r>
      <w:r>
        <w:rPr>
          <w:rStyle w:val="16"/>
          <w:rFonts w:hint="eastAsia" w:ascii="宋体"/>
          <w:bCs/>
          <w:sz w:val="24"/>
        </w:rPr>
        <w:t>……………………………………………………………</w:t>
      </w:r>
      <w:r>
        <w:rPr>
          <w:rStyle w:val="16"/>
          <w:rFonts w:hint="eastAsia" w:ascii="宋体" w:hAnsi="宋体"/>
          <w:bCs/>
          <w:sz w:val="24"/>
        </w:rPr>
        <w:t>…</w:t>
      </w:r>
      <w:r>
        <w:rPr>
          <w:rStyle w:val="16"/>
          <w:rFonts w:hint="eastAsia" w:ascii="宋体"/>
          <w:bCs/>
          <w:sz w:val="24"/>
        </w:rPr>
        <w:t>…………</w:t>
      </w:r>
      <w:r>
        <w:rPr>
          <w:rStyle w:val="16"/>
          <w:rFonts w:ascii="宋体" w:hAnsi="宋体"/>
          <w:bCs/>
          <w:sz w:val="24"/>
        </w:rPr>
        <w:t xml:space="preserve"> </w:t>
      </w:r>
      <w:r>
        <w:rPr>
          <w:rStyle w:val="16"/>
          <w:rFonts w:hint="eastAsia" w:ascii="宋体" w:hAnsi="宋体"/>
          <w:bCs/>
          <w:sz w:val="24"/>
        </w:rPr>
        <w:t>12</w:t>
      </w: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both"/>
        <w:outlineLvl w:val="0"/>
        <w:rPr>
          <w:rFonts w:ascii="宋体" w:hAnsi="宋体" w:cs="宋体"/>
          <w:b/>
          <w:sz w:val="36"/>
        </w:rPr>
      </w:pPr>
      <w:bookmarkStart w:id="39" w:name="_GoBack"/>
      <w:bookmarkEnd w:id="39"/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hint="eastAsia"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  <w:r>
        <w:rPr>
          <w:rFonts w:hint="eastAsia" w:ascii="宋体" w:hAnsi="宋体" w:cs="宋体"/>
          <w:b/>
          <w:sz w:val="36"/>
        </w:rPr>
        <w:t>第一章  询价公告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一、项目概况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项目名称：贵州普定农村商业银行股份有限公司采购2026年公众责任险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项目预算：5万</w:t>
      </w:r>
      <w:r>
        <w:rPr>
          <w:rFonts w:ascii="仿宋_GB2312" w:hAnsi="仿宋_GB2312" w:eastAsia="仿宋_GB2312" w:cs="仿宋_GB2312"/>
          <w:sz w:val="32"/>
          <w:szCs w:val="32"/>
        </w:rPr>
        <w:t>元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二、竞选人资格要求</w:t>
      </w:r>
    </w:p>
    <w:p>
      <w:pPr>
        <w:pStyle w:val="22"/>
        <w:spacing w:line="560" w:lineRule="exact"/>
        <w:ind w:firstLine="643" w:firstLineChars="200"/>
        <w:rPr>
          <w:rFonts w:hint="eastAsia"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（一）基本资格：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满足《中华人民共和国政府采购法》第二十二条规定，具有独立承担民事责任的能力。</w:t>
      </w:r>
    </w:p>
    <w:p>
      <w:pPr>
        <w:pStyle w:val="22"/>
        <w:spacing w:line="560" w:lineRule="exact"/>
        <w:ind w:firstLine="643" w:firstLineChars="200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（二）特定资格：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必须是在中华人民共和国境内注册的独立法人，持有国家金融监督管理总局（原银保监会）核发的有效《保险许可证》或《经营保险业务许可证》。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具有开展公众责任保险业务的法定资格。</w:t>
      </w:r>
    </w:p>
    <w:p>
      <w:pPr>
        <w:pStyle w:val="22"/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（三）分支机构要求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若由分支机构投标，须提供总公司针对本项目的唯一授权书；同一保险总公司仅允许总公司或其授权的一家分支机构参与投标。</w:t>
      </w:r>
    </w:p>
    <w:p>
      <w:pPr>
        <w:pStyle w:val="22"/>
        <w:spacing w:line="560" w:lineRule="exact"/>
        <w:ind w:firstLine="643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（四）信誉要求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参加采购活动前三年内，在经营活动中没有重大违法记录。</w:t>
      </w:r>
    </w:p>
    <w:p>
      <w:pPr>
        <w:pStyle w:val="22"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未被“信用中国”网站列入失信被执行人、重大税收违法失信主体名单；未被“中国政府采购网”列入政府采购严重违法失信行为记录名单。</w:t>
      </w:r>
    </w:p>
    <w:p>
      <w:pPr>
        <w:widowControl w:val="0"/>
        <w:spacing w:line="540" w:lineRule="exact"/>
        <w:ind w:firstLine="643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（五）其他要求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/>
          <w:sz w:val="32"/>
          <w:szCs w:val="32"/>
        </w:rPr>
        <w:t>本项目不接受联合体投标</w:t>
      </w:r>
      <w:r>
        <w:rPr>
          <w:rFonts w:hint="eastAsia" w:ascii="仿宋_GB2312" w:eastAsia="仿宋_GB2312"/>
          <w:sz w:val="32"/>
          <w:szCs w:val="32"/>
          <w:lang w:eastAsia="zh-CN"/>
        </w:rPr>
        <w:t>；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具备独立承担民事责任的能力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法定代表人、控股股东或实际控制人与采购人高管人员及使用需求部门、采购部门关键岗位人员无夫妻、直系血亲、三代以内旁系血亲或者近姻亲关系。</w:t>
      </w:r>
    </w:p>
    <w:p>
      <w:pPr>
        <w:widowControl w:val="0"/>
        <w:spacing w:line="540" w:lineRule="exact"/>
        <w:ind w:firstLine="643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【报名时，须提供以上资料复印件加盖公章一套，不提供或提供不齐全不予报名。】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三、询价文件信息 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询价文件获取方式：贵州普定农村商业银行股份有限公司官方网站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四、响应文件的递交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（一）响应文件递交截止时间：2026年8月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</w:rPr>
        <w:t>日15时。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（二）开标时间：2026年8月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sz w:val="32"/>
          <w:szCs w:val="32"/>
        </w:rPr>
        <w:t>时。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（三）开标地点：安顺市普定县穿洞街道中心大道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普定农商银行总行</w:t>
      </w:r>
      <w:r>
        <w:rPr>
          <w:rFonts w:hint="eastAsia" w:ascii="仿宋_GB2312" w:hAnsi="仿宋_GB2312" w:eastAsia="仿宋_GB2312" w:cs="仿宋_GB2312"/>
          <w:sz w:val="32"/>
          <w:szCs w:val="32"/>
        </w:rPr>
        <w:t>602会议室。</w:t>
      </w:r>
    </w:p>
    <w:p>
      <w:pPr>
        <w:widowControl w:val="0"/>
        <w:spacing w:line="540" w:lineRule="exact"/>
        <w:ind w:firstLine="643" w:firstLineChars="200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【逾期送达的、未送达指定地点的或者不按照要求密封的响应文件，将予以拒收。】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五、联系方式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采购单位：贵州普定农村商业银行股份有限公司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地址：贵州省安顺市普定县穿洞街道中心大道（新县委大楼旁）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联系人：龙先生</w:t>
      </w:r>
    </w:p>
    <w:p>
      <w:pPr>
        <w:widowControl w:val="0"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话：18685396556</w:t>
      </w:r>
    </w:p>
    <w:p>
      <w:pPr>
        <w:widowControl w:val="0"/>
        <w:spacing w:line="540" w:lineRule="exact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jc w:val="center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outlineLvl w:val="0"/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560" w:lineRule="exact"/>
        <w:ind w:firstLine="2891" w:firstLineChars="800"/>
        <w:outlineLvl w:val="0"/>
        <w:rPr>
          <w:rFonts w:ascii="宋体" w:hAnsi="宋体" w:cs="宋体"/>
          <w:b/>
          <w:sz w:val="28"/>
          <w:szCs w:val="21"/>
        </w:rPr>
      </w:pPr>
      <w:r>
        <w:rPr>
          <w:rFonts w:hint="eastAsia" w:ascii="宋体" w:hAnsi="宋体" w:cs="宋体"/>
          <w:b/>
          <w:sz w:val="36"/>
        </w:rPr>
        <w:t>第二章  询价须知</w:t>
      </w:r>
    </w:p>
    <w:p>
      <w:pPr>
        <w:pStyle w:val="7"/>
        <w:spacing w:line="323" w:lineRule="auto"/>
      </w:pPr>
    </w:p>
    <w:p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一、项目概况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宋体" w:eastAsia="仿宋_GB2312" w:cs="宋体"/>
          <w:sz w:val="32"/>
          <w:szCs w:val="32"/>
        </w:rPr>
        <w:t>项目名称：贵州普定农村商业银行股份有限公司采购2026年公众责任险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二次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项目预算：5万元</w:t>
      </w:r>
    </w:p>
    <w:p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二、投保区域</w:t>
      </w:r>
    </w:p>
    <w:p>
      <w:pPr>
        <w:widowControl w:val="0"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普定农商银行所有营业场所、离行式自助银行区域及公共区域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抵债资产</w:t>
      </w:r>
    </w:p>
    <w:p>
      <w:pPr>
        <w:widowControl w:val="0"/>
        <w:spacing w:line="560" w:lineRule="exact"/>
        <w:ind w:firstLine="643" w:firstLineChars="200"/>
        <w:textAlignment w:val="auto"/>
        <w:rPr>
          <w:rFonts w:ascii="仿宋_GB2312" w:hAnsi="宋体" w:eastAsia="仿宋_GB2312" w:cs="宋体"/>
          <w:b/>
          <w:bCs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sz w:val="32"/>
          <w:szCs w:val="32"/>
        </w:rPr>
        <w:t>三、投保范围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（一）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《公众责任保险条款（1999版）》：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保障项目：公众责任（1999版），保险金额：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30,000,000.00元，每次事故财产损失责任限额：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600,000.00元，每人医疗责任费用责任限额：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600,000.00元；</w:t>
      </w:r>
      <w:r>
        <w:rPr>
          <w:rFonts w:hint="eastAsia" w:ascii="仿宋_GB2312" w:hAnsi="宋体" w:eastAsia="仿宋_GB2312" w:cs="宋体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sz w:val="32"/>
          <w:szCs w:val="32"/>
        </w:rPr>
        <w:t xml:space="preserve">   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《公众责任保险附加停车场所责任条款》：</w:t>
      </w:r>
    </w:p>
    <w:p>
      <w:pPr>
        <w:spacing w:line="560" w:lineRule="exact"/>
        <w:ind w:left="105" w:leftChars="50" w:firstLine="480" w:firstLineChars="15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保障项目：公众责任保险附加停车场所责任，保险金额：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500,000.00元；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《公众责任保险附加火灾和爆炸责任条款》：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保障项目：公众责任保险附加火灾和爆炸责任，保险金额：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5,000,000.00元；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四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《公众责任保险附加广告及装饰装置责任条款》：</w:t>
      </w:r>
    </w:p>
    <w:p>
      <w:pPr>
        <w:spacing w:line="560" w:lineRule="exact"/>
        <w:ind w:left="105" w:leftChars="50" w:firstLine="480" w:firstLineChars="150"/>
        <w:jc w:val="left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保障项目：公众责任保险附加广告及装饰装置责任，保险金额：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>
      <w:pPr>
        <w:spacing w:line="560" w:lineRule="exact"/>
        <w:ind w:left="105" w:leftChars="50" w:firstLine="480" w:firstLineChars="15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五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《公众责任保险附加建筑物改变条款》：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保障项目：公众责任保险附加建筑物改变责任，保险金额：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六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《公众责任保险附加急救费用条款》：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保障项目：公众责任保险附加急救费用责任，保险金额：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《公众责任保险附加救火费用条款》：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保障项目：公众责任保险附加救火费用责任，保险金额：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3,000,000.00元，累计责任限额：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3,000,000.00元，每次事故责任限额：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100,000.00元；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八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《公众责任保险附加电梯责任条款》：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保障项目：公众责任保险附加电梯责任，保险金额：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九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《公众责任保险附加暴力行为、抢劫责任条款》：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保障项目：公众责任保险附加暴力行为、抢劫责任，保险金额：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十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《公众责任保险附加恐怖活动条款》：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保障项目：公众责任保险附加恐怖活动，保险金额：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30,000,000.00元；</w:t>
      </w:r>
    </w:p>
    <w:p>
      <w:pPr>
        <w:spacing w:line="560" w:lineRule="exact"/>
        <w:ind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eastAsia="仿宋_GB2312"/>
          <w:b w:val="0"/>
          <w:bCs w:val="0"/>
          <w:sz w:val="32"/>
          <w:szCs w:val="32"/>
        </w:rPr>
        <w:t>（</w:t>
      </w:r>
      <w:r>
        <w:rPr>
          <w:rFonts w:hint="eastAsia" w:ascii="仿宋_GB2312" w:eastAsia="仿宋_GB2312"/>
          <w:b w:val="0"/>
          <w:bCs w:val="0"/>
          <w:sz w:val="32"/>
          <w:szCs w:val="32"/>
          <w:lang w:val="en-US" w:eastAsia="zh-CN"/>
        </w:rPr>
        <w:t>十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一）</w:t>
      </w:r>
      <w:r>
        <w:rPr>
          <w:rFonts w:hint="eastAsia" w:ascii="仿宋_GB2312" w:hAnsi="宋体" w:eastAsia="仿宋_GB2312" w:cs="宋体"/>
          <w:sz w:val="32"/>
          <w:szCs w:val="32"/>
        </w:rPr>
        <w:t>《公众责任保险自然灾害扩展条款》：</w:t>
      </w:r>
    </w:p>
    <w:p>
      <w:pPr>
        <w:spacing w:line="560" w:lineRule="exact"/>
        <w:ind w:left="479" w:leftChars="228" w:firstLine="640" w:firstLineChars="200"/>
        <w:jc w:val="lef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保障项目：公众责任扩展自然灾害，保险金额：</w:t>
      </w:r>
      <w:r>
        <w:rPr>
          <w:rFonts w:hint="eastAsia" w:ascii="宋体" w:hAnsi="宋体" w:eastAsia="仿宋_GB2312" w:cs="宋体"/>
          <w:sz w:val="32"/>
          <w:szCs w:val="32"/>
        </w:rPr>
        <w:t>¥</w:t>
      </w:r>
      <w:r>
        <w:rPr>
          <w:rFonts w:hint="eastAsia" w:ascii="仿宋_GB2312" w:hAnsi="宋体" w:eastAsia="仿宋_GB2312" w:cs="宋体"/>
          <w:sz w:val="32"/>
          <w:szCs w:val="32"/>
        </w:rPr>
        <w:t>30,000,000.00元。</w:t>
      </w:r>
    </w:p>
    <w:p>
      <w:pPr>
        <w:spacing w:line="560" w:lineRule="exact"/>
        <w:ind w:left="479" w:leftChars="228" w:firstLine="643" w:firstLineChars="200"/>
        <w:jc w:val="left"/>
        <w:rPr>
          <w:rFonts w:ascii="仿宋_GB2312" w:hAnsi="宋体" w:eastAsia="仿宋_GB2312" w:cs="宋体"/>
          <w:b/>
          <w:sz w:val="32"/>
          <w:szCs w:val="32"/>
        </w:rPr>
      </w:pPr>
      <w:r>
        <w:rPr>
          <w:rFonts w:hint="eastAsia" w:ascii="仿宋_GB2312" w:hAnsi="宋体" w:eastAsia="仿宋_GB2312" w:cs="宋体"/>
          <w:b/>
          <w:sz w:val="32"/>
          <w:szCs w:val="32"/>
        </w:rPr>
        <w:t>四、承</w:t>
      </w:r>
      <w:r>
        <w:rPr>
          <w:rFonts w:hint="eastAsia" w:ascii="仿宋_GB2312" w:hAnsi="宋体" w:eastAsia="仿宋_GB2312" w:cs="宋体"/>
          <w:b/>
          <w:sz w:val="32"/>
          <w:szCs w:val="32"/>
          <w:lang w:val="en-US" w:eastAsia="zh-CN"/>
        </w:rPr>
        <w:t>保</w:t>
      </w:r>
      <w:r>
        <w:rPr>
          <w:rFonts w:hint="eastAsia" w:ascii="仿宋_GB2312" w:hAnsi="宋体" w:eastAsia="仿宋_GB2312" w:cs="宋体"/>
          <w:b/>
          <w:sz w:val="32"/>
          <w:szCs w:val="32"/>
        </w:rPr>
        <w:t>区域</w:t>
      </w:r>
      <w:bookmarkStart w:id="0" w:name="四-服务与理赔要求"/>
    </w:p>
    <w:tbl>
      <w:tblPr>
        <w:tblStyle w:val="12"/>
        <w:tblW w:w="9072" w:type="dxa"/>
        <w:tblInd w:w="534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2421"/>
        <w:gridCol w:w="1274"/>
        <w:gridCol w:w="48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24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资产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名称</w:t>
            </w:r>
          </w:p>
        </w:tc>
        <w:tc>
          <w:tcPr>
            <w:tcW w:w="12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  <w:t>类型</w:t>
            </w:r>
          </w:p>
        </w:tc>
        <w:tc>
          <w:tcPr>
            <w:tcW w:w="4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333333"/>
                <w:kern w:val="0"/>
                <w:sz w:val="24"/>
                <w:szCs w:val="24"/>
              </w:rPr>
              <w:t>地址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普定农商银行总行（含营业部）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贵州省安顺市普定县穿洞街道中心大道（新县委大楼旁）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玉兔支行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贵州省安顺市普定县穿洞街道玉兔山社区28栋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原顺时支行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贵州省安顺市普定县定南街道顺时小区2组团3号楼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西安支行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贵州省安顺市普定县穿洞街道西安路颐景园小区1号楼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定南支行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贵州省安顺市普定县定南街道鑫旺大市场1栋A-1号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文明支行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贵州省安顺市普定县定南街道富强路23号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红旗支行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贵州省安顺市普定县穿洞街道中心大道金地翠园28号楼1层1号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太平支行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贵州省安顺市普定县黄桶街道办事处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马官支行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贵州省安顺市普定县马官镇马堡村滨河大道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化处支行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贵州省安顺市普定县化处镇化处村翠峰路1号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水母支行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贵州省安顺市普定县化处镇水母村桥边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穿洞支行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贵州省安顺市普定县穿洞街道龙新村兴龙路118号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贵州省安顺市普定县马场镇党固村西堡大道</w:t>
            </w:r>
          </w:p>
        </w:tc>
      </w:tr>
      <w:tr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鸡场支行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贵州省安顺市普定县鸡场坡镇鸡场村复兴路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坪上支行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贵州省安顺市普定县坪上镇大哪村合意路23号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补郎支行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贵州省安顺市普定县补郎乡新秀村猛戛组123号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猴场支行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贵州省安顺市普定县猴场乡猴场村平安路165号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白岩支行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贵州省安顺市普定县白岩镇信合路76号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猫洞支行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贵州省安顺市普定县猫洞乡中心村月亮路54号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魏旗支行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贵州省安顺市普定县白岩镇讲义大道4号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马场老街支行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贵州省安顺市普定县马场镇马场村奇石路54号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原太平信用社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普定县太平农场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化处信用社老办公楼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普定县化处镇化处村空山路96号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猴场信用社老办公楼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普定县猴场乡猴场村福祥路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白岩信用社原营业所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普定县白岩镇明达路9号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马官老信用社办公楼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普定县马官镇马堡村过府路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化处信用社老办公楼（营业所）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普定县化处镇化处村磨乡路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马场信用社办公大楼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普定县马场镇党固村西堡大道70号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朵贝信用社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普定县化处镇播改村街上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猫洞信用社老办公楼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普定县猫洞乡中心村月亮组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坪上信用社老办公楼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普定县坪上镇坪上村街上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龙场信用社老办公楼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普定县穿洞办龙新村169号</w:t>
            </w:r>
          </w:p>
        </w:tc>
      </w:tr>
      <w:tr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原城关信用社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普定县城关镇解放路（石板街）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西北信用社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普定县猴场乡水落洞村中拥组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水母老信用社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普定县化处镇水母村街上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水母老营业所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普定县化处镇水母村街上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普罗旺斯ATM机商铺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普定县中心大道两四路旁普罗旺斯2号楼1单元商铺1层1号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凯旋城离行式ATM机商铺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普定县中心大道凯旋城广场B栋1层12号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书香府邸商铺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书香府邸14号楼1层7号铺面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县医院离行式自助机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普定县人民医院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普翼新城离行式ATM机网点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普定县城关镇安织路新街村普翼新城小区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鑫旺大市场离行式ATM网点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333333"/>
                <w:kern w:val="0"/>
                <w:sz w:val="24"/>
                <w:szCs w:val="24"/>
              </w:rPr>
              <w:t>离行式ATM机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普定县大洼村鑫旺大市场A-16栋1层18号商铺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普定余官支行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营业网点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普定县马官镇余官村房屋一间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普定县城关镇园丁南路晨光佳园2号楼2楼202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抵债资产2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普定县城关镇园丁南路晨光佳园6号楼1层2号商铺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抵债资产3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普定县城关镇中轴大道晨光商住楼301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抵债资产4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普定县城关镇顺时小区一组团5号楼B栋三单元701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48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普定县城关镇中心大道金地翠园17幢1单元6层1号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抵债资产6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普定县城关镇颐景园小区3号楼4单元201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抵债资产7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普定县城关镇中心大道金地翠园18幢负一层一号房产金地翠园地下室（豪悦居家居、周百联楼下）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51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抵债资产8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普定县城关镇顺时小区2组团4号楼2单元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抵债资产9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普定县玉秀街道普马路鑫臻苑小区2-4-1-4、2-4-2-2商铺，2-1-2-3、2-1-11-3住房，地下07号车位（使用权）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抵债资产10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1.普定县城关镇新街村普翼新城2号楼1层8-17号；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2.普定县城关镇新街村普翼新城3号楼1层42-44号；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3.普定县城关镇新街村普翼新城3号楼1层45-47号；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4.普定县城关镇新街村普翼新城2号楼1层23号；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5.普定县城关镇新街村普翼新城2号楼1层25号。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抵债资产11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普定县城关镇中心大道金地翠园16幢负1层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抵债资产12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普定县城关镇安织路普定县汇景酒店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</w:rPr>
              <w:t>56</w:t>
            </w:r>
          </w:p>
        </w:tc>
        <w:tc>
          <w:tcPr>
            <w:tcW w:w="24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textAlignment w:val="auto"/>
              <w:rPr>
                <w:rFonts w:hint="default" w:ascii="仿宋_GB2312" w:hAnsi="仿宋_GB2312" w:eastAsia="仿宋_GB2312" w:cs="仿宋_GB2312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抵债资产13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抵债资产</w:t>
            </w:r>
          </w:p>
        </w:tc>
        <w:tc>
          <w:tcPr>
            <w:tcW w:w="4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普定县城关镇中心大道新城名苑2号楼2单元6层1号。</w:t>
            </w:r>
          </w:p>
        </w:tc>
      </w:tr>
    </w:tbl>
    <w:p>
      <w:pPr>
        <w:spacing w:line="560" w:lineRule="exact"/>
        <w:ind w:left="479" w:leftChars="228" w:firstLine="643" w:firstLineChars="200"/>
        <w:jc w:val="left"/>
        <w:rPr>
          <w:rFonts w:ascii="仿宋_GB2312" w:hAnsi="宋体" w:eastAsia="仿宋_GB2312" w:cs="宋体"/>
          <w:b/>
          <w:sz w:val="32"/>
          <w:szCs w:val="32"/>
        </w:rPr>
      </w:pPr>
      <w:r>
        <w:rPr>
          <w:rFonts w:hint="eastAsia" w:ascii="仿宋_GB2312" w:hAnsi="宋体" w:eastAsia="仿宋_GB2312" w:cs="宋体"/>
          <w:b/>
          <w:sz w:val="32"/>
          <w:szCs w:val="32"/>
        </w:rPr>
        <w:t>五、服务与理赔要求</w:t>
      </w:r>
    </w:p>
    <w:p>
      <w:pPr>
        <w:pStyle w:val="22"/>
        <w:spacing w:line="560" w:lineRule="exact"/>
        <w:ind w:firstLine="643" w:firstLineChars="200"/>
        <w:rPr>
          <w:rFonts w:ascii="仿宋_GB2312" w:eastAsia="仿宋_GB2312" w:hAnsiTheme="minorEastAsia" w:cstheme="minorEastAsia"/>
          <w:kern w:val="2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/>
          <w:kern w:val="2"/>
          <w:sz w:val="32"/>
          <w:szCs w:val="32"/>
        </w:rPr>
        <w:t>（一）理赔时效：</w:t>
      </w:r>
      <w:r>
        <w:rPr>
          <w:rFonts w:hint="eastAsia" w:ascii="仿宋_GB2312" w:eastAsia="仿宋_GB2312" w:hAnsiTheme="minorEastAsia" w:cstheme="minorEastAsia"/>
          <w:kern w:val="2"/>
          <w:sz w:val="32"/>
          <w:szCs w:val="32"/>
        </w:rPr>
        <w:t>接到报案后，保险公司需在2小时内到达现场进行快速查勘处理，最大程度保障采购方合法权益。</w:t>
      </w:r>
    </w:p>
    <w:p>
      <w:pPr>
        <w:pStyle w:val="22"/>
        <w:spacing w:line="560" w:lineRule="exact"/>
        <w:ind w:firstLine="643" w:firstLineChars="200"/>
        <w:rPr>
          <w:rFonts w:ascii="仿宋_GB2312" w:eastAsia="仿宋_GB2312" w:hAnsiTheme="minorEastAsia" w:cstheme="minorEastAsia"/>
          <w:kern w:val="2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b/>
          <w:kern w:val="2"/>
          <w:sz w:val="32"/>
          <w:szCs w:val="32"/>
        </w:rPr>
        <w:t>（二）人员配置：</w:t>
      </w:r>
      <w:r>
        <w:rPr>
          <w:rFonts w:hint="eastAsia" w:ascii="仿宋_GB2312" w:eastAsia="仿宋_GB2312" w:hAnsiTheme="minorEastAsia" w:cstheme="minorEastAsia"/>
          <w:kern w:val="2"/>
          <w:sz w:val="32"/>
          <w:szCs w:val="32"/>
        </w:rPr>
        <w:t>需为本项目配备专属理赔服务团队及查勘车辆，确保沟通顺畅。</w:t>
      </w:r>
    </w:p>
    <w:bookmarkEnd w:id="0"/>
    <w:p>
      <w:pPr>
        <w:pStyle w:val="22"/>
        <w:spacing w:line="560" w:lineRule="exact"/>
        <w:ind w:firstLine="643" w:firstLineChars="200"/>
        <w:rPr>
          <w:rFonts w:ascii="仿宋_GB2312" w:hAnsi="宋体" w:eastAsia="仿宋_GB2312" w:cs="宋体"/>
          <w:b/>
          <w:kern w:val="2"/>
          <w:sz w:val="32"/>
          <w:szCs w:val="32"/>
        </w:rPr>
      </w:pPr>
      <w:bookmarkStart w:id="1" w:name="_Toc257724565"/>
      <w:bookmarkStart w:id="2" w:name="_Toc132254458"/>
      <w:bookmarkStart w:id="3" w:name="_Toc138581101"/>
      <w:bookmarkStart w:id="4" w:name="_Toc132253940"/>
      <w:bookmarkStart w:id="5" w:name="_Toc140467269"/>
      <w:bookmarkStart w:id="6" w:name="_Toc134953364"/>
      <w:bookmarkStart w:id="7" w:name="_Toc132254106"/>
      <w:bookmarkStart w:id="8" w:name="_Toc138581182"/>
      <w:r>
        <w:rPr>
          <w:rFonts w:hint="eastAsia" w:ascii="仿宋_GB2312" w:hAnsi="宋体" w:eastAsia="仿宋_GB2312" w:cs="宋体"/>
          <w:b/>
          <w:kern w:val="2"/>
          <w:sz w:val="32"/>
          <w:szCs w:val="32"/>
        </w:rPr>
        <w:t>六、询价文件（编制要求）</w:t>
      </w:r>
    </w:p>
    <w:p>
      <w:pPr>
        <w:pStyle w:val="18"/>
        <w:numPr>
          <w:ilvl w:val="0"/>
          <w:numId w:val="0"/>
        </w:numPr>
        <w:tabs>
          <w:tab w:val="left" w:pos="630"/>
          <w:tab w:val="clear" w:pos="420"/>
        </w:tabs>
        <w:spacing w:line="560" w:lineRule="exact"/>
        <w:ind w:firstLine="643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（一）询价文件的构成</w:t>
      </w:r>
      <w:bookmarkEnd w:id="1"/>
    </w:p>
    <w:p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1.代表人授权委托书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2.采购询价通知书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3.竞选人资质证明资料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4.信用承诺函</w:t>
      </w:r>
    </w:p>
    <w:bookmarkEnd w:id="2"/>
    <w:bookmarkEnd w:id="3"/>
    <w:bookmarkEnd w:id="4"/>
    <w:bookmarkEnd w:id="5"/>
    <w:bookmarkEnd w:id="6"/>
    <w:bookmarkEnd w:id="7"/>
    <w:bookmarkEnd w:id="8"/>
    <w:p>
      <w:pPr>
        <w:pStyle w:val="18"/>
        <w:numPr>
          <w:ilvl w:val="0"/>
          <w:numId w:val="0"/>
        </w:numPr>
        <w:tabs>
          <w:tab w:val="left" w:pos="630"/>
          <w:tab w:val="clear" w:pos="420"/>
        </w:tabs>
        <w:spacing w:line="560" w:lineRule="exact"/>
        <w:ind w:firstLine="643" w:firstLineChars="200"/>
        <w:rPr>
          <w:rFonts w:ascii="仿宋_GB2312" w:eastAsia="仿宋_GB2312" w:hAnsiTheme="minorEastAsia" w:cstheme="minorEastAsia"/>
          <w:sz w:val="32"/>
          <w:szCs w:val="32"/>
        </w:rPr>
      </w:pPr>
      <w:bookmarkStart w:id="9" w:name="_Toc132254107"/>
      <w:bookmarkStart w:id="10" w:name="_Toc138581102"/>
      <w:bookmarkStart w:id="11" w:name="_Toc134953365"/>
      <w:bookmarkStart w:id="12" w:name="_Toc140467270"/>
      <w:bookmarkStart w:id="13" w:name="_Toc132254459"/>
      <w:bookmarkStart w:id="14" w:name="_Toc257724566"/>
      <w:bookmarkStart w:id="15" w:name="_Toc138581183"/>
      <w:bookmarkStart w:id="16" w:name="_Toc211218925"/>
      <w:bookmarkStart w:id="17" w:name="_Toc132253941"/>
      <w:r>
        <w:rPr>
          <w:rFonts w:hint="eastAsia" w:ascii="仿宋_GB2312" w:eastAsia="仿宋_GB2312" w:hAnsiTheme="minorEastAsia" w:cstheme="minorEastAsia"/>
          <w:sz w:val="32"/>
          <w:szCs w:val="32"/>
        </w:rPr>
        <w:t>（二）装订、密封、递交要求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left="105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1.响应文件一式贰份，其中正本一份，副本壹份，</w:t>
      </w:r>
      <w:r>
        <w:rPr>
          <w:rFonts w:hint="eastAsia" w:ascii="仿宋_GB2312" w:eastAsia="仿宋_GB2312" w:hAnsiTheme="minorEastAsia" w:cstheme="minorEastAsia"/>
          <w:sz w:val="32"/>
          <w:szCs w:val="32"/>
          <w:lang w:val="zh-CN"/>
        </w:rPr>
        <w:t>均应标明：项目名称、竞选人名称、年 月 日。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所有外层密封袋的封口处应粘贴牢固，每一封口处均应贴密封条，并加盖公章。装订成册。外封套至少标明：竞选人名称、地址、及项目名称，并加盖公章。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2.询价文件必须加盖竞选人公章和全权代表签字。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 xml:space="preserve">3.竞选单位未按上述规定提交，其将被拒收，并原封退还给竞选单位。 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4.正、副本不一致时，以正本为准。</w:t>
      </w:r>
    </w:p>
    <w:p>
      <w:pPr>
        <w:pStyle w:val="19"/>
        <w:tabs>
          <w:tab w:val="left" w:pos="842"/>
          <w:tab w:val="clear" w:pos="700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5.递交截止时间2026年8月</w:t>
      </w:r>
      <w:r>
        <w:rPr>
          <w:rFonts w:hint="eastAsia" w:ascii="仿宋_GB2312" w:eastAsia="仿宋_GB2312" w:hAnsiTheme="minorEastAsia" w:cstheme="minorEastAsia"/>
          <w:sz w:val="32"/>
          <w:szCs w:val="32"/>
          <w:lang w:val="en-US" w:eastAsia="zh-CN"/>
        </w:rPr>
        <w:t>26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日15时</w:t>
      </w:r>
      <w:r>
        <w:rPr>
          <w:rFonts w:hint="eastAsia" w:ascii="仿宋_GB2312" w:eastAsia="仿宋_GB2312" w:hAnsiTheme="minorEastAsia" w:cstheme="minorEastAsia"/>
          <w:sz w:val="32"/>
          <w:szCs w:val="32"/>
          <w:shd w:val="clear" w:color="auto" w:fill="FFFFFF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p>
      <w:pPr>
        <w:pStyle w:val="20"/>
        <w:spacing w:beforeLines="0" w:afterLines="0" w:line="360" w:lineRule="exact"/>
        <w:rPr>
          <w:rFonts w:asciiTheme="minorEastAsia" w:hAnsiTheme="minorEastAsia" w:eastAsiaTheme="minorEastAsia" w:cstheme="minorEastAsia"/>
          <w:sz w:val="24"/>
          <w:szCs w:val="24"/>
        </w:rPr>
      </w:pPr>
      <w:bookmarkStart w:id="18" w:name="_Toc140467271"/>
      <w:bookmarkStart w:id="19" w:name="_Toc138581103"/>
      <w:bookmarkStart w:id="20" w:name="_Toc132254108"/>
      <w:bookmarkStart w:id="21" w:name="_Toc134953366"/>
      <w:bookmarkStart w:id="22" w:name="_Toc132254460"/>
      <w:bookmarkStart w:id="23" w:name="_Toc138581184"/>
      <w:bookmarkStart w:id="24" w:name="_Toc257724568"/>
      <w:bookmarkStart w:id="25" w:name="_Toc132253942"/>
      <w:bookmarkStart w:id="26" w:name="_Toc211218926"/>
      <w:r>
        <w:rPr>
          <w:rFonts w:hint="eastAsia" w:asciiTheme="minorEastAsia" w:hAnsiTheme="minorEastAsia" w:eastAsiaTheme="minorEastAsia" w:cstheme="minorEastAsia"/>
          <w:sz w:val="24"/>
          <w:szCs w:val="24"/>
        </w:rPr>
        <w:br w:type="page"/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Start w:id="27" w:name="_Toc389620192"/>
      <w:bookmarkStart w:id="28" w:name="_Toc385992353"/>
      <w:bookmarkStart w:id="29" w:name="_Toc140467280"/>
      <w:bookmarkStart w:id="30" w:name="_Toc134953375"/>
      <w:bookmarkStart w:id="31" w:name="_Toc132254117"/>
      <w:bookmarkStart w:id="32" w:name="_Toc173680909"/>
      <w:bookmarkStart w:id="33" w:name="_Toc138581193"/>
      <w:bookmarkStart w:id="34" w:name="_Toc132253951"/>
      <w:bookmarkStart w:id="35" w:name="_Toc182068833"/>
      <w:bookmarkStart w:id="36" w:name="_Toc132254469"/>
      <w:bookmarkStart w:id="37" w:name="_Toc138581112"/>
    </w:p>
    <w:p>
      <w:pPr>
        <w:pStyle w:val="20"/>
        <w:spacing w:beforeLines="0" w:afterLines="0" w:line="560" w:lineRule="exact"/>
        <w:rPr>
          <w:rFonts w:hint="eastAsia" w:ascii="宋体" w:hAnsi="宋体" w:eastAsia="宋体"/>
          <w:sz w:val="36"/>
          <w:szCs w:val="24"/>
        </w:rPr>
      </w:pPr>
    </w:p>
    <w:p>
      <w:pPr>
        <w:pStyle w:val="20"/>
        <w:spacing w:beforeLines="0" w:afterLines="0" w:line="560" w:lineRule="exact"/>
      </w:pPr>
      <w:r>
        <w:rPr>
          <w:rFonts w:hint="eastAsia" w:ascii="宋体" w:hAnsi="宋体" w:eastAsia="宋体"/>
          <w:sz w:val="36"/>
          <w:szCs w:val="24"/>
        </w:rPr>
        <w:t>第三章 评审工作程序</w:t>
      </w:r>
    </w:p>
    <w:bookmarkEnd w:id="27"/>
    <w:bookmarkEnd w:id="28"/>
    <w:p>
      <w:pPr>
        <w:pStyle w:val="18"/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eastAsia="仿宋_GB2312" w:hAnsiTheme="minorEastAsia" w:cstheme="minorEastAsia"/>
          <w:b w:val="0"/>
          <w:sz w:val="32"/>
          <w:szCs w:val="32"/>
          <w:lang w:val="en-US" w:eastAsia="zh-CN"/>
        </w:rPr>
      </w:pPr>
    </w:p>
    <w:p>
      <w:pPr>
        <w:pStyle w:val="18"/>
        <w:numPr>
          <w:ilvl w:val="0"/>
          <w:numId w:val="0"/>
        </w:numPr>
        <w:spacing w:line="560" w:lineRule="exact"/>
        <w:ind w:firstLine="640" w:firstLineChars="200"/>
        <w:rPr>
          <w:rFonts w:hint="eastAsia" w:ascii="黑体" w:hAnsi="黑体" w:eastAsia="黑体" w:cs="黑体"/>
          <w:b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sz w:val="32"/>
          <w:szCs w:val="32"/>
        </w:rPr>
        <w:t>询价程序</w:t>
      </w:r>
    </w:p>
    <w:p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竞选人全权代表向询价小组递交响应文件</w:t>
      </w:r>
    </w:p>
    <w:p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）</w:t>
      </w:r>
      <w:r>
        <w:rPr>
          <w:rFonts w:hint="eastAsia" w:ascii="楷体_GB2312" w:hAnsi="楷体_GB2312" w:eastAsia="楷体_GB2312" w:cs="楷体_GB2312"/>
          <w:sz w:val="32"/>
          <w:szCs w:val="32"/>
        </w:rPr>
        <w:t>询价小组审阅响应文件</w:t>
      </w:r>
    </w:p>
    <w:p>
      <w:pPr>
        <w:pStyle w:val="19"/>
        <w:tabs>
          <w:tab w:val="left" w:pos="31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  <w:lang w:val="en-US" w:eastAsia="zh-CN"/>
        </w:rPr>
        <w:t>1.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询价小组依据询价文件的规定，对响应文件的有效性、完整性和对询价文件的响应程度进行审查，</w:t>
      </w:r>
    </w:p>
    <w:p>
      <w:pPr>
        <w:pStyle w:val="19"/>
        <w:tabs>
          <w:tab w:val="left" w:pos="31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  <w:lang w:val="en-US" w:eastAsia="zh-CN"/>
        </w:rPr>
        <w:t>2.</w:t>
      </w:r>
      <w:r>
        <w:rPr>
          <w:rFonts w:hint="eastAsia" w:ascii="仿宋_GB2312" w:eastAsia="仿宋_GB2312" w:hAnsiTheme="minorEastAsia" w:cstheme="minorEastAsia"/>
          <w:sz w:val="32"/>
          <w:szCs w:val="32"/>
        </w:rPr>
        <w:t>在询价文件及程序符合法律规定的前提下，未响应询价文件的竞选将不进入评分环节。递交响应文件作出实质响应的竞选人不足3家的，终止询价，重新组织采购。</w:t>
      </w:r>
    </w:p>
    <w:p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）评标：</w:t>
      </w:r>
    </w:p>
    <w:p>
      <w:pPr>
        <w:pStyle w:val="19"/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由询价小组采用最低价法对竞选人的询价文件进行打分。</w:t>
      </w:r>
    </w:p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>
      <w:pPr>
        <w:pStyle w:val="18"/>
        <w:numPr>
          <w:ilvl w:val="0"/>
          <w:numId w:val="0"/>
        </w:numPr>
        <w:spacing w:line="560" w:lineRule="exact"/>
        <w:ind w:firstLine="640" w:firstLineChars="200"/>
        <w:rPr>
          <w:rFonts w:hint="eastAsia" w:ascii="黑体" w:hAnsi="黑体" w:eastAsia="黑体" w:cs="黑体"/>
          <w:b w:val="0"/>
          <w:sz w:val="32"/>
          <w:szCs w:val="32"/>
        </w:rPr>
      </w:pPr>
      <w:bookmarkStart w:id="38" w:name="_Toc257724579"/>
      <w:r>
        <w:rPr>
          <w:rFonts w:hint="eastAsia" w:ascii="黑体" w:hAnsi="黑体" w:eastAsia="黑体" w:cs="黑体"/>
          <w:b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sz w:val="32"/>
          <w:szCs w:val="32"/>
        </w:rPr>
        <w:t>评审原则和评审方法</w:t>
      </w:r>
    </w:p>
    <w:p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评审原则</w:t>
      </w:r>
    </w:p>
    <w:p>
      <w:pPr>
        <w:pStyle w:val="19"/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本次询价遵循公开透明、公平竞争、公正和诚实信用的原则。询价小组成员按照客观、公正、审慎的原则，根据询价文件规定的评审程序、评审方法和评审标准进行独立评审。未实质性响应询价文件的响应文件按无效响应处理，并告知提交响应文件的竞选人。</w:t>
      </w:r>
      <w:r>
        <w:rPr>
          <w:rFonts w:hint="eastAsia" w:eastAsia="仿宋_GB2312" w:asciiTheme="minorEastAsia" w:hAnsiTheme="minorEastAsia" w:cstheme="minorEastAsia"/>
          <w:sz w:val="32"/>
          <w:szCs w:val="32"/>
        </w:rPr>
        <w:t> </w:t>
      </w:r>
    </w:p>
    <w:p>
      <w:pPr>
        <w:pStyle w:val="19"/>
        <w:tabs>
          <w:tab w:val="left" w:pos="420"/>
          <w:tab w:val="left" w:pos="842"/>
        </w:tabs>
        <w:spacing w:line="560" w:lineRule="exact"/>
        <w:ind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</w:rPr>
        <w:t>）评分标准</w:t>
      </w:r>
      <w:r>
        <w:rPr>
          <w:rFonts w:hint="eastAsia" w:eastAsia="仿宋_GB2312" w:asciiTheme="minorEastAsia" w:hAnsiTheme="minorEastAsia" w:cstheme="minorEastAsia"/>
          <w:sz w:val="32"/>
          <w:szCs w:val="32"/>
        </w:rPr>
        <w:t> </w:t>
      </w:r>
    </w:p>
    <w:p>
      <w:pPr>
        <w:pStyle w:val="19"/>
        <w:spacing w:line="560" w:lineRule="exact"/>
        <w:ind w:left="105" w:leftChars="50" w:firstLine="640" w:firstLineChars="200"/>
        <w:rPr>
          <w:rFonts w:ascii="仿宋_GB2312" w:eastAsia="仿宋_GB2312" w:hAnsiTheme="minorEastAsia" w:cstheme="minorEastAsia"/>
          <w:sz w:val="32"/>
          <w:szCs w:val="32"/>
        </w:rPr>
      </w:pPr>
      <w:r>
        <w:rPr>
          <w:rFonts w:hint="eastAsia" w:ascii="仿宋_GB2312" w:eastAsia="仿宋_GB2312" w:hAnsiTheme="minorEastAsia" w:cstheme="minorEastAsia"/>
          <w:sz w:val="32"/>
          <w:szCs w:val="32"/>
        </w:rPr>
        <w:t>根据有关规定，询价小组成员按照客观、公正、谨慎的原则，根据询价文件规定的评审程序、评审方法和评审标准进行独立评审。根据报价高低确定成交供应商。</w:t>
      </w:r>
    </w:p>
    <w:p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>
      <w:pPr>
        <w:pStyle w:val="19"/>
        <w:spacing w:line="440" w:lineRule="exact"/>
        <w:ind w:left="105" w:leftChars="50" w:firstLine="720" w:firstLineChars="300"/>
        <w:rPr>
          <w:rFonts w:asciiTheme="minorEastAsia" w:hAnsiTheme="minorEastAsia" w:eastAsiaTheme="minorEastAsia" w:cstheme="minorEastAsia"/>
        </w:rPr>
      </w:pPr>
    </w:p>
    <w:p>
      <w:pPr>
        <w:pStyle w:val="19"/>
        <w:spacing w:line="440" w:lineRule="exact"/>
        <w:rPr>
          <w:rFonts w:asciiTheme="minorEastAsia" w:hAnsiTheme="minorEastAsia" w:eastAsiaTheme="minorEastAsia" w:cstheme="minorEastAsia"/>
        </w:rPr>
      </w:pPr>
    </w:p>
    <w:bookmarkEnd w:id="38"/>
    <w:p>
      <w:pPr>
        <w:rPr>
          <w:rFonts w:ascii="宋体" w:hAnsi="宋体" w:cs="宋体"/>
          <w:b/>
          <w:sz w:val="36"/>
        </w:rPr>
      </w:pPr>
    </w:p>
    <w:p>
      <w:pPr>
        <w:tabs>
          <w:tab w:val="left" w:pos="1426"/>
          <w:tab w:val="center" w:pos="4882"/>
        </w:tabs>
        <w:spacing w:line="360" w:lineRule="auto"/>
        <w:jc w:val="center"/>
        <w:outlineLvl w:val="0"/>
        <w:rPr>
          <w:rFonts w:ascii="宋体" w:hAnsi="宋体" w:cs="宋体"/>
          <w:b/>
          <w:sz w:val="36"/>
        </w:rPr>
      </w:pPr>
      <w:r>
        <w:rPr>
          <w:rFonts w:hint="eastAsia" w:ascii="宋体" w:hAnsi="宋体" w:cs="宋体"/>
          <w:b/>
          <w:sz w:val="36"/>
        </w:rPr>
        <w:t>第四章  竞选文件格式</w:t>
      </w:r>
    </w:p>
    <w:p>
      <w:pPr>
        <w:pStyle w:val="10"/>
        <w:spacing w:beforeLines="100"/>
        <w:jc w:val="center"/>
        <w:rPr>
          <w:rFonts w:ascii="宋体"/>
          <w:sz w:val="24"/>
        </w:rPr>
      </w:pPr>
      <w:r>
        <w:rPr>
          <w:rFonts w:hint="eastAsia"/>
          <w:b/>
          <w:sz w:val="28"/>
          <w:szCs w:val="28"/>
        </w:rPr>
        <w:t>一、</w:t>
      </w:r>
      <w:r>
        <w:rPr>
          <w:rFonts w:hint="eastAsia"/>
          <w:b/>
          <w:sz w:val="28"/>
          <w:szCs w:val="22"/>
        </w:rPr>
        <w:t>法定代表人授权委托书</w:t>
      </w:r>
    </w:p>
    <w:p>
      <w:pPr>
        <w:spacing w:line="4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贵州普定农村商业银行股份有限公司：</w:t>
      </w:r>
    </w:p>
    <w:p>
      <w:pPr>
        <w:spacing w:line="4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我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（姓名）</w:t>
      </w:r>
      <w:r>
        <w:rPr>
          <w:rFonts w:hint="eastAsia" w:ascii="仿宋_GB2312" w:hAnsi="宋体" w:eastAsia="仿宋_GB2312"/>
          <w:sz w:val="32"/>
          <w:szCs w:val="32"/>
        </w:rPr>
        <w:t>系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（公司名称）</w:t>
      </w:r>
      <w:r>
        <w:rPr>
          <w:rFonts w:hint="eastAsia" w:ascii="仿宋_GB2312" w:hAnsi="宋体" w:eastAsia="仿宋_GB2312"/>
          <w:sz w:val="32"/>
          <w:szCs w:val="32"/>
        </w:rPr>
        <w:t>的法定代表人现授权委托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（公司职务：    ）</w:t>
      </w:r>
      <w:r>
        <w:rPr>
          <w:rFonts w:hint="eastAsia" w:ascii="仿宋_GB2312" w:hAnsi="宋体" w:eastAsia="仿宋_GB2312"/>
          <w:sz w:val="32"/>
          <w:szCs w:val="32"/>
        </w:rPr>
        <w:t xml:space="preserve">为其代理人，参加贵单位于 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宋体" w:eastAsia="仿宋_GB2312"/>
          <w:sz w:val="32"/>
          <w:szCs w:val="32"/>
        </w:rPr>
        <w:t xml:space="preserve"> 年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月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日组织的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（项目名称）</w:t>
      </w:r>
      <w:r>
        <w:rPr>
          <w:rFonts w:hint="eastAsia" w:ascii="仿宋_GB2312" w:hAnsi="宋体" w:eastAsia="仿宋_GB2312"/>
          <w:sz w:val="32"/>
          <w:szCs w:val="32"/>
        </w:rPr>
        <w:t>磋商活动，全权代表我公司处理磋商活动中的一切事宜，我公司均予承认。</w:t>
      </w:r>
    </w:p>
    <w:p>
      <w:pPr>
        <w:spacing w:line="44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    被授权人无转委托权，特此委托。</w:t>
      </w:r>
    </w:p>
    <w:p>
      <w:pPr>
        <w:spacing w:line="440" w:lineRule="exact"/>
        <w:rPr>
          <w:rFonts w:ascii="仿宋_GB2312" w:eastAsia="仿宋_GB2312"/>
          <w:sz w:val="32"/>
          <w:szCs w:val="32"/>
        </w:rPr>
      </w:pPr>
    </w:p>
    <w:p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竞选人名称（加盖公章）：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日      期：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</w:p>
    <w:p>
      <w:pPr>
        <w:spacing w:line="440" w:lineRule="exact"/>
        <w:rPr>
          <w:rFonts w:ascii="仿宋_GB2312" w:eastAsia="仿宋_GB2312"/>
          <w:sz w:val="32"/>
          <w:szCs w:val="32"/>
        </w:rPr>
      </w:pPr>
    </w:p>
    <w:p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法定代表人（签字或印章）：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身份证号：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                           </w:t>
      </w:r>
    </w:p>
    <w:p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（附加盖竞选人公章的法定代表人身份证复印件）</w:t>
      </w:r>
    </w:p>
    <w:p>
      <w:pPr>
        <w:spacing w:line="440" w:lineRule="exact"/>
        <w:ind w:left="420" w:leftChars="200"/>
        <w:rPr>
          <w:rFonts w:ascii="仿宋_GB2312" w:eastAsia="仿宋_GB2312"/>
          <w:sz w:val="32"/>
          <w:szCs w:val="32"/>
        </w:rPr>
      </w:pPr>
    </w:p>
    <w:p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被授权代理人签字：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p>
      <w:pPr>
        <w:spacing w:line="440" w:lineRule="exact"/>
        <w:ind w:left="420" w:leftChars="200"/>
        <w:rPr>
          <w:rFonts w:ascii="仿宋_GB2312" w:hAnsi="宋体" w:eastAsia="仿宋_GB2312"/>
          <w:sz w:val="32"/>
          <w:szCs w:val="32"/>
          <w:u w:val="single"/>
        </w:rPr>
      </w:pPr>
      <w:r>
        <w:rPr>
          <w:rFonts w:hint="eastAsia" w:ascii="仿宋_GB2312" w:hAnsi="宋体" w:eastAsia="仿宋_GB2312"/>
          <w:sz w:val="32"/>
          <w:szCs w:val="32"/>
        </w:rPr>
        <w:t>身份证号：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</w:t>
      </w:r>
      <w:r>
        <w:rPr>
          <w:rFonts w:hint="eastAsia" w:ascii="仿宋_GB2312" w:hAnsi="宋体" w:eastAsia="仿宋_GB2312"/>
          <w:sz w:val="32"/>
          <w:szCs w:val="32"/>
        </w:rPr>
        <w:t xml:space="preserve"> </w:t>
      </w:r>
    </w:p>
    <w:tbl>
      <w:tblPr>
        <w:tblStyle w:val="13"/>
        <w:tblpPr w:leftFromText="180" w:rightFromText="180" w:vertAnchor="text" w:horzAnchor="page" w:tblpX="1287" w:tblpY="681"/>
        <w:tblOverlap w:val="never"/>
        <w:tblW w:w="97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78"/>
        <w:gridCol w:w="4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4878" w:type="dxa"/>
          </w:tcPr>
          <w:p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法定代表人身份证（国徽面）</w:t>
            </w:r>
          </w:p>
        </w:tc>
        <w:tc>
          <w:tcPr>
            <w:tcW w:w="4878" w:type="dxa"/>
          </w:tcPr>
          <w:p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被授权代理人身份证（国徽面）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8" w:hRule="atLeast"/>
        </w:trPr>
        <w:tc>
          <w:tcPr>
            <w:tcW w:w="4878" w:type="dxa"/>
          </w:tcPr>
          <w:p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法定代表人身份证（人像面）</w:t>
            </w:r>
          </w:p>
        </w:tc>
        <w:tc>
          <w:tcPr>
            <w:tcW w:w="4878" w:type="dxa"/>
          </w:tcPr>
          <w:p>
            <w:pPr>
              <w:widowControl w:val="0"/>
              <w:spacing w:line="440" w:lineRule="exact"/>
              <w:jc w:val="center"/>
              <w:rPr>
                <w:rFonts w:ascii="仿宋_GB2312" w:hAnsi="宋体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/>
                <w:sz w:val="32"/>
                <w:szCs w:val="32"/>
              </w:rPr>
              <w:t>被授权代理人身份证（人像面）</w:t>
            </w:r>
          </w:p>
        </w:tc>
      </w:tr>
    </w:tbl>
    <w:p>
      <w:pPr>
        <w:spacing w:line="440" w:lineRule="exact"/>
        <w:rPr>
          <w:rFonts w:ascii="宋体"/>
        </w:rPr>
      </w:pPr>
    </w:p>
    <w:p>
      <w:pPr>
        <w:numPr>
          <w:ilvl w:val="0"/>
          <w:numId w:val="2"/>
        </w:numPr>
        <w:spacing w:beforeLines="100" w:afterLines="100" w:line="300" w:lineRule="exact"/>
        <w:jc w:val="center"/>
        <w:rPr>
          <w:b/>
          <w:sz w:val="32"/>
        </w:rPr>
      </w:pPr>
      <w:r>
        <w:rPr>
          <w:b/>
          <w:sz w:val="24"/>
        </w:rPr>
        <w:br w:type="page"/>
      </w:r>
      <w:r>
        <w:rPr>
          <w:rFonts w:hint="eastAsia"/>
          <w:b/>
          <w:sz w:val="32"/>
        </w:rPr>
        <w:t>采购询价通知书（见附件）</w:t>
      </w:r>
    </w:p>
    <w:p>
      <w:pPr>
        <w:pStyle w:val="6"/>
        <w:ind w:firstLine="0" w:firstLineChars="0"/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</w:p>
    <w:p>
      <w:pPr>
        <w:spacing w:line="500" w:lineRule="exact"/>
        <w:jc w:val="center"/>
        <w:rPr>
          <w:b/>
          <w:sz w:val="32"/>
        </w:rPr>
      </w:pPr>
      <w:r>
        <w:rPr>
          <w:rFonts w:hint="eastAsia"/>
          <w:b/>
          <w:sz w:val="32"/>
        </w:rPr>
        <w:t>三、竞选人资质证明资料</w:t>
      </w:r>
    </w:p>
    <w:p>
      <w:pPr>
        <w:spacing w:line="500" w:lineRule="exact"/>
        <w:rPr>
          <w:b/>
          <w:sz w:val="24"/>
        </w:rPr>
      </w:pPr>
      <w:r>
        <w:rPr>
          <w:rFonts w:hint="eastAsia"/>
          <w:b/>
          <w:sz w:val="24"/>
        </w:rPr>
        <w:t>后附：询价文件第一章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二、竞选人资格要求</w:t>
      </w:r>
    </w:p>
    <w:p>
      <w:pPr>
        <w:adjustRightInd w:val="0"/>
        <w:snapToGrid w:val="0"/>
        <w:spacing w:line="340" w:lineRule="exact"/>
        <w:ind w:firstLine="420" w:firstLineChars="200"/>
      </w:pPr>
    </w:p>
    <w:p>
      <w:pPr>
        <w:rPr>
          <w:rFonts w:ascii="宋体"/>
          <w:b/>
        </w:rPr>
      </w:pPr>
      <w:r>
        <w:rPr>
          <w:rFonts w:ascii="宋体"/>
          <w:b/>
        </w:rPr>
        <w:br w:type="page"/>
      </w:r>
    </w:p>
    <w:p>
      <w:pPr>
        <w:pStyle w:val="21"/>
        <w:ind w:left="420" w:firstLine="0"/>
        <w:jc w:val="center"/>
        <w:rPr>
          <w:rFonts w:ascii="宋体" w:hAnsi="宋体" w:eastAsia="宋体" w:cs="宋体"/>
          <w:b/>
        </w:rPr>
      </w:pPr>
      <w:r>
        <w:rPr>
          <w:rFonts w:hint="eastAsia" w:ascii="宋体" w:hAnsi="宋体" w:eastAsia="宋体" w:cs="宋体"/>
          <w:b/>
        </w:rPr>
        <w:t>四、其它材料（竞选人自行添加）</w:t>
      </w: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>
      <w:pPr>
        <w:pStyle w:val="21"/>
        <w:ind w:left="0" w:leftChars="0" w:firstLine="0"/>
        <w:jc w:val="center"/>
        <w:rPr>
          <w:rFonts w:ascii="宋体" w:hAnsi="宋体" w:eastAsia="宋体" w:cs="宋体"/>
          <w:b/>
        </w:rPr>
      </w:pPr>
    </w:p>
    <w:p/>
    <w:sectPr>
      <w:footerReference r:id="rId5" w:type="default"/>
      <w:pgSz w:w="11906" w:h="16838"/>
      <w:pgMar w:top="1089" w:right="1106" w:bottom="829" w:left="1259" w:header="624" w:footer="720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tabs>
        <w:tab w:val="left" w:pos="2884"/>
        <w:tab w:val="center" w:pos="4153"/>
        <w:tab w:val="right" w:pos="8306"/>
        <w:tab w:val="clear" w:pos="4140"/>
        <w:tab w:val="clear" w:pos="8300"/>
      </w:tabs>
      <w:rPr>
        <w:rStyle w:val="16"/>
      </w:rPr>
    </w:pPr>
    <w:r>
      <w:rPr>
        <w:sz w:val="21"/>
      </w:rPr>
      <w:pict>
        <v:shape id="_x0000_s1028" o:spid="_x0000_s1028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8"/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  <w:r>
      <w:rPr>
        <w:rStyle w:val="16"/>
      </w:rPr>
      <w:tab/>
    </w:r>
    <w:r>
      <w:rPr>
        <w:rStyle w:val="16"/>
      </w:rPr>
      <w:tab/>
    </w:r>
    <w:r>
      <w:rPr>
        <w:rStyle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tabs>
        <w:tab w:val="center" w:pos="4153"/>
        <w:tab w:val="right" w:pos="8306"/>
        <w:tab w:val="clear" w:pos="4140"/>
        <w:tab w:val="clear" w:pos="8300"/>
      </w:tabs>
      <w:jc w:val="center"/>
      <w:rPr>
        <w:rStyle w:val="16"/>
      </w:rPr>
    </w:pPr>
    <w:r>
      <w:pict>
        <v:shape id="Text Box 5" o:spid="_x0000_s1026" o:spt="202" type="#_x0000_t202" style="position:absolute;left:0pt;margin-top:0pt;height:144pt;width:144pt;mso-position-horizontal:center;mso-position-horizontal-relative:margin;z-index:251659264;mso-width-relative:page;mso-height-relative:page;" filled="f" stroked="f" coordsize="21600,21600" o:gfxdata="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pStyle w:val="8"/>
                  <w:rPr>
                    <w:rStyle w:val="16"/>
                  </w:rPr>
                </w:pPr>
                <w:r>
                  <w:rPr>
                    <w:rStyle w:val="16"/>
                    <w:rFonts w:hint="eastAsia"/>
                  </w:rPr>
                  <w:t>第</w:t>
                </w:r>
                <w:r>
                  <w:rPr>
                    <w:rStyle w:val="16"/>
                  </w:rPr>
                  <w:t xml:space="preserve">  </w:t>
                </w:r>
                <w:r>
                  <w:rPr>
                    <w:rStyle w:val="16"/>
                    <w:rFonts w:hint="eastAsia"/>
                  </w:rPr>
                  <w:t>页</w:t>
                </w:r>
                <w:r>
                  <w:rPr>
                    <w:rStyle w:val="16"/>
                  </w:rPr>
                  <w:t xml:space="preserve"> </w:t>
                </w:r>
                <w:r>
                  <w:rPr>
                    <w:rStyle w:val="16"/>
                    <w:rFonts w:hint="eastAsia"/>
                  </w:rPr>
                  <w:t>共</w:t>
                </w:r>
                <w:r>
                  <w:rPr>
                    <w:rStyle w:val="16"/>
                  </w:rPr>
                  <w:t xml:space="preserve"> 31 </w:t>
                </w:r>
                <w:r>
                  <w:rPr>
                    <w:rStyle w:val="16"/>
                    <w:rFonts w:hint="eastAsia"/>
                  </w:rPr>
                  <w:t>页</w:t>
                </w:r>
              </w:p>
              <w:p>
                <w:pPr>
                  <w:rPr>
                    <w:rStyle w:val="16"/>
                  </w:rPr>
                </w:pP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tabs>
        <w:tab w:val="center" w:pos="4153"/>
        <w:tab w:val="right" w:pos="8306"/>
        <w:tab w:val="clear" w:pos="4140"/>
        <w:tab w:val="clear" w:pos="8300"/>
      </w:tabs>
      <w:jc w:val="center"/>
    </w:pPr>
    <w:r>
      <w:pict>
        <v:shape id="_x0000_s1027" o:spid="_x0000_s1027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>
                <w:pPr>
                  <w:pStyle w:val="8"/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eastAsiaTheme="minorEastAsia" w:cstheme="minorEastAsia"/>
                    <w:sz w:val="28"/>
                    <w:szCs w:val="28"/>
                  </w:rPr>
                  <w:t>15</w:t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eastAsiaTheme="minorEastAsia" w:cstheme="minorEastAsia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5"/>
    <w:multiLevelType w:val="multilevel"/>
    <w:tmpl w:val="00000005"/>
    <w:lvl w:ilvl="0" w:tentative="0">
      <w:start w:val="1"/>
      <w:numFmt w:val="decimal"/>
      <w:pStyle w:val="18"/>
      <w:suff w:val="nothing"/>
      <w:lvlText w:val="%1、"/>
      <w:lvlJc w:val="left"/>
      <w:rPr>
        <w:rFonts w:cs="Times New Roman"/>
      </w:rPr>
    </w:lvl>
    <w:lvl w:ilvl="1" w:tentative="0">
      <w:start w:val="1"/>
      <w:numFmt w:val="decimal"/>
      <w:lvlText w:val=""/>
      <w:lvlJc w:val="left"/>
      <w:rPr>
        <w:rFonts w:cs="Times New Roman"/>
      </w:rPr>
    </w:lvl>
    <w:lvl w:ilvl="2" w:tentative="0">
      <w:start w:val="1"/>
      <w:numFmt w:val="decimal"/>
      <w:lvlText w:val=""/>
      <w:lvlJc w:val="left"/>
      <w:rPr>
        <w:rFonts w:cs="Times New Roman"/>
      </w:rPr>
    </w:lvl>
    <w:lvl w:ilvl="3" w:tentative="0">
      <w:start w:val="1"/>
      <w:numFmt w:val="decimal"/>
      <w:lvlText w:val=""/>
      <w:lvlJc w:val="left"/>
      <w:rPr>
        <w:rFonts w:cs="Times New Roman"/>
      </w:rPr>
    </w:lvl>
    <w:lvl w:ilvl="4" w:tentative="0">
      <w:start w:val="1"/>
      <w:numFmt w:val="decimal"/>
      <w:lvlText w:val=""/>
      <w:lvlJc w:val="left"/>
      <w:rPr>
        <w:rFonts w:cs="Times New Roman"/>
      </w:rPr>
    </w:lvl>
    <w:lvl w:ilvl="5" w:tentative="0">
      <w:start w:val="1"/>
      <w:numFmt w:val="decimal"/>
      <w:lvlText w:val=""/>
      <w:lvlJc w:val="left"/>
      <w:rPr>
        <w:rFonts w:cs="Times New Roman"/>
      </w:rPr>
    </w:lvl>
    <w:lvl w:ilvl="6" w:tentative="0">
      <w:start w:val="1"/>
      <w:numFmt w:val="decimal"/>
      <w:lvlText w:val=""/>
      <w:lvlJc w:val="left"/>
      <w:rPr>
        <w:rFonts w:cs="Times New Roman"/>
      </w:rPr>
    </w:lvl>
    <w:lvl w:ilvl="7" w:tentative="0">
      <w:start w:val="1"/>
      <w:numFmt w:val="decimal"/>
      <w:lvlText w:val=""/>
      <w:lvlJc w:val="left"/>
      <w:rPr>
        <w:rFonts w:cs="Times New Roman"/>
      </w:rPr>
    </w:lvl>
    <w:lvl w:ilvl="8" w:tentative="0">
      <w:start w:val="1"/>
      <w:numFmt w:val="decimal"/>
      <w:lvlText w:val=""/>
      <w:lvlJc w:val="left"/>
      <w:rPr>
        <w:rFonts w:cs="Times New Roman"/>
      </w:rPr>
    </w:lvl>
  </w:abstractNum>
  <w:abstractNum w:abstractNumId="1">
    <w:nsid w:val="06582C79"/>
    <w:multiLevelType w:val="singleLevel"/>
    <w:tmpl w:val="06582C7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318D0C72"/>
    <w:rsid w:val="000D2083"/>
    <w:rsid w:val="00263F9B"/>
    <w:rsid w:val="00295471"/>
    <w:rsid w:val="002E771B"/>
    <w:rsid w:val="003408FC"/>
    <w:rsid w:val="004356F4"/>
    <w:rsid w:val="00610D32"/>
    <w:rsid w:val="0071047E"/>
    <w:rsid w:val="007C0973"/>
    <w:rsid w:val="007E43D3"/>
    <w:rsid w:val="009751A8"/>
    <w:rsid w:val="009E0EC6"/>
    <w:rsid w:val="00A72962"/>
    <w:rsid w:val="00AB0497"/>
    <w:rsid w:val="00AD6D62"/>
    <w:rsid w:val="00B467DE"/>
    <w:rsid w:val="00B62928"/>
    <w:rsid w:val="00B66E8E"/>
    <w:rsid w:val="00B82B9B"/>
    <w:rsid w:val="00C102EE"/>
    <w:rsid w:val="00E509B9"/>
    <w:rsid w:val="00EF3F72"/>
    <w:rsid w:val="00F9161F"/>
    <w:rsid w:val="00FA4307"/>
    <w:rsid w:val="051429AA"/>
    <w:rsid w:val="09894F7F"/>
    <w:rsid w:val="0A726F90"/>
    <w:rsid w:val="114E594E"/>
    <w:rsid w:val="1A0D5F04"/>
    <w:rsid w:val="1D601C7B"/>
    <w:rsid w:val="1EED3F5C"/>
    <w:rsid w:val="23126B08"/>
    <w:rsid w:val="23F54C33"/>
    <w:rsid w:val="30985530"/>
    <w:rsid w:val="316E68AC"/>
    <w:rsid w:val="318D0C72"/>
    <w:rsid w:val="394F3CE8"/>
    <w:rsid w:val="3D53456C"/>
    <w:rsid w:val="40A77820"/>
    <w:rsid w:val="43AA7C6D"/>
    <w:rsid w:val="44D2342C"/>
    <w:rsid w:val="4891057D"/>
    <w:rsid w:val="575232BA"/>
    <w:rsid w:val="579F68D2"/>
    <w:rsid w:val="5FB1722A"/>
    <w:rsid w:val="681F65BA"/>
    <w:rsid w:val="68FE5176"/>
    <w:rsid w:val="70CA35A1"/>
    <w:rsid w:val="7E33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7"/>
    <w:qFormat/>
    <w:uiPriority w:val="0"/>
    <w:pPr>
      <w:keepNext/>
      <w:keepLines/>
      <w:widowControl w:val="0"/>
      <w:spacing w:line="413" w:lineRule="auto"/>
      <w:outlineLvl w:val="1"/>
    </w:pPr>
    <w:rPr>
      <w:rFonts w:ascii="Arial" w:hAnsi="Arial" w:eastAsia="黑体"/>
      <w:b/>
      <w:bCs/>
      <w:sz w:val="32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tabs>
        <w:tab w:val="left" w:pos="4830"/>
      </w:tabs>
      <w:ind w:firstLine="420" w:firstLineChars="200"/>
    </w:pPr>
  </w:style>
  <w:style w:type="paragraph" w:styleId="3">
    <w:name w:val="Body Text Indent"/>
    <w:basedOn w:val="1"/>
    <w:qFormat/>
    <w:uiPriority w:val="0"/>
    <w:pPr>
      <w:spacing w:line="360" w:lineRule="auto"/>
      <w:ind w:firstLine="480"/>
    </w:pPr>
    <w:rPr>
      <w:rFonts w:ascii="宋体" w:hAnsi="宋体"/>
      <w:color w:val="FF0000"/>
      <w:sz w:val="24"/>
    </w:rPr>
  </w:style>
  <w:style w:type="paragraph" w:styleId="5">
    <w:name w:val="table of authorities"/>
    <w:basedOn w:val="1"/>
    <w:next w:val="1"/>
    <w:qFormat/>
    <w:uiPriority w:val="0"/>
    <w:pPr>
      <w:spacing w:afterLines="100"/>
      <w:ind w:left="420" w:leftChars="200" w:firstLine="200" w:firstLineChars="200"/>
    </w:pPr>
    <w:rPr>
      <w:lang w:val="zh-CN"/>
    </w:rPr>
  </w:style>
  <w:style w:type="paragraph" w:styleId="6">
    <w:name w:val="Normal Indent"/>
    <w:basedOn w:val="1"/>
    <w:next w:val="1"/>
    <w:qFormat/>
    <w:uiPriority w:val="0"/>
    <w:pPr>
      <w:widowControl w:val="0"/>
      <w:ind w:firstLine="420" w:firstLineChars="200"/>
    </w:pPr>
  </w:style>
  <w:style w:type="paragraph" w:styleId="7">
    <w:name w:val="Body Text"/>
    <w:basedOn w:val="1"/>
    <w:semiHidden/>
    <w:qFormat/>
    <w:uiPriority w:val="0"/>
  </w:style>
  <w:style w:type="paragraph" w:styleId="8">
    <w:name w:val="footer"/>
    <w:basedOn w:val="1"/>
    <w:qFormat/>
    <w:uiPriority w:val="99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Body Text 2"/>
    <w:basedOn w:val="1"/>
    <w:qFormat/>
    <w:uiPriority w:val="99"/>
    <w:pPr>
      <w:widowControl w:val="0"/>
      <w:spacing w:after="120" w:line="480" w:lineRule="auto"/>
    </w:pPr>
  </w:style>
  <w:style w:type="paragraph" w:styleId="11">
    <w:name w:val="Normal (Web)"/>
    <w:basedOn w:val="1"/>
    <w:qFormat/>
    <w:uiPriority w:val="99"/>
    <w:pPr>
      <w:spacing w:before="30" w:after="100" w:afterAutospacing="1"/>
      <w:ind w:left="90"/>
      <w:jc w:val="left"/>
    </w:pPr>
    <w:rPr>
      <w:rFonts w:hAnsi="宋体"/>
      <w:color w:val="000000"/>
      <w:sz w:val="18"/>
      <w:szCs w:val="18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5">
    <w:name w:val="Strong"/>
    <w:basedOn w:val="14"/>
    <w:qFormat/>
    <w:uiPriority w:val="99"/>
    <w:rPr>
      <w:rFonts w:ascii="Times New Roman" w:hAnsi="Times New Roman" w:eastAsia="宋体" w:cs="Times New Roman"/>
      <w:b/>
    </w:rPr>
  </w:style>
  <w:style w:type="character" w:customStyle="1" w:styleId="16">
    <w:name w:val="NormalCharacter"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7">
    <w:name w:val="标题 2 Char"/>
    <w:link w:val="4"/>
    <w:qFormat/>
    <w:uiPriority w:val="0"/>
    <w:rPr>
      <w:rFonts w:ascii="Arial" w:hAnsi="Arial" w:eastAsia="黑体" w:cs="Times New Roman"/>
      <w:b/>
      <w:bCs/>
      <w:kern w:val="2"/>
      <w:sz w:val="32"/>
      <w:szCs w:val="44"/>
      <w:lang w:val="en-US" w:eastAsia="zh-CN" w:bidi="ar-SA"/>
    </w:rPr>
  </w:style>
  <w:style w:type="paragraph" w:customStyle="1" w:styleId="18">
    <w:name w:val="(符号)三标题1.1"/>
    <w:basedOn w:val="1"/>
    <w:qFormat/>
    <w:uiPriority w:val="99"/>
    <w:pPr>
      <w:numPr>
        <w:ilvl w:val="0"/>
        <w:numId w:val="1"/>
      </w:numPr>
      <w:tabs>
        <w:tab w:val="left" w:pos="420"/>
      </w:tabs>
      <w:spacing w:line="500" w:lineRule="exact"/>
      <w:outlineLvl w:val="2"/>
    </w:pPr>
    <w:rPr>
      <w:rFonts w:ascii="楷体_GB2312" w:hAnsi="宋体" w:eastAsia="楷体_GB2312" w:cs="宋体"/>
      <w:b/>
      <w:sz w:val="28"/>
      <w:szCs w:val="20"/>
    </w:rPr>
  </w:style>
  <w:style w:type="paragraph" w:customStyle="1" w:styleId="19">
    <w:name w:val="（符号）三标题1.1"/>
    <w:basedOn w:val="1"/>
    <w:qFormat/>
    <w:uiPriority w:val="99"/>
    <w:pPr>
      <w:tabs>
        <w:tab w:val="left" w:pos="700"/>
      </w:tabs>
      <w:spacing w:line="500" w:lineRule="exact"/>
    </w:pPr>
    <w:rPr>
      <w:rFonts w:ascii="宋体" w:hAnsi="宋体"/>
      <w:sz w:val="24"/>
    </w:rPr>
  </w:style>
  <w:style w:type="paragraph" w:customStyle="1" w:styleId="20">
    <w:name w:val="（符号）二标题总则"/>
    <w:basedOn w:val="1"/>
    <w:qFormat/>
    <w:uiPriority w:val="99"/>
    <w:pPr>
      <w:spacing w:beforeLines="100" w:afterLines="100" w:line="500" w:lineRule="exact"/>
      <w:jc w:val="center"/>
      <w:outlineLvl w:val="1"/>
    </w:pPr>
    <w:rPr>
      <w:rFonts w:ascii="黑体" w:eastAsia="黑体" w:cs="宋体"/>
      <w:b/>
      <w:sz w:val="32"/>
      <w:szCs w:val="32"/>
    </w:rPr>
  </w:style>
  <w:style w:type="paragraph" w:customStyle="1" w:styleId="21">
    <w:name w:val="Body Text First Indent 21"/>
    <w:basedOn w:val="1"/>
    <w:qFormat/>
    <w:uiPriority w:val="0"/>
    <w:pPr>
      <w:spacing w:after="120"/>
      <w:ind w:left="200" w:leftChars="200" w:firstLine="420"/>
    </w:pPr>
    <w:rPr>
      <w:rFonts w:ascii="仿宋_GB2312" w:eastAsia="仿宋_GB2312" w:cs="仿宋_GB2312"/>
      <w:sz w:val="32"/>
      <w:szCs w:val="32"/>
    </w:rPr>
  </w:style>
  <w:style w:type="paragraph" w:customStyle="1" w:styleId="22">
    <w:name w:val="Compact"/>
    <w:basedOn w:val="7"/>
    <w:qFormat/>
    <w:uiPriority w:val="0"/>
    <w:pPr>
      <w:jc w:val="left"/>
      <w:textAlignment w:val="auto"/>
    </w:pPr>
    <w:rPr>
      <w:rFonts w:asciiTheme="minorHAnsi" w:hAnsiTheme="minorHAnsi" w:eastAsiaTheme="minorEastAsia" w:cstheme="minorBidi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8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14</Pages>
  <Words>907</Words>
  <Characters>5170</Characters>
  <Lines>43</Lines>
  <Paragraphs>12</Paragraphs>
  <TotalTime>21</TotalTime>
  <ScaleCrop>false</ScaleCrop>
  <LinksUpToDate>false</LinksUpToDate>
  <CharactersWithSpaces>6065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2024-04-01T06:40:00Z</dcterms:created>
  <dc:creator>105078-卢明祥</dc:creator>
  <cp:lastModifiedBy>123675-龙彬</cp:lastModifiedBy>
  <dcterms:modified xsi:type="dcterms:W3CDTF">2026-08-20T01:50:13Z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2971569E46F442C68E5F7778AAB85B1F_12</vt:lpwstr>
  </property>
</Properties>
</file>