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0FD7A">
      <w:pPr>
        <w:ind w:right="-26" w:rightChars="-12"/>
        <w:jc w:val="center"/>
        <w:rPr>
          <w:rFonts w:hint="default" w:ascii="方正小标宋_GBK" w:hAnsi="方正小标宋_GBK" w:eastAsia="方正小标宋_GBK" w:cs="方正小标宋_GBK"/>
          <w:w w:val="105"/>
          <w:sz w:val="36"/>
          <w:szCs w:val="30"/>
          <w:u w:val="single"/>
          <w:lang w:val="en-US"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0" t="0" r="8890" b="1397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lang w:eastAsia="zh-CN"/>
        </w:rPr>
        <w:t>贵阳农商银行超值宝</w:t>
      </w:r>
      <w:r>
        <w:rPr>
          <w:rFonts w:hint="eastAsia" w:ascii="方正小标宋_GBK" w:hAnsi="方正小标宋_GBK" w:eastAsia="方正小标宋_GBK" w:cs="方正小标宋_GBK"/>
          <w:w w:val="105"/>
          <w:sz w:val="36"/>
          <w:szCs w:val="36"/>
          <w:lang w:val="en-US" w:eastAsia="zh-CN"/>
        </w:rPr>
        <w:t>定开</w:t>
      </w:r>
      <w:r>
        <w:rPr>
          <w:rFonts w:hint="eastAsia" w:ascii="方正小标宋_GBK" w:hAnsi="方正小标宋_GBK" w:eastAsia="方正小标宋_GBK" w:cs="方正小标宋_GBK"/>
          <w:w w:val="105"/>
          <w:sz w:val="36"/>
          <w:szCs w:val="36"/>
          <w:u w:val="none"/>
          <w:lang w:val="en-US" w:eastAsia="zh-CN"/>
        </w:rPr>
        <w:t>半年7期</w:t>
      </w:r>
    </w:p>
    <w:p w14:paraId="428F0EDD">
      <w:pPr>
        <w:ind w:right="-26" w:rightChars="-12"/>
        <w:jc w:val="center"/>
        <w:rPr>
          <w:rFonts w:hint="eastAsia" w:ascii="方正小标宋_GBK" w:hAnsi="方正小标宋_GBK" w:eastAsia="方正小标宋_GBK" w:cs="方正小标宋_GBK"/>
          <w:w w:val="105"/>
          <w:sz w:val="36"/>
          <w:szCs w:val="30"/>
          <w:lang w:eastAsia="zh-CN"/>
        </w:rPr>
      </w:pPr>
      <w:r>
        <w:rPr>
          <w:rFonts w:hint="eastAsia" w:ascii="方正小标宋_GBK" w:hAnsi="方正小标宋_GBK" w:eastAsia="方正小标宋_GBK" w:cs="方正小标宋_GBK"/>
          <w:w w:val="105"/>
          <w:sz w:val="36"/>
          <w:szCs w:val="30"/>
          <w:lang w:eastAsia="zh-CN"/>
        </w:rPr>
        <w:t>理财产品说明书</w:t>
      </w:r>
    </w:p>
    <w:p w14:paraId="16A92D24">
      <w:pPr>
        <w:wordWrap w:val="0"/>
        <w:ind w:right="-26" w:rightChars="-12"/>
        <w:jc w:val="right"/>
        <w:rPr>
          <w:rFonts w:hint="default" w:ascii="Times New Roman" w:hAnsi="Times New Roman" w:eastAsia="方正小标宋简体" w:cs="Times New Roman"/>
          <w:w w:val="105"/>
          <w:sz w:val="36"/>
          <w:szCs w:val="30"/>
          <w:lang w:val="en-US" w:eastAsia="zh-CN"/>
        </w:rPr>
      </w:pPr>
      <w:r>
        <w:rPr>
          <w:rFonts w:hint="eastAsia" w:ascii="仿宋_GB2312" w:hAnsi="Times New Roman" w:eastAsia="仿宋_GB2312" w:cs="Times New Roman"/>
          <w:color w:val="auto"/>
          <w:w w:val="100"/>
          <w:sz w:val="20"/>
          <w:szCs w:val="22"/>
          <w:highlight w:val="none"/>
          <w:lang w:val="en-US" w:eastAsia="zh-CN"/>
        </w:rPr>
        <w:t>版本号：V2.0-2026.02</w:t>
      </w:r>
    </w:p>
    <w:p w14:paraId="57C3E998">
      <w:pPr>
        <w:wordWrap w:val="0"/>
        <w:ind w:right="-26" w:rightChars="-12"/>
        <w:jc w:val="right"/>
        <w:rPr>
          <w:rFonts w:hint="default" w:ascii="Times New Roman" w:hAnsi="Times New Roman" w:eastAsia="方正小标宋简体" w:cs="Times New Roman"/>
          <w:w w:val="105"/>
          <w:sz w:val="36"/>
          <w:szCs w:val="30"/>
          <w:lang w:val="en-US" w:eastAsia="zh-CN"/>
        </w:rPr>
      </w:pPr>
    </w:p>
    <w:p w14:paraId="1B154588">
      <w:pPr>
        <w:ind w:right="-6519" w:rightChars="-2963" w:firstLine="480" w:firstLineChars="200"/>
        <w:rPr>
          <w:rFonts w:ascii="Times New Roman" w:hAnsi="黑体" w:eastAsia="黑体" w:cs="Times New Roman"/>
          <w:sz w:val="24"/>
          <w:szCs w:val="24"/>
          <w:lang w:eastAsia="zh-CN"/>
        </w:rPr>
      </w:pPr>
    </w:p>
    <w:p w14:paraId="2A8247A7">
      <w:pPr>
        <w:pStyle w:val="9"/>
        <w:spacing w:line="240" w:lineRule="auto"/>
        <w:ind w:left="10" w:firstLine="400"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sz w:val="20"/>
          <w:lang w:eastAsia="zh-CN"/>
        </w:rPr>
        <w:t>尊敬的投资者，感谢您选择</w:t>
      </w:r>
      <w:r>
        <w:rPr>
          <w:rFonts w:hint="eastAsia" w:ascii="仿宋_GB2312" w:hAnsi="Times New Roman" w:eastAsia="仿宋_GB2312" w:cs="Times New Roman"/>
          <w:sz w:val="20"/>
          <w:lang w:val="en-US" w:eastAsia="zh-CN"/>
        </w:rPr>
        <w:t>贵阳农村商业银行股份有限公司（以下简称“</w:t>
      </w:r>
      <w:r>
        <w:rPr>
          <w:rFonts w:hint="eastAsia" w:ascii="仿宋_GB2312" w:hAnsi="Times New Roman" w:eastAsia="仿宋_GB2312" w:cs="Times New Roman"/>
          <w:sz w:val="20"/>
          <w:lang w:eastAsia="zh-CN"/>
        </w:rPr>
        <w:t>贵阳农商银行”）理财产品！您购买</w:t>
      </w:r>
      <w:r>
        <w:rPr>
          <w:rFonts w:hint="eastAsia" w:ascii="仿宋_GB2312" w:hAnsi="Times New Roman" w:eastAsia="仿宋_GB2312" w:cs="Times New Roman"/>
          <w:sz w:val="20"/>
          <w:lang w:val="en-US" w:eastAsia="zh-CN"/>
        </w:rPr>
        <w:t>的</w:t>
      </w:r>
      <w:r>
        <w:rPr>
          <w:rFonts w:hint="eastAsia" w:ascii="仿宋_GB2312" w:hAnsi="Times New Roman" w:eastAsia="仿宋_GB2312" w:cs="Times New Roman"/>
          <w:sz w:val="20"/>
          <w:lang w:eastAsia="zh-CN"/>
        </w:rPr>
        <w:t>本款产品是由贵阳农商银行自主设计、投资、运作的理财产品。</w:t>
      </w:r>
      <w:r>
        <w:rPr>
          <w:rFonts w:hint="eastAsia" w:ascii="仿宋_GB2312" w:hAnsi="Times New Roman" w:eastAsia="仿宋_GB2312" w:cs="Times New Roman"/>
          <w:b/>
          <w:bCs/>
          <w:sz w:val="20"/>
          <w:lang w:eastAsia="zh-CN"/>
        </w:rPr>
        <w:t>为保障您的合法权益，请您在进行金融投资时，警惕任何</w:t>
      </w:r>
      <w:r>
        <w:rPr>
          <w:rFonts w:hint="eastAsia" w:ascii="仿宋_GB2312" w:hAnsi="Times New Roman" w:eastAsia="仿宋_GB2312" w:cs="Times New Roman"/>
          <w:b/>
          <w:bCs/>
          <w:sz w:val="20"/>
          <w:lang w:val="en-US" w:eastAsia="zh-CN"/>
        </w:rPr>
        <w:t>个</w:t>
      </w:r>
      <w:r>
        <w:rPr>
          <w:rFonts w:hint="eastAsia" w:ascii="仿宋_GB2312" w:hAnsi="Times New Roman" w:eastAsia="仿宋_GB2312" w:cs="Times New Roman"/>
          <w:b/>
          <w:bCs/>
          <w:sz w:val="20"/>
          <w:lang w:eastAsia="zh-CN"/>
        </w:rPr>
        <w:t>人与机构假借我行理财产品之名推介、推销其他类型产品。</w:t>
      </w:r>
    </w:p>
    <w:p w14:paraId="6BAF3593">
      <w:pPr>
        <w:numPr>
          <w:ilvl w:val="0"/>
          <w:numId w:val="1"/>
        </w:numPr>
        <w:spacing w:line="240" w:lineRule="auto"/>
        <w:ind w:left="10" w:right="-6519" w:rightChars="-2963" w:firstLine="480" w:firstLineChars="200"/>
        <w:rPr>
          <w:rFonts w:ascii="仿宋_GB2312" w:hAnsi="Times New Roman" w:eastAsia="仿宋_GB2312" w:cs="Times New Roman"/>
          <w:b/>
          <w:bCs/>
          <w:sz w:val="20"/>
          <w:lang w:eastAsia="zh-CN"/>
        </w:rPr>
      </w:pPr>
      <w:r>
        <w:rPr>
          <w:rFonts w:hint="eastAsia" w:ascii="Times New Roman" w:hAnsi="黑体" w:eastAsia="黑体" w:cs="Times New Roman"/>
          <w:sz w:val="24"/>
          <w:szCs w:val="24"/>
          <w:lang w:eastAsia="zh-CN"/>
        </w:rPr>
        <w:t>重要须知</w:t>
      </w:r>
      <w:r>
        <w:rPr>
          <w:rFonts w:ascii="仿宋_GB2312" w:hAnsi="Times New Roman" w:eastAsia="仿宋_GB2312" w:cs="Times New Roman"/>
          <w:b/>
          <w:bCs/>
          <w:sz w:val="20"/>
          <w:lang w:eastAsia="zh-CN"/>
        </w:rPr>
        <w:t xml:space="preserve"> </w:t>
      </w:r>
    </w:p>
    <w:p w14:paraId="21B36D9D">
      <w:pPr>
        <w:pStyle w:val="9"/>
        <w:spacing w:line="240" w:lineRule="auto"/>
        <w:ind w:left="10" w:firstLine="402" w:firstLineChars="200"/>
        <w:rPr>
          <w:rFonts w:hint="default"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（一）</w:t>
      </w:r>
      <w:r>
        <w:rPr>
          <w:rFonts w:hint="eastAsia" w:ascii="仿宋_GB2312" w:hAnsi="Times New Roman" w:eastAsia="仿宋_GB2312" w:cs="Times New Roman"/>
          <w:b/>
          <w:bCs/>
          <w:color w:val="auto"/>
          <w:sz w:val="20"/>
          <w:szCs w:val="20"/>
          <w:highlight w:val="none"/>
          <w:lang w:val="en-US" w:eastAsia="zh-CN"/>
        </w:rPr>
        <w:t>本理财产品仅向依据中华人民共和国法律法规及其他监管规定可以购买本类理财产品的投资者发售。</w:t>
      </w:r>
    </w:p>
    <w:p w14:paraId="692A40AF">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（二）</w:t>
      </w:r>
      <w:r>
        <w:rPr>
          <w:rFonts w:ascii="仿宋_GB2312" w:hAnsi="Times New Roman" w:eastAsia="仿宋_GB2312" w:cs="Times New Roman"/>
          <w:b/>
          <w:bCs/>
          <w:sz w:val="20"/>
          <w:lang w:eastAsia="zh-CN"/>
        </w:rPr>
        <w:t>在购买理财产品前，您应仔细阅读理财产品销售文件，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lang w:val="en-US" w:eastAsia="zh-CN"/>
        </w:rPr>
        <w:t>本</w:t>
      </w:r>
      <w:r>
        <w:rPr>
          <w:rFonts w:ascii="仿宋_GB2312" w:hAnsi="Times New Roman" w:eastAsia="仿宋_GB2312" w:cs="Times New Roman"/>
          <w:b/>
          <w:bCs/>
          <w:sz w:val="20"/>
          <w:lang w:eastAsia="zh-CN"/>
        </w:rPr>
        <w:t xml:space="preserve">理财产品的信息披露情况，及时获取相关信息。 </w:t>
      </w:r>
    </w:p>
    <w:p w14:paraId="4F75DCF6">
      <w:pPr>
        <w:pStyle w:val="9"/>
        <w:spacing w:line="240" w:lineRule="auto"/>
        <w:ind w:left="10" w:firstLine="402" w:firstLineChars="200"/>
        <w:rPr>
          <w:rFonts w:hint="default" w:eastAsiaTheme="minorEastAsia"/>
          <w:lang w:val="en-US" w:eastAsia="zh-CN"/>
        </w:rPr>
      </w:pPr>
      <w:r>
        <w:rPr>
          <w:rFonts w:hint="eastAsia" w:ascii="仿宋_GB2312" w:hAnsi="Times New Roman" w:eastAsia="仿宋_GB2312" w:cs="Times New Roman"/>
          <w:b/>
          <w:bCs/>
          <w:sz w:val="20"/>
          <w:lang w:val="en-US" w:eastAsia="zh-CN"/>
        </w:rPr>
        <w:t>（三）无论您是否签署，如您购买本理财产品，即视为您已阅读、理解理财产品销售文件，并同意接受理财产品销售文件所有内容的约束。</w:t>
      </w:r>
    </w:p>
    <w:p w14:paraId="692263E7">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（四）</w:t>
      </w:r>
      <w:r>
        <w:rPr>
          <w:rFonts w:ascii="仿宋_GB2312" w:hAnsi="Times New Roman" w:eastAsia="仿宋_GB2312" w:cs="Times New Roman"/>
          <w:b/>
          <w:bCs/>
          <w:sz w:val="20"/>
          <w:lang w:eastAsia="zh-CN"/>
        </w:rPr>
        <w:t>理财非存款、产品有风险、投资须谨慎。</w:t>
      </w:r>
    </w:p>
    <w:p w14:paraId="4DCC5791">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（五）</w:t>
      </w:r>
      <w:r>
        <w:rPr>
          <w:rFonts w:ascii="仿宋_GB2312" w:hAnsi="Times New Roman" w:eastAsia="仿宋_GB2312" w:cs="Times New Roman"/>
          <w:b/>
          <w:bCs/>
          <w:sz w:val="20"/>
          <w:lang w:eastAsia="zh-CN"/>
        </w:rPr>
        <w:t>理财产品过往业绩</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业绩比较基准</w:t>
      </w:r>
      <w:r>
        <w:rPr>
          <w:rFonts w:ascii="仿宋_GB2312" w:hAnsi="Times New Roman" w:eastAsia="仿宋_GB2312" w:cs="Times New Roman"/>
          <w:b/>
          <w:bCs/>
          <w:sz w:val="20"/>
          <w:lang w:eastAsia="zh-CN"/>
        </w:rPr>
        <w:t>不代表其未来表现，不等于理财产品实际收益</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投资须谨慎</w:t>
      </w:r>
      <w:r>
        <w:rPr>
          <w:rFonts w:ascii="仿宋_GB2312" w:hAnsi="Times New Roman" w:eastAsia="仿宋_GB2312" w:cs="Times New Roman"/>
          <w:b/>
          <w:bCs/>
          <w:sz w:val="20"/>
          <w:lang w:eastAsia="zh-CN"/>
        </w:rPr>
        <w:t>。</w:t>
      </w:r>
    </w:p>
    <w:p w14:paraId="2EA8C820">
      <w:pPr>
        <w:pStyle w:val="9"/>
        <w:spacing w:line="240" w:lineRule="auto"/>
        <w:ind w:left="10" w:firstLine="402" w:firstLineChars="200"/>
        <w:rPr>
          <w:rFonts w:hint="eastAsia"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二、释义</w:t>
      </w:r>
    </w:p>
    <w:p w14:paraId="04A77232">
      <w:pPr>
        <w:spacing w:line="240" w:lineRule="auto"/>
        <w:ind w:right="-6519" w:rightChars="-2963" w:firstLine="400" w:firstLineChars="200"/>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5C3AF652">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09DAE6C0">
      <w:pPr>
        <w:keepNext w:val="0"/>
        <w:keepLines w:val="0"/>
        <w:pageBreakBefore w:val="0"/>
        <w:widowControl/>
        <w:suppressLineNumbers w:val="0"/>
        <w:kinsoku/>
        <w:wordWrap w:val="0"/>
        <w:overflowPunct/>
        <w:topLinePunct w:val="0"/>
        <w:autoSpaceDE/>
        <w:autoSpaceDN/>
        <w:bidi w:val="0"/>
        <w:adjustRightInd/>
        <w:snapToGrid/>
        <w:spacing w:line="240" w:lineRule="auto"/>
        <w:ind w:firstLine="402" w:firstLineChars="200"/>
        <w:jc w:val="left"/>
        <w:textAlignment w:val="auto"/>
        <w:rPr>
          <w:rFonts w:hint="eastAsia" w:ascii="仿宋_GB2312" w:hAnsi="仿宋_GB2312" w:eastAsia="仿宋_GB2312" w:cs="仿宋_GB2312"/>
          <w:b/>
          <w:bCs/>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snapToGrid w:val="0"/>
          <w:color w:val="000000"/>
          <w:kern w:val="0"/>
          <w:sz w:val="20"/>
          <w:szCs w:val="20"/>
          <w:highlight w:val="none"/>
          <w:lang w:val="en-US" w:eastAsia="zh-CN"/>
        </w:rPr>
        <w:t>指贵阳农村商业银行股份有限公司，官方网站为（https://www.gznxbank.com/html/2010000/index.html）。</w:t>
      </w:r>
      <w:r>
        <w:rPr>
          <w:rFonts w:hint="eastAsia" w:ascii="仿宋_GB2312" w:hAnsi="仿宋_GB2312" w:eastAsia="仿宋_GB2312" w:cs="仿宋_GB2312"/>
          <w:snapToGrid w:val="0"/>
          <w:color w:val="000000"/>
          <w:kern w:val="0"/>
          <w:sz w:val="24"/>
          <w:szCs w:val="24"/>
          <w:highlight w:val="none"/>
          <w:lang w:val="en-US" w:eastAsia="zh-CN"/>
        </w:rPr>
        <w:t xml:space="preserve"> </w:t>
      </w:r>
    </w:p>
    <w:p w14:paraId="3C8A2F0C">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138AEE9E">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0B9F9FF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2017CFC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72961451">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B9D9652">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73BB7D26">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9</w:t>
      </w:r>
      <w:r>
        <w:rPr>
          <w:rFonts w:hint="eastAsia" w:ascii="仿宋_GB2312" w:hAnsi="仿宋_GB2312" w:eastAsia="仿宋_GB2312" w:cs="仿宋_GB2312"/>
          <w:b/>
          <w:bCs/>
          <w:color w:val="auto"/>
          <w:kern w:val="0"/>
          <w:sz w:val="20"/>
          <w:szCs w:val="20"/>
          <w:highlight w:val="none"/>
          <w:lang w:val="en-US" w:eastAsia="zh-CN" w:bidi="ar"/>
        </w:rPr>
        <w:t>.开放期</w:t>
      </w:r>
      <w:r>
        <w:rPr>
          <w:rFonts w:hint="eastAsia" w:ascii="仿宋_GB2312" w:hAnsi="仿宋_GB2312" w:eastAsia="仿宋_GB2312" w:cs="仿宋_GB2312"/>
          <w:color w:val="auto"/>
          <w:kern w:val="0"/>
          <w:sz w:val="20"/>
          <w:szCs w:val="20"/>
          <w:highlight w:val="none"/>
          <w:lang w:val="en-US" w:eastAsia="zh-CN" w:bidi="ar"/>
        </w:rPr>
        <w:t>：指产品自成立日起到终止日期间可以申购和赎回本理财产品的时间段。</w:t>
      </w:r>
    </w:p>
    <w:p w14:paraId="230E2894">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w:t>
      </w:r>
      <w:r>
        <w:rPr>
          <w:rFonts w:hint="default" w:ascii="仿宋_GB2312" w:hAnsi="仿宋_GB2312" w:eastAsia="仿宋_GB2312" w:cs="仿宋_GB2312"/>
          <w:b/>
          <w:bCs/>
          <w:color w:val="auto"/>
          <w:kern w:val="0"/>
          <w:sz w:val="20"/>
          <w:szCs w:val="20"/>
          <w:highlight w:val="none"/>
          <w:lang w:val="en-US" w:eastAsia="zh-CN" w:bidi="ar"/>
        </w:rPr>
        <w:t>0</w:t>
      </w:r>
      <w:r>
        <w:rPr>
          <w:rFonts w:hint="eastAsia" w:ascii="仿宋_GB2312" w:hAnsi="仿宋_GB2312" w:eastAsia="仿宋_GB2312" w:cs="仿宋_GB2312"/>
          <w:b/>
          <w:bCs/>
          <w:color w:val="auto"/>
          <w:kern w:val="0"/>
          <w:sz w:val="20"/>
          <w:szCs w:val="20"/>
          <w:highlight w:val="none"/>
          <w:lang w:val="en-US" w:eastAsia="zh-CN" w:bidi="ar"/>
        </w:rPr>
        <w:t>.开放日：</w:t>
      </w:r>
      <w:r>
        <w:rPr>
          <w:rFonts w:hint="eastAsia" w:ascii="仿宋_GB2312" w:hAnsi="Times New Roman" w:eastAsia="仿宋_GB2312" w:cs="Times New Roman"/>
          <w:sz w:val="20"/>
          <w:szCs w:val="18"/>
          <w:lang w:val="en-US" w:eastAsia="zh-CN"/>
        </w:rPr>
        <w:t>指开放期内投资者可以申购、赎回本理财产品的任一日</w:t>
      </w:r>
      <w:r>
        <w:rPr>
          <w:rFonts w:hint="eastAsia" w:ascii="仿宋_GB2312" w:hAnsi="仿宋_GB2312" w:eastAsia="仿宋_GB2312" w:cs="仿宋_GB2312"/>
          <w:b w:val="0"/>
          <w:bCs w:val="0"/>
          <w:color w:val="auto"/>
          <w:kern w:val="0"/>
          <w:sz w:val="20"/>
          <w:szCs w:val="20"/>
          <w:highlight w:val="none"/>
          <w:lang w:val="en-US" w:eastAsia="zh-CN" w:bidi="ar"/>
        </w:rPr>
        <w:t>。</w:t>
      </w:r>
    </w:p>
    <w:p w14:paraId="5F3EA5C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0A179AC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06726C6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13.清算日：</w:t>
      </w:r>
      <w:r>
        <w:rPr>
          <w:rFonts w:hint="eastAsia" w:ascii="仿宋_GB2312" w:hAnsi="仿宋_GB2312" w:eastAsia="仿宋_GB2312" w:cs="仿宋_GB2312"/>
          <w:color w:val="auto"/>
          <w:kern w:val="0"/>
          <w:sz w:val="20"/>
          <w:szCs w:val="20"/>
          <w:highlight w:val="none"/>
          <w:lang w:val="en-US" w:eastAsia="zh-CN" w:bidi="ar"/>
        </w:rPr>
        <w:t>指投资者认购、申购、赎回等申请按照产品净值确认份额（金额）的日期。</w:t>
      </w:r>
    </w:p>
    <w:p w14:paraId="19658F42">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14.赎回宽限期：指对未在开放期赎回的存量投资者另行开放的可申请赎回的时间段。</w:t>
      </w:r>
    </w:p>
    <w:p w14:paraId="3B9EF5DE">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08E14D20">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16.理财产品/产品/本理财产品/本产品：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u w:val="none"/>
          <w:lang w:val="en-US" w:eastAsia="zh-CN" w:bidi="ar"/>
        </w:rPr>
        <w:t>超值宝定开半年7期理财产品</w:t>
      </w:r>
      <w:r>
        <w:rPr>
          <w:rFonts w:hint="eastAsia" w:ascii="仿宋_GB2312" w:hAnsi="仿宋_GB2312" w:eastAsia="仿宋_GB2312" w:cs="仿宋_GB2312"/>
          <w:color w:val="auto"/>
          <w:kern w:val="0"/>
          <w:sz w:val="20"/>
          <w:szCs w:val="20"/>
          <w:highlight w:val="none"/>
          <w:lang w:val="en-US" w:eastAsia="zh-CN" w:bidi="ar"/>
        </w:rPr>
        <w:t>。</w:t>
      </w:r>
    </w:p>
    <w:p w14:paraId="05090F97">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17.理财产品份额：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4CAEBD32">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18.理财产品单位净值/份额净值：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并扣除各类成本及费用后，除以理财产品当前总份额，即为理财产品单位净值，净值的计算按四舍五入原则保留到小数点后第四位。</w:t>
      </w:r>
    </w:p>
    <w:p w14:paraId="0B84AE3D">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19.理财</w:t>
      </w:r>
      <w:r>
        <w:rPr>
          <w:rFonts w:hint="eastAsia" w:ascii="仿宋_GB2312" w:hAnsi="仿宋_GB2312" w:eastAsia="仿宋_GB2312" w:cs="仿宋_GB2312"/>
          <w:b/>
          <w:bCs/>
          <w:color w:val="auto"/>
          <w:sz w:val="20"/>
          <w:szCs w:val="20"/>
          <w:highlight w:val="none"/>
          <w:lang w:eastAsia="zh-CN" w:bidi="ar"/>
        </w:rPr>
        <w:t>产品累计净值：</w:t>
      </w:r>
      <w:r>
        <w:rPr>
          <w:rFonts w:hint="eastAsia" w:ascii="仿宋_GB2312" w:eastAsia="仿宋_GB2312" w:cs="Times New Roman" w:hAnsiTheme="minorEastAsia"/>
          <w:sz w:val="20"/>
          <w:szCs w:val="18"/>
          <w:highlight w:val="none"/>
          <w:lang w:eastAsia="zh-CN"/>
        </w:rPr>
        <w:t>指理财产品单位净值加上成立以来每份累计分配收益的金额，累计净值只作为一个参照值存在，不代表未来投资收益。</w:t>
      </w:r>
    </w:p>
    <w:p w14:paraId="4F5263D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20.认购：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379BA93D">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21.申购：</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指投资者在理财产品的开放期内申请购买理财产品份额的行为。</w:t>
      </w:r>
    </w:p>
    <w:p w14:paraId="3AB12970">
      <w:pPr>
        <w:keepNext w:val="0"/>
        <w:keepLines w:val="0"/>
        <w:widowControl/>
        <w:suppressLineNumbers w:val="0"/>
        <w:spacing w:line="240" w:lineRule="auto"/>
        <w:ind w:firstLine="402" w:firstLineChars="200"/>
        <w:jc w:val="left"/>
        <w:rPr>
          <w:rFonts w:hint="eastAsia" w:ascii="仿宋_GB2312" w:eastAsia="仿宋_GB2312" w:cs="Times New Roman" w:hAnsiTheme="minorEastAsia"/>
          <w:sz w:val="20"/>
          <w:szCs w:val="18"/>
          <w:lang w:val="en-US" w:eastAsia="zh-CN"/>
        </w:rPr>
      </w:pPr>
      <w:r>
        <w:rPr>
          <w:rFonts w:hint="eastAsia" w:ascii="仿宋_GB2312" w:hAnsi="仿宋_GB2312" w:eastAsia="仿宋_GB2312" w:cs="仿宋_GB2312"/>
          <w:b/>
          <w:bCs/>
          <w:color w:val="auto"/>
          <w:kern w:val="0"/>
          <w:sz w:val="20"/>
          <w:szCs w:val="20"/>
          <w:highlight w:val="none"/>
          <w:lang w:val="en-US" w:eastAsia="zh-CN" w:bidi="ar"/>
        </w:rPr>
        <w:t>22.赎回：</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指投资者在理财产品的开放期内申请卖出部分或全部理财产品份额的行为。</w:t>
      </w:r>
    </w:p>
    <w:p w14:paraId="05CCDF2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 xml:space="preserve">23.巨额赎回: </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产品开放期内全部存续投资者单个开放日净赎回申请（赎回申请份额总数扣除申购申请份额总数）超过该产品上一工作日日终份额的10%的情形，监管机构另有规定的除外。</w:t>
      </w:r>
    </w:p>
    <w:p w14:paraId="7E2409BD">
      <w:pPr>
        <w:widowControl/>
        <w:spacing w:line="240" w:lineRule="auto"/>
        <w:ind w:left="10" w:firstLine="402" w:firstLineChars="200"/>
        <w:jc w:val="left"/>
        <w:rPr>
          <w:rFonts w:hint="default" w:ascii="仿宋_GB2312" w:hAnsi="Times New Roman" w:eastAsia="仿宋_GB2312" w:cs="Times New Roman"/>
          <w:b/>
          <w:bCs/>
          <w:sz w:val="20"/>
          <w:lang w:val="en-US" w:eastAsia="zh-CN"/>
        </w:rPr>
      </w:pPr>
      <w:r>
        <w:rPr>
          <w:rFonts w:hint="eastAsia" w:ascii="仿宋_GB2312" w:hAnsi="仿宋_GB2312" w:eastAsia="仿宋_GB2312" w:cs="仿宋_GB2312"/>
          <w:b/>
          <w:bCs/>
          <w:color w:val="auto"/>
          <w:kern w:val="0"/>
          <w:sz w:val="20"/>
          <w:szCs w:val="20"/>
          <w:highlight w:val="none"/>
          <w:lang w:val="en-US" w:eastAsia="zh-CN" w:bidi="ar"/>
        </w:rPr>
        <w:t>24.</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A93899E">
      <w:pPr>
        <w:ind w:right="-6519" w:rightChars="-2963"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三、</w:t>
      </w:r>
      <w:r>
        <w:rPr>
          <w:rFonts w:ascii="Times New Roman" w:hAnsi="黑体" w:eastAsia="黑体" w:cs="Times New Roman"/>
          <w:sz w:val="24"/>
          <w:szCs w:val="24"/>
          <w:lang w:eastAsia="zh-CN"/>
        </w:rPr>
        <w:t>产品要素</w:t>
      </w:r>
    </w:p>
    <w:tbl>
      <w:tblPr>
        <w:tblStyle w:val="10"/>
        <w:tblW w:w="8699" w:type="dxa"/>
        <w:tblInd w:w="105" w:type="dxa"/>
        <w:tblLayout w:type="fixed"/>
        <w:tblCellMar>
          <w:top w:w="0" w:type="dxa"/>
          <w:left w:w="0" w:type="dxa"/>
          <w:bottom w:w="0" w:type="dxa"/>
          <w:right w:w="0" w:type="dxa"/>
        </w:tblCellMar>
      </w:tblPr>
      <w:tblGrid>
        <w:gridCol w:w="1753"/>
        <w:gridCol w:w="6946"/>
      </w:tblGrid>
      <w:tr w14:paraId="14C084B3">
        <w:tblPrEx>
          <w:tblCellMar>
            <w:top w:w="0" w:type="dxa"/>
            <w:left w:w="0" w:type="dxa"/>
            <w:bottom w:w="0" w:type="dxa"/>
            <w:right w:w="0" w:type="dxa"/>
          </w:tblCellMar>
        </w:tblPrEx>
        <w:trPr>
          <w:trHeight w:val="350" w:hRule="exact"/>
        </w:trPr>
        <w:tc>
          <w:tcPr>
            <w:tcW w:w="1753" w:type="dxa"/>
            <w:tcBorders>
              <w:top w:val="single" w:color="000000" w:sz="12" w:space="0"/>
              <w:left w:val="single" w:color="000000" w:sz="12" w:space="0"/>
              <w:bottom w:val="single" w:color="000000" w:sz="4" w:space="0"/>
              <w:right w:val="single" w:color="000000" w:sz="4" w:space="0"/>
            </w:tcBorders>
            <w:vAlign w:val="center"/>
          </w:tcPr>
          <w:p w14:paraId="73DBE9CC">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产品名称</w:t>
            </w:r>
          </w:p>
        </w:tc>
        <w:tc>
          <w:tcPr>
            <w:tcW w:w="6946" w:type="dxa"/>
            <w:tcBorders>
              <w:top w:val="single" w:color="000000" w:sz="12" w:space="0"/>
              <w:left w:val="single" w:color="000000" w:sz="4" w:space="0"/>
              <w:bottom w:val="single" w:color="000000" w:sz="4" w:space="0"/>
              <w:right w:val="single" w:color="000000" w:sz="12" w:space="0"/>
            </w:tcBorders>
            <w:vAlign w:val="center"/>
          </w:tcPr>
          <w:p w14:paraId="6CA3939A">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b/>
                <w:bCs/>
                <w:sz w:val="20"/>
                <w:szCs w:val="18"/>
                <w:lang w:eastAsia="zh-CN"/>
              </w:rPr>
              <w:t>超值宝定开</w:t>
            </w:r>
            <w:r>
              <w:rPr>
                <w:rFonts w:hint="eastAsia" w:ascii="仿宋_GB2312" w:eastAsia="仿宋_GB2312" w:cs="Times New Roman" w:hAnsiTheme="minorEastAsia"/>
                <w:b/>
                <w:bCs/>
                <w:sz w:val="20"/>
                <w:szCs w:val="18"/>
                <w:lang w:val="en-US" w:eastAsia="zh-CN"/>
              </w:rPr>
              <w:t>半年7</w:t>
            </w:r>
            <w:r>
              <w:rPr>
                <w:rFonts w:hint="eastAsia" w:ascii="仿宋_GB2312" w:eastAsia="仿宋_GB2312" w:cs="Times New Roman" w:hAnsiTheme="minorEastAsia"/>
                <w:b/>
                <w:bCs/>
                <w:sz w:val="20"/>
                <w:szCs w:val="18"/>
                <w:lang w:eastAsia="zh-CN"/>
              </w:rPr>
              <w:t>期理财产品</w:t>
            </w:r>
          </w:p>
        </w:tc>
      </w:tr>
      <w:tr w14:paraId="23081178">
        <w:tblPrEx>
          <w:tblCellMar>
            <w:top w:w="0" w:type="dxa"/>
            <w:left w:w="0" w:type="dxa"/>
            <w:bottom w:w="0" w:type="dxa"/>
            <w:right w:w="0" w:type="dxa"/>
          </w:tblCellMar>
        </w:tblPrEx>
        <w:trPr>
          <w:trHeight w:val="32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BE331FE">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w:t>
            </w:r>
            <w:r>
              <w:rPr>
                <w:rFonts w:hint="eastAsia" w:ascii="仿宋_GB2312" w:eastAsia="仿宋_GB2312" w:cs="Times New Roman" w:hAnsiTheme="minorEastAsia"/>
                <w:sz w:val="20"/>
                <w:szCs w:val="18"/>
                <w:lang w:val="en-US" w:eastAsia="zh-CN"/>
              </w:rPr>
              <w:t>代码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5B21D4CD">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GRCB02202</w:t>
            </w:r>
            <w:r>
              <w:rPr>
                <w:rFonts w:hint="eastAsia" w:ascii="仿宋_GB2312" w:hAnsi="Times New Roman" w:eastAsia="仿宋_GB2312" w:cs="Times New Roman"/>
                <w:sz w:val="20"/>
                <w:lang w:val="en-US" w:eastAsia="zh-CN"/>
              </w:rPr>
              <w:t>4</w:t>
            </w:r>
            <w:r>
              <w:rPr>
                <w:rFonts w:hint="eastAsia" w:ascii="仿宋_GB2312" w:hAnsi="Times New Roman" w:eastAsia="仿宋_GB2312" w:cs="Times New Roman"/>
                <w:sz w:val="20"/>
                <w:lang w:eastAsia="zh-CN"/>
              </w:rPr>
              <w:t>00</w:t>
            </w:r>
            <w:r>
              <w:rPr>
                <w:rFonts w:hint="eastAsia" w:ascii="仿宋_GB2312" w:hAnsi="Times New Roman" w:eastAsia="仿宋_GB2312" w:cs="Times New Roman"/>
                <w:sz w:val="20"/>
                <w:lang w:val="en-US" w:eastAsia="zh-CN"/>
              </w:rPr>
              <w:t>8</w:t>
            </w:r>
          </w:p>
        </w:tc>
      </w:tr>
      <w:tr w14:paraId="02397393">
        <w:tblPrEx>
          <w:tblCellMar>
            <w:top w:w="0" w:type="dxa"/>
            <w:left w:w="0" w:type="dxa"/>
            <w:bottom w:w="0" w:type="dxa"/>
            <w:right w:w="0" w:type="dxa"/>
          </w:tblCellMar>
        </w:tblPrEx>
        <w:trPr>
          <w:trHeight w:val="79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258E851">
            <w:pPr>
              <w:pStyle w:val="9"/>
              <w:ind w:left="1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lang w:eastAsia="zh-CN"/>
              </w:rPr>
              <w:t>登记编码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0A08B171">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C118832</w:t>
            </w:r>
            <w:r>
              <w:rPr>
                <w:rFonts w:hint="eastAsia" w:ascii="仿宋_GB2312" w:hAnsi="Times New Roman" w:eastAsia="仿宋_GB2312" w:cs="Times New Roman"/>
                <w:sz w:val="20"/>
                <w:lang w:val="en-US" w:eastAsia="zh-CN"/>
              </w:rPr>
              <w:t>4</w:t>
            </w:r>
            <w:r>
              <w:rPr>
                <w:rFonts w:hint="eastAsia" w:ascii="仿宋_GB2312" w:hAnsi="Times New Roman" w:eastAsia="仿宋_GB2312" w:cs="Times New Roman"/>
                <w:sz w:val="20"/>
                <w:lang w:eastAsia="zh-CN"/>
              </w:rPr>
              <w:t>000</w:t>
            </w:r>
            <w:r>
              <w:rPr>
                <w:rFonts w:hint="eastAsia" w:ascii="仿宋_GB2312" w:hAnsi="Times New Roman" w:eastAsia="仿宋_GB2312" w:cs="Times New Roman"/>
                <w:sz w:val="20"/>
                <w:lang w:val="en-US" w:eastAsia="zh-CN"/>
              </w:rPr>
              <w:t>011</w:t>
            </w:r>
          </w:p>
          <w:p w14:paraId="55A45E14">
            <w:pPr>
              <w:pStyle w:val="9"/>
              <w:ind w:left="10" w:leftChars="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highlight w:val="none"/>
                <w:lang w:val="en-US" w:eastAsia="zh-CN"/>
              </w:rPr>
              <w:t>投资者</w:t>
            </w:r>
            <w:r>
              <w:fldChar w:fldCharType="begin"/>
            </w:r>
            <w:r>
              <w:instrText xml:space="preserve"> HYPERLINK "http://www.chinawealth.com.cn/" \h </w:instrText>
            </w:r>
            <w:r>
              <w:fldChar w:fldCharType="separate"/>
            </w:r>
            <w:r>
              <w:rPr>
                <w:rFonts w:hint="eastAsia" w:ascii="仿宋_GB2312" w:hAnsi="Times New Roman" w:eastAsia="仿宋_GB2312" w:cs="Times New Roman"/>
                <w:sz w:val="20"/>
                <w:lang w:eastAsia="zh-CN"/>
              </w:rPr>
              <w:t>可依据该编码在中国理财网（www.chinawealth.com.cn</w:t>
            </w:r>
            <w:r>
              <w:rPr>
                <w:rFonts w:hint="eastAsia" w:ascii="仿宋_GB2312" w:hAnsi="Times New Roman" w:eastAsia="仿宋_GB2312" w:cs="Times New Roman"/>
                <w:sz w:val="20"/>
                <w:lang w:eastAsia="zh-CN"/>
              </w:rPr>
              <w:fldChar w:fldCharType="end"/>
            </w:r>
            <w:r>
              <w:rPr>
                <w:rFonts w:hint="eastAsia" w:ascii="仿宋_GB2312" w:hAnsi="Times New Roman" w:eastAsia="仿宋_GB2312" w:cs="Times New Roman"/>
                <w:sz w:val="20"/>
                <w:lang w:eastAsia="zh-CN"/>
              </w:rPr>
              <w:t>）上查询产品信息。</w:t>
            </w:r>
          </w:p>
        </w:tc>
      </w:tr>
      <w:tr w14:paraId="415699AB">
        <w:tblPrEx>
          <w:tblCellMar>
            <w:top w:w="0" w:type="dxa"/>
            <w:left w:w="0" w:type="dxa"/>
            <w:bottom w:w="0" w:type="dxa"/>
            <w:right w:w="0" w:type="dxa"/>
          </w:tblCellMar>
        </w:tblPrEx>
        <w:trPr>
          <w:trHeight w:val="36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5C10E8F">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发行机构</w:t>
            </w:r>
          </w:p>
        </w:tc>
        <w:tc>
          <w:tcPr>
            <w:tcW w:w="6946" w:type="dxa"/>
            <w:tcBorders>
              <w:top w:val="single" w:color="000000" w:sz="4" w:space="0"/>
              <w:left w:val="single" w:color="000000" w:sz="4" w:space="0"/>
              <w:bottom w:val="single" w:color="000000" w:sz="4" w:space="0"/>
              <w:right w:val="single" w:color="000000" w:sz="12" w:space="0"/>
            </w:tcBorders>
            <w:vAlign w:val="center"/>
          </w:tcPr>
          <w:p w14:paraId="375617F2">
            <w:pPr>
              <w:pStyle w:val="9"/>
              <w:jc w:val="center"/>
              <w:rPr>
                <w:rFonts w:ascii="仿宋_GB2312" w:hAnsi="Times New Roman" w:eastAsia="仿宋_GB2312" w:cs="Times New Roman"/>
                <w:b/>
                <w:sz w:val="20"/>
                <w:szCs w:val="18"/>
                <w:lang w:eastAsia="zh-CN"/>
              </w:rPr>
            </w:pPr>
            <w:r>
              <w:rPr>
                <w:rFonts w:hint="eastAsia" w:ascii="仿宋_GB2312" w:hAnsi="Times New Roman" w:eastAsia="仿宋_GB2312" w:cs="Times New Roman"/>
                <w:b w:val="0"/>
                <w:bCs/>
                <w:color w:val="auto"/>
                <w:sz w:val="20"/>
                <w:szCs w:val="18"/>
                <w:highlight w:val="none"/>
                <w:lang w:val="en-US" w:eastAsia="zh-CN"/>
              </w:rPr>
              <w:t>贵阳农村商业银行股份有限公司（统一社会信用代码：915201005872806375）</w:t>
            </w:r>
          </w:p>
        </w:tc>
      </w:tr>
      <w:tr w14:paraId="24B2C0D7">
        <w:tblPrEx>
          <w:tblCellMar>
            <w:top w:w="0" w:type="dxa"/>
            <w:left w:w="0" w:type="dxa"/>
            <w:bottom w:w="0" w:type="dxa"/>
            <w:right w:w="0" w:type="dxa"/>
          </w:tblCellMar>
        </w:tblPrEx>
        <w:trPr>
          <w:trHeight w:val="31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7AF180B">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rPr>
              <w:t>产品类型</w:t>
            </w:r>
          </w:p>
        </w:tc>
        <w:tc>
          <w:tcPr>
            <w:tcW w:w="6946" w:type="dxa"/>
            <w:tcBorders>
              <w:top w:val="single" w:color="000000" w:sz="4" w:space="0"/>
              <w:left w:val="single" w:color="000000" w:sz="4" w:space="0"/>
              <w:bottom w:val="single" w:color="000000" w:sz="4" w:space="0"/>
              <w:right w:val="single" w:color="000000" w:sz="12" w:space="0"/>
            </w:tcBorders>
            <w:vAlign w:val="center"/>
          </w:tcPr>
          <w:p w14:paraId="2DFC6118">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bCs/>
                <w:sz w:val="20"/>
                <w:szCs w:val="18"/>
                <w:highlight w:val="none"/>
                <w:lang w:val="en-US" w:eastAsia="zh-CN"/>
              </w:rPr>
              <w:t>非保本浮动收益型理财产品</w:t>
            </w:r>
          </w:p>
        </w:tc>
      </w:tr>
      <w:tr w14:paraId="0BF99BDB">
        <w:tblPrEx>
          <w:tblCellMar>
            <w:top w:w="0" w:type="dxa"/>
            <w:left w:w="0" w:type="dxa"/>
            <w:bottom w:w="0" w:type="dxa"/>
            <w:right w:w="0" w:type="dxa"/>
          </w:tblCellMar>
        </w:tblPrEx>
        <w:trPr>
          <w:trHeight w:val="28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AFEDB31">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投资形式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53AD724E">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sz w:val="20"/>
                <w:szCs w:val="18"/>
                <w:lang w:eastAsia="zh-CN"/>
              </w:rPr>
              <w:t>固定收益类</w:t>
            </w:r>
            <w:r>
              <w:rPr>
                <w:rFonts w:hint="eastAsia" w:ascii="仿宋_GB2312" w:eastAsia="仿宋_GB2312" w:cs="Times New Roman" w:hAnsiTheme="minorEastAsia"/>
                <w:b/>
                <w:sz w:val="20"/>
                <w:szCs w:val="18"/>
                <w:lang w:val="en-US" w:eastAsia="zh-CN"/>
              </w:rPr>
              <w:t>产品</w:t>
            </w:r>
          </w:p>
        </w:tc>
      </w:tr>
      <w:tr w14:paraId="72404409">
        <w:tblPrEx>
          <w:tblCellMar>
            <w:top w:w="0" w:type="dxa"/>
            <w:left w:w="0" w:type="dxa"/>
            <w:bottom w:w="0" w:type="dxa"/>
            <w:right w:w="0" w:type="dxa"/>
          </w:tblCellMar>
        </w:tblPrEx>
        <w:trPr>
          <w:trHeight w:val="2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C8EC653">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募集方式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452A8A87">
            <w:pPr>
              <w:pStyle w:val="9"/>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公募</w:t>
            </w:r>
            <w:r>
              <w:rPr>
                <w:rFonts w:hint="eastAsia" w:ascii="仿宋_GB2312" w:eastAsia="仿宋_GB2312" w:cs="Times New Roman" w:hAnsiTheme="minorEastAsia"/>
                <w:b/>
                <w:bCs/>
                <w:sz w:val="20"/>
                <w:szCs w:val="18"/>
                <w:highlight w:val="none"/>
                <w:lang w:val="en-US" w:eastAsia="zh-CN"/>
              </w:rPr>
              <w:t>发行</w:t>
            </w:r>
          </w:p>
        </w:tc>
      </w:tr>
      <w:tr w14:paraId="29A05CB8">
        <w:tblPrEx>
          <w:tblCellMar>
            <w:top w:w="0" w:type="dxa"/>
            <w:left w:w="0" w:type="dxa"/>
            <w:bottom w:w="0" w:type="dxa"/>
            <w:right w:w="0" w:type="dxa"/>
          </w:tblCellMar>
        </w:tblPrEx>
        <w:trPr>
          <w:trHeight w:val="3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7012A5B">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3AC5F96F">
            <w:pPr>
              <w:pStyle w:val="9"/>
              <w:ind w:left="0" w:leftChars="0" w:right="0" w:rightChars="0" w:firstLine="0" w:firstLineChars="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开放式</w:t>
            </w:r>
            <w:r>
              <w:rPr>
                <w:rFonts w:hint="eastAsia" w:ascii="仿宋_GB2312" w:eastAsia="仿宋_GB2312" w:cs="Times New Roman" w:hAnsiTheme="minorEastAsia"/>
                <w:b/>
                <w:bCs/>
                <w:sz w:val="20"/>
                <w:szCs w:val="18"/>
                <w:highlight w:val="none"/>
                <w:lang w:val="en-US" w:eastAsia="zh-CN"/>
              </w:rPr>
              <w:t>净值型产品</w:t>
            </w:r>
          </w:p>
        </w:tc>
      </w:tr>
      <w:tr w14:paraId="30B65730">
        <w:tblPrEx>
          <w:tblCellMar>
            <w:top w:w="0" w:type="dxa"/>
            <w:left w:w="0" w:type="dxa"/>
            <w:bottom w:w="0" w:type="dxa"/>
            <w:right w:w="0" w:type="dxa"/>
          </w:tblCellMar>
        </w:tblPrEx>
        <w:trPr>
          <w:trHeight w:val="77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AAC6C2D">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color w:val="auto"/>
                <w:sz w:val="20"/>
                <w:szCs w:val="18"/>
                <w:highlight w:val="none"/>
              </w:rPr>
              <w:t>内部风险评级</w:t>
            </w:r>
          </w:p>
        </w:tc>
        <w:tc>
          <w:tcPr>
            <w:tcW w:w="6946" w:type="dxa"/>
            <w:tcBorders>
              <w:top w:val="single" w:color="000000" w:sz="4" w:space="0"/>
              <w:left w:val="single" w:color="000000" w:sz="4" w:space="0"/>
              <w:bottom w:val="single" w:color="000000" w:sz="4" w:space="0"/>
              <w:right w:val="single" w:color="000000" w:sz="12" w:space="0"/>
            </w:tcBorders>
            <w:vAlign w:val="center"/>
          </w:tcPr>
          <w:p w14:paraId="1EC50405">
            <w:pPr>
              <w:pStyle w:val="9"/>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77A778EB">
            <w:pPr>
              <w:pStyle w:val="9"/>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b/>
                <w:bCs/>
                <w:color w:val="auto"/>
                <w:sz w:val="18"/>
                <w:szCs w:val="16"/>
                <w:highlight w:val="none"/>
                <w:lang w:eastAsia="zh-CN"/>
              </w:rPr>
              <w:t>（本风险评级为贵阳农商银行内部评级结果，该评级仅供参考，不具备法律效力。）</w:t>
            </w:r>
          </w:p>
        </w:tc>
      </w:tr>
      <w:tr w14:paraId="0A859D11">
        <w:tblPrEx>
          <w:tblCellMar>
            <w:top w:w="0" w:type="dxa"/>
            <w:left w:w="0" w:type="dxa"/>
            <w:bottom w:w="0" w:type="dxa"/>
            <w:right w:w="0" w:type="dxa"/>
          </w:tblCellMar>
        </w:tblPrEx>
        <w:trPr>
          <w:trHeight w:val="34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5C2AC2E">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适合</w:t>
            </w:r>
            <w:r>
              <w:rPr>
                <w:rFonts w:hint="eastAsia" w:ascii="仿宋_GB2312" w:eastAsia="仿宋_GB2312" w:cs="Times New Roman" w:hAnsiTheme="minorEastAsia"/>
                <w:sz w:val="20"/>
                <w:szCs w:val="18"/>
                <w:lang w:eastAsia="zh-CN"/>
              </w:rPr>
              <w:t>投资者</w:t>
            </w:r>
          </w:p>
        </w:tc>
        <w:tc>
          <w:tcPr>
            <w:tcW w:w="6946" w:type="dxa"/>
            <w:tcBorders>
              <w:top w:val="single" w:color="000000" w:sz="4" w:space="0"/>
              <w:left w:val="single" w:color="000000" w:sz="4" w:space="0"/>
              <w:bottom w:val="single" w:color="000000" w:sz="4" w:space="0"/>
              <w:right w:val="single" w:color="000000" w:sz="12" w:space="0"/>
            </w:tcBorders>
            <w:vAlign w:val="center"/>
          </w:tcPr>
          <w:p w14:paraId="20191A8A">
            <w:pPr>
              <w:widowControl/>
              <w:jc w:val="left"/>
              <w:rPr>
                <w:rFonts w:ascii="仿宋_GB2312" w:hAnsi="Times New Roman" w:eastAsia="仿宋_GB2312" w:cs="Times New Roman"/>
                <w:sz w:val="20"/>
                <w:szCs w:val="18"/>
              </w:rPr>
            </w:pPr>
            <w:r>
              <w:rPr>
                <w:rFonts w:hint="eastAsia" w:ascii="仿宋_GB2312" w:eastAsia="仿宋_GB2312" w:cs="Times New Roman" w:hAnsiTheme="minorEastAsia"/>
                <w:color w:val="000000"/>
                <w:kern w:val="0"/>
                <w:sz w:val="20"/>
                <w:szCs w:val="18"/>
                <w:lang w:val="en-US" w:eastAsia="zh-CN" w:bidi="ar-SA"/>
              </w:rPr>
              <w:t>经贵阳</w:t>
            </w:r>
            <w:r>
              <w:rPr>
                <w:rFonts w:hint="eastAsia" w:ascii="仿宋_GB2312" w:eastAsia="仿宋_GB2312" w:cs="Times New Roman" w:hAnsiTheme="minorEastAsia"/>
                <w:kern w:val="0"/>
                <w:sz w:val="20"/>
                <w:szCs w:val="18"/>
                <w:lang w:val="en-US" w:eastAsia="zh-CN" w:bidi="ar-SA"/>
              </w:rPr>
              <w:t>农商</w:t>
            </w:r>
            <w:r>
              <w:rPr>
                <w:rFonts w:hint="eastAsia" w:ascii="仿宋_GB2312" w:eastAsia="仿宋_GB2312" w:cs="Times New Roman" w:hAnsiTheme="minorEastAsia"/>
                <w:color w:val="000000"/>
                <w:kern w:val="0"/>
                <w:sz w:val="20"/>
                <w:szCs w:val="18"/>
                <w:lang w:val="en-US" w:eastAsia="zh-CN" w:bidi="ar-SA"/>
              </w:rPr>
              <w:t>银行评估为</w:t>
            </w:r>
            <w:r>
              <w:rPr>
                <w:rFonts w:hint="eastAsia" w:ascii="仿宋_GB2312" w:eastAsia="仿宋_GB2312" w:cs="Times New Roman" w:hAnsiTheme="minorEastAsia"/>
                <w:sz w:val="20"/>
                <w:szCs w:val="18"/>
                <w:lang w:eastAsia="zh-CN"/>
              </w:rPr>
              <w:t>稳健型、平衡型、成长型、进取型的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lang w:eastAsia="zh-CN"/>
              </w:rPr>
              <w:t>投资者</w:t>
            </w:r>
          </w:p>
        </w:tc>
      </w:tr>
      <w:tr w14:paraId="55915B53">
        <w:tblPrEx>
          <w:tblCellMar>
            <w:top w:w="0" w:type="dxa"/>
            <w:left w:w="0" w:type="dxa"/>
            <w:bottom w:w="0" w:type="dxa"/>
            <w:right w:w="0" w:type="dxa"/>
          </w:tblCellMar>
        </w:tblPrEx>
        <w:trPr>
          <w:trHeight w:val="289"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3D1C7CA1">
            <w:pPr>
              <w:pStyle w:val="9"/>
              <w:jc w:val="center"/>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val="en-US" w:eastAsia="zh-CN"/>
              </w:rPr>
              <w:t>销售/服务渠道</w:t>
            </w:r>
          </w:p>
        </w:tc>
        <w:tc>
          <w:tcPr>
            <w:tcW w:w="6946" w:type="dxa"/>
            <w:tcBorders>
              <w:top w:val="single" w:color="000000" w:sz="4" w:space="0"/>
              <w:left w:val="single" w:color="000000" w:sz="4" w:space="0"/>
              <w:bottom w:val="single" w:color="auto" w:sz="4" w:space="0"/>
              <w:right w:val="single" w:color="000000" w:sz="12" w:space="0"/>
            </w:tcBorders>
            <w:vAlign w:val="center"/>
          </w:tcPr>
          <w:p w14:paraId="05112BFE">
            <w:pPr>
              <w:pStyle w:val="9"/>
              <w:jc w:val="center"/>
              <w:rPr>
                <w:rFonts w:hint="eastAsia" w:ascii="仿宋_GB2312" w:hAnsi="Times New Roman" w:eastAsia="仿宋_GB2312" w:cs="Times New Roman"/>
                <w:sz w:val="20"/>
                <w:szCs w:val="18"/>
                <w:u w:val="single"/>
                <w:lang w:val="en-US" w:eastAsia="zh-CN"/>
              </w:rPr>
            </w:pPr>
            <w:r>
              <w:rPr>
                <w:rFonts w:hint="eastAsia" w:ascii="仿宋_GB2312" w:eastAsia="仿宋_GB2312" w:cs="Times New Roman" w:hAnsiTheme="minorEastAsia"/>
                <w:sz w:val="20"/>
                <w:szCs w:val="18"/>
                <w:lang w:eastAsia="zh-CN"/>
              </w:rPr>
              <w:t>贵阳农商银行营业</w:t>
            </w:r>
            <w:r>
              <w:rPr>
                <w:rFonts w:hint="eastAsia" w:ascii="仿宋_GB2312" w:eastAsia="仿宋_GB2312" w:cs="Times New Roman" w:hAnsiTheme="minorEastAsia"/>
                <w:spacing w:val="-2"/>
                <w:sz w:val="20"/>
                <w:szCs w:val="18"/>
                <w:lang w:eastAsia="zh-CN"/>
              </w:rPr>
              <w:t>网点</w:t>
            </w:r>
            <w:r>
              <w:rPr>
                <w:rFonts w:hint="eastAsia" w:ascii="仿宋_GB2312" w:eastAsia="仿宋_GB2312" w:cs="Times New Roman" w:hAnsiTheme="minorEastAsia"/>
                <w:sz w:val="20"/>
                <w:szCs w:val="18"/>
                <w:lang w:eastAsia="zh-CN"/>
              </w:rPr>
              <w:t>、手机银行等电子渠道</w:t>
            </w:r>
          </w:p>
          <w:p w14:paraId="4942C028">
            <w:pPr>
              <w:pStyle w:val="9"/>
              <w:jc w:val="center"/>
              <w:rPr>
                <w:rFonts w:hint="eastAsia" w:ascii="仿宋_GB2312" w:hAnsi="Times New Roman" w:eastAsia="仿宋_GB2312" w:cs="Times New Roman"/>
                <w:sz w:val="20"/>
                <w:szCs w:val="18"/>
                <w:u w:val="single"/>
                <w:lang w:val="en-US" w:eastAsia="zh-CN"/>
              </w:rPr>
            </w:pPr>
          </w:p>
          <w:p w14:paraId="56721A3B">
            <w:pPr>
              <w:pStyle w:val="9"/>
              <w:jc w:val="center"/>
              <w:rPr>
                <w:rFonts w:hint="default" w:ascii="仿宋_GB2312" w:hAnsi="Times New Roman" w:eastAsia="仿宋_GB2312" w:cs="Times New Roman"/>
                <w:sz w:val="20"/>
                <w:szCs w:val="18"/>
                <w:u w:val="single"/>
                <w:lang w:val="en-US" w:eastAsia="zh-CN"/>
              </w:rPr>
            </w:pPr>
          </w:p>
        </w:tc>
      </w:tr>
      <w:tr w14:paraId="7B007182">
        <w:tblPrEx>
          <w:tblCellMar>
            <w:top w:w="0" w:type="dxa"/>
            <w:left w:w="0" w:type="dxa"/>
            <w:bottom w:w="0" w:type="dxa"/>
            <w:right w:w="0" w:type="dxa"/>
          </w:tblCellMar>
        </w:tblPrEx>
        <w:trPr>
          <w:trHeight w:val="245"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37BB743B">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销售/服务地域</w:t>
            </w:r>
          </w:p>
        </w:tc>
        <w:tc>
          <w:tcPr>
            <w:tcW w:w="6946" w:type="dxa"/>
            <w:tcBorders>
              <w:top w:val="single" w:color="000000" w:sz="4" w:space="0"/>
              <w:left w:val="single" w:color="000000" w:sz="4" w:space="0"/>
              <w:bottom w:val="single" w:color="auto" w:sz="4" w:space="0"/>
              <w:right w:val="single" w:color="000000" w:sz="12" w:space="0"/>
            </w:tcBorders>
            <w:vAlign w:val="center"/>
          </w:tcPr>
          <w:p w14:paraId="6A640981">
            <w:pPr>
              <w:pStyle w:val="9"/>
              <w:ind w:left="11" w:leftChars="0"/>
              <w:jc w:val="center"/>
              <w:rPr>
                <w:rFonts w:hint="eastAsia"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贵州省</w:t>
            </w:r>
          </w:p>
        </w:tc>
      </w:tr>
      <w:tr w14:paraId="3C73A562">
        <w:tblPrEx>
          <w:tblCellMar>
            <w:top w:w="0" w:type="dxa"/>
            <w:left w:w="0" w:type="dxa"/>
            <w:bottom w:w="0" w:type="dxa"/>
            <w:right w:w="0" w:type="dxa"/>
          </w:tblCellMar>
        </w:tblPrEx>
        <w:trPr>
          <w:trHeight w:val="28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5CE1AF55">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rPr>
              <w:t>本金及收益币种</w:t>
            </w:r>
          </w:p>
        </w:tc>
        <w:tc>
          <w:tcPr>
            <w:tcW w:w="6946" w:type="dxa"/>
            <w:tcBorders>
              <w:top w:val="single" w:color="000000" w:sz="4" w:space="0"/>
              <w:left w:val="single" w:color="000000" w:sz="4" w:space="0"/>
              <w:bottom w:val="single" w:color="auto" w:sz="4" w:space="0"/>
              <w:right w:val="single" w:color="000000" w:sz="12" w:space="0"/>
            </w:tcBorders>
            <w:vAlign w:val="center"/>
          </w:tcPr>
          <w:p w14:paraId="52DC8565">
            <w:pPr>
              <w:pStyle w:val="9"/>
              <w:ind w:left="11" w:leftChars="0"/>
              <w:jc w:val="center"/>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rPr>
              <w:t>人民币</w:t>
            </w:r>
          </w:p>
        </w:tc>
      </w:tr>
      <w:tr w14:paraId="738F0D62">
        <w:tblPrEx>
          <w:tblCellMar>
            <w:top w:w="0" w:type="dxa"/>
            <w:left w:w="0" w:type="dxa"/>
            <w:bottom w:w="0" w:type="dxa"/>
            <w:right w:w="0" w:type="dxa"/>
          </w:tblCellMar>
        </w:tblPrEx>
        <w:trPr>
          <w:trHeight w:val="831"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1F2058C">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rPr>
              <w:t>产品规模</w:t>
            </w:r>
          </w:p>
        </w:tc>
        <w:tc>
          <w:tcPr>
            <w:tcW w:w="6946" w:type="dxa"/>
            <w:tcBorders>
              <w:top w:val="single" w:color="000000" w:sz="4" w:space="0"/>
              <w:left w:val="single" w:color="000000" w:sz="4" w:space="0"/>
              <w:bottom w:val="single" w:color="auto" w:sz="4" w:space="0"/>
              <w:right w:val="single" w:color="000000" w:sz="12" w:space="0"/>
            </w:tcBorders>
            <w:vAlign w:val="center"/>
          </w:tcPr>
          <w:p w14:paraId="12C07243">
            <w:pPr>
              <w:pStyle w:val="9"/>
              <w:ind w:left="43" w:right="2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产品募集上限</w:t>
            </w:r>
            <w:r>
              <w:rPr>
                <w:rFonts w:hint="eastAsia" w:ascii="仿宋_GB2312" w:eastAsia="仿宋_GB2312" w:cs="Times New Roman" w:hAnsiTheme="minorEastAsia"/>
                <w:sz w:val="20"/>
                <w:szCs w:val="18"/>
                <w:u w:val="none"/>
                <w:lang w:eastAsia="zh-CN"/>
              </w:rPr>
              <w:t>为</w:t>
            </w:r>
            <w:r>
              <w:rPr>
                <w:rFonts w:hint="eastAsia" w:ascii="仿宋_GB2312" w:eastAsia="仿宋_GB2312" w:cs="Times New Roman" w:hAnsiTheme="minorEastAsia"/>
                <w:b/>
                <w:bCs/>
                <w:sz w:val="20"/>
                <w:u w:val="none"/>
                <w:lang w:val="en-US" w:eastAsia="zh-CN"/>
              </w:rPr>
              <w:t>20000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sz w:val="20"/>
                <w:szCs w:val="18"/>
                <w:u w:val="none"/>
                <w:lang w:eastAsia="zh-CN"/>
              </w:rPr>
              <w:t>元，下限为</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szCs w:val="18"/>
                <w:u w:val="none"/>
                <w:lang w:eastAsia="zh-CN"/>
              </w:rPr>
              <w:t>万</w:t>
            </w:r>
            <w:r>
              <w:rPr>
                <w:rFonts w:hint="eastAsia" w:ascii="仿宋_GB2312" w:eastAsia="仿宋_GB2312" w:cs="Times New Roman" w:hAnsiTheme="minorEastAsia"/>
                <w:sz w:val="20"/>
                <w:szCs w:val="18"/>
                <w:lang w:eastAsia="zh-CN"/>
              </w:rPr>
              <w:t>元。</w:t>
            </w:r>
          </w:p>
          <w:p w14:paraId="503E5C40">
            <w:pPr>
              <w:pStyle w:val="9"/>
              <w:ind w:left="43" w:leftChars="0" w:right="29" w:rightChars="0"/>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sz w:val="20"/>
                <w:szCs w:val="18"/>
                <w:highlight w:val="none"/>
                <w:lang w:eastAsia="zh-CN"/>
              </w:rPr>
              <w:t>可</w:t>
            </w:r>
            <w:r>
              <w:rPr>
                <w:rFonts w:hint="eastAsia" w:ascii="仿宋_GB2312" w:eastAsia="仿宋_GB2312" w:cs="Times New Roman" w:hAnsiTheme="minorEastAsia"/>
                <w:color w:val="auto"/>
                <w:sz w:val="20"/>
                <w:szCs w:val="18"/>
                <w:highlight w:val="none"/>
                <w:lang w:val="en-US" w:eastAsia="zh-CN"/>
              </w:rPr>
              <w:t>根据市场情况等调整产品规模上下限。</w:t>
            </w:r>
          </w:p>
        </w:tc>
      </w:tr>
      <w:tr w14:paraId="265FCE16">
        <w:tblPrEx>
          <w:tblCellMar>
            <w:top w:w="0" w:type="dxa"/>
            <w:left w:w="0" w:type="dxa"/>
            <w:bottom w:w="0" w:type="dxa"/>
            <w:right w:w="0" w:type="dxa"/>
          </w:tblCellMar>
        </w:tblPrEx>
        <w:trPr>
          <w:trHeight w:val="353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465ABB2">
            <w:pPr>
              <w:pStyle w:val="9"/>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业绩比较基准</w:t>
            </w:r>
          </w:p>
        </w:tc>
        <w:tc>
          <w:tcPr>
            <w:tcW w:w="6946" w:type="dxa"/>
            <w:tcBorders>
              <w:top w:val="single" w:color="000000" w:sz="4" w:space="0"/>
              <w:left w:val="single" w:color="000000" w:sz="4" w:space="0"/>
              <w:bottom w:val="single" w:color="auto" w:sz="4" w:space="0"/>
              <w:right w:val="single" w:color="000000" w:sz="12" w:space="0"/>
            </w:tcBorders>
            <w:vAlign w:val="center"/>
          </w:tcPr>
          <w:p w14:paraId="585D075B">
            <w:pPr>
              <w:widowControl/>
              <w:ind w:left="11" w:right="84" w:firstLine="0"/>
              <w:jc w:val="center"/>
              <w:rPr>
                <w:rFonts w:ascii="仿宋_GB2312" w:eastAsia="仿宋_GB2312" w:cs="Times New Roman" w:hAnsiTheme="minorEastAsia"/>
                <w:b/>
                <w:bCs/>
                <w:sz w:val="20"/>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2.0</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3.0</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lang w:eastAsia="zh-CN"/>
              </w:rPr>
              <w:t>/年</w:t>
            </w:r>
          </w:p>
          <w:p w14:paraId="2D815D10">
            <w:pPr>
              <w:widowControl/>
              <w:spacing w:after="0" w:line="240" w:lineRule="auto"/>
              <w:ind w:left="0" w:leftChars="0" w:right="0" w:firstLineChars="0"/>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78902AF0">
            <w:pPr>
              <w:widowControl/>
              <w:ind w:left="0" w:right="84"/>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本产品主要投资于现金类资产、货币类资产、</w:t>
            </w:r>
            <w:r>
              <w:rPr>
                <w:rFonts w:ascii="仿宋_GB2312" w:eastAsia="仿宋_GB2312" w:cs="Times New Roman" w:hAnsiTheme="minorEastAsia"/>
                <w:sz w:val="20"/>
                <w:szCs w:val="18"/>
                <w:lang w:eastAsia="zh-CN"/>
              </w:rPr>
              <w:t>货币市场基金、债券型基金、</w:t>
            </w:r>
            <w:r>
              <w:rPr>
                <w:rFonts w:hint="eastAsia" w:ascii="仿宋_GB2312" w:eastAsia="仿宋_GB2312" w:cs="Times New Roman" w:hAnsiTheme="minorEastAsia"/>
                <w:sz w:val="20"/>
                <w:szCs w:val="18"/>
                <w:lang w:eastAsia="zh-CN"/>
              </w:rPr>
              <w:t>标准化固定收益类资产及符合前述投向的信托计划、资产管理计划，投资比例为80%-100%。</w:t>
            </w:r>
          </w:p>
          <w:p w14:paraId="41E13784">
            <w:pPr>
              <w:widowControl/>
              <w:ind w:left="0" w:right="84"/>
              <w:rPr>
                <w:rFonts w:hint="default" w:ascii="仿宋_GB2312" w:eastAsia="仿宋_GB2312" w:cs="Times New Roman" w:hAnsiTheme="minorEastAsia"/>
                <w:b w:val="0"/>
                <w:bCs w:val="0"/>
                <w:sz w:val="20"/>
                <w:szCs w:val="18"/>
                <w:lang w:val="en-US" w:eastAsia="zh-CN"/>
              </w:rPr>
            </w:pPr>
            <w:r>
              <w:rPr>
                <w:rFonts w:hint="eastAsia" w:ascii="仿宋_GB2312" w:hAnsi="Times New Roman" w:eastAsia="仿宋_GB2312" w:cs="Times New Roman"/>
                <w:b/>
                <w:bCs/>
                <w:sz w:val="20"/>
                <w:szCs w:val="18"/>
                <w:lang w:eastAsia="zh-CN"/>
              </w:rPr>
              <w:t>3.</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bCs/>
                <w:color w:val="auto"/>
                <w:sz w:val="20"/>
                <w:szCs w:val="20"/>
                <w:highlight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w:t>
            </w:r>
            <w:r>
              <w:rPr>
                <w:rFonts w:hint="eastAsia" w:ascii="仿宋_GB2312" w:hAnsi="仿宋_GB2312" w:eastAsia="仿宋_GB2312" w:cs="仿宋_GB2312"/>
                <w:b w:val="0"/>
                <w:bCs w:val="0"/>
                <w:color w:val="auto"/>
                <w:sz w:val="20"/>
                <w:szCs w:val="20"/>
                <w:highlight w:val="none"/>
                <w:lang w:val="en-US" w:eastAsia="zh-CN"/>
              </w:rPr>
              <w:t>进行公告（公告方式为贵阳农商银行官方网站等渠道）</w:t>
            </w:r>
            <w:r>
              <w:rPr>
                <w:rFonts w:hint="eastAsia" w:ascii="仿宋_GB2312" w:eastAsia="仿宋_GB2312" w:cs="Times New Roman" w:hAnsiTheme="minorEastAsia"/>
                <w:b w:val="0"/>
                <w:bCs w:val="0"/>
                <w:sz w:val="20"/>
                <w:szCs w:val="18"/>
                <w:lang w:val="en-US" w:eastAsia="zh-CN"/>
              </w:rPr>
              <w:t>。</w:t>
            </w:r>
          </w:p>
          <w:p w14:paraId="7C4D8F1A">
            <w:pPr>
              <w:widowControl/>
              <w:ind w:left="43" w:leftChars="0" w:right="29" w:rightChars="0"/>
              <w:jc w:val="left"/>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b/>
                <w:bCs/>
                <w:sz w:val="20"/>
                <w:szCs w:val="18"/>
                <w:lang w:eastAsia="zh-CN"/>
              </w:rPr>
              <w:t>4.业绩比较基准不是预期收益率，不代表产品的未来表现和实际收益，不构成对产品收益的</w:t>
            </w:r>
            <w:r>
              <w:rPr>
                <w:rFonts w:ascii="仿宋_GB2312" w:eastAsia="仿宋_GB2312" w:cs="Times New Roman" w:hAnsiTheme="minorEastAsia"/>
                <w:b/>
                <w:bCs/>
                <w:sz w:val="20"/>
                <w:szCs w:val="18"/>
                <w:lang w:eastAsia="zh-CN"/>
              </w:rPr>
              <w:t xml:space="preserve">承诺。 </w:t>
            </w:r>
          </w:p>
        </w:tc>
      </w:tr>
      <w:tr w14:paraId="0DD4A5C5">
        <w:tblPrEx>
          <w:tblCellMar>
            <w:top w:w="0" w:type="dxa"/>
            <w:left w:w="0" w:type="dxa"/>
            <w:bottom w:w="0" w:type="dxa"/>
            <w:right w:w="0" w:type="dxa"/>
          </w:tblCellMar>
        </w:tblPrEx>
        <w:trPr>
          <w:trHeight w:val="33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8007C4C">
            <w:pPr>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认购面值</w:t>
            </w:r>
          </w:p>
        </w:tc>
        <w:tc>
          <w:tcPr>
            <w:tcW w:w="6946" w:type="dxa"/>
            <w:tcBorders>
              <w:top w:val="single" w:color="000000" w:sz="4" w:space="0"/>
              <w:left w:val="single" w:color="000000" w:sz="4" w:space="0"/>
              <w:bottom w:val="single" w:color="000000" w:sz="4" w:space="0"/>
              <w:right w:val="single" w:color="000000" w:sz="12" w:space="0"/>
            </w:tcBorders>
            <w:vAlign w:val="center"/>
          </w:tcPr>
          <w:p w14:paraId="5B6DC6EA">
            <w:pPr>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6FA2B87A">
        <w:tblPrEx>
          <w:tblCellMar>
            <w:top w:w="0" w:type="dxa"/>
            <w:left w:w="0" w:type="dxa"/>
            <w:bottom w:w="0" w:type="dxa"/>
            <w:right w:w="0" w:type="dxa"/>
          </w:tblCellMar>
        </w:tblPrEx>
        <w:trPr>
          <w:trHeight w:val="40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94ECED7">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sz w:val="20"/>
                <w:szCs w:val="18"/>
                <w:lang w:val="en-US" w:eastAsia="zh-CN"/>
              </w:rPr>
              <w:t>认/申购金额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44E58C16">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lang w:val="en-US" w:eastAsia="zh-CN"/>
              </w:rPr>
              <w:t>万元起</w:t>
            </w:r>
            <w:r>
              <w:rPr>
                <w:rFonts w:hint="eastAsia" w:ascii="仿宋_GB2312" w:eastAsia="仿宋_GB2312" w:cs="Times New Roman" w:hAnsiTheme="minorEastAsia"/>
                <w:color w:val="auto"/>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w:t>
            </w:r>
            <w:r>
              <w:rPr>
                <w:rFonts w:hint="eastAsia" w:ascii="仿宋_GB2312" w:eastAsia="仿宋_GB2312" w:cs="Times New Roman" w:hAnsiTheme="minorEastAsia"/>
                <w:color w:val="auto"/>
                <w:sz w:val="20"/>
                <w:szCs w:val="18"/>
                <w:highlight w:val="none"/>
                <w:lang w:val="en-US" w:eastAsia="zh-CN"/>
              </w:rPr>
              <w:t>元的整数倍递增</w:t>
            </w:r>
          </w:p>
        </w:tc>
      </w:tr>
      <w:tr w14:paraId="0CC5F796">
        <w:tblPrEx>
          <w:tblCellMar>
            <w:top w:w="0" w:type="dxa"/>
            <w:left w:w="0" w:type="dxa"/>
            <w:bottom w:w="0" w:type="dxa"/>
            <w:right w:w="0" w:type="dxa"/>
          </w:tblCellMar>
        </w:tblPrEx>
        <w:trPr>
          <w:trHeight w:val="41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CA644C7">
            <w:pPr>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最低持有份额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4CF94BE9">
            <w:pPr>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val="en-US" w:eastAsia="zh-CN"/>
              </w:rPr>
              <w:t>最低持有份额为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sz w:val="20"/>
                <w:szCs w:val="18"/>
                <w:lang w:val="en-US" w:eastAsia="zh-CN"/>
              </w:rPr>
              <w:t>万份</w:t>
            </w:r>
            <w:r>
              <w:rPr>
                <w:rFonts w:hint="eastAsia" w:ascii="仿宋_GB2312" w:eastAsia="仿宋_GB2312" w:cs="Times New Roman" w:hAnsiTheme="minorEastAsia"/>
                <w:sz w:val="20"/>
                <w:szCs w:val="18"/>
                <w:lang w:eastAsia="zh-CN"/>
              </w:rPr>
              <w:t xml:space="preserve"> </w:t>
            </w:r>
          </w:p>
        </w:tc>
      </w:tr>
      <w:tr w14:paraId="1610EB41">
        <w:tblPrEx>
          <w:tblCellMar>
            <w:top w:w="0" w:type="dxa"/>
            <w:left w:w="0" w:type="dxa"/>
            <w:bottom w:w="0" w:type="dxa"/>
            <w:right w:w="0" w:type="dxa"/>
          </w:tblCellMar>
        </w:tblPrEx>
        <w:trPr>
          <w:trHeight w:val="5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37775E0">
            <w:pPr>
              <w:pStyle w:val="9"/>
              <w:jc w:val="center"/>
              <w:rPr>
                <w:rFonts w:hint="eastAsia" w:ascii="仿宋_GB2312" w:eastAsia="仿宋_GB2312" w:cs="Times New Roman" w:hAnsiTheme="minorEastAsia"/>
                <w:sz w:val="20"/>
                <w:szCs w:val="18"/>
                <w:lang w:val="en-US" w:eastAsia="zh-CN" w:bidi="ar-SA"/>
              </w:rPr>
            </w:pP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申购上限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210D4581">
            <w:pPr>
              <w:pStyle w:val="9"/>
              <w:ind w:left="11" w:leftChars="0"/>
              <w:jc w:val="left"/>
              <w:rPr>
                <w:rFonts w:hint="eastAsia" w:ascii="仿宋_GB2312" w:eastAsia="仿宋_GB2312" w:cs="Times New Roman" w:hAnsiTheme="minorEastAsia"/>
                <w:sz w:val="20"/>
                <w:szCs w:val="18"/>
                <w:lang w:val="en-US" w:eastAsia="zh-CN" w:bidi="ar-SA"/>
              </w:rPr>
            </w:pPr>
            <w:r>
              <w:rPr>
                <w:rFonts w:hint="eastAsia" w:ascii="仿宋_GB2312" w:hAnsi="Times New Roman" w:eastAsia="仿宋_GB2312" w:cs="Times New Roman"/>
                <w:sz w:val="20"/>
                <w:szCs w:val="18"/>
                <w:lang w:eastAsia="zh-CN"/>
              </w:rPr>
              <w:t>单个投资者</w:t>
            </w: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w:t>
            </w:r>
            <w:r>
              <w:rPr>
                <w:rFonts w:hint="eastAsia" w:ascii="仿宋_GB2312" w:hAnsi="Times New Roman" w:eastAsia="仿宋_GB2312" w:cs="Times New Roman"/>
                <w:sz w:val="20"/>
                <w:szCs w:val="18"/>
                <w:lang w:val="en-US" w:eastAsia="zh-CN"/>
              </w:rPr>
              <w:t>金额</w:t>
            </w:r>
            <w:r>
              <w:rPr>
                <w:rFonts w:hint="eastAsia" w:ascii="仿宋_GB2312" w:hAnsi="Times New Roman" w:eastAsia="仿宋_GB2312" w:cs="Times New Roman"/>
                <w:sz w:val="20"/>
                <w:szCs w:val="18"/>
                <w:lang w:eastAsia="zh-CN"/>
              </w:rPr>
              <w:t>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u w:val="none"/>
                <w:lang w:eastAsia="zh-CN"/>
              </w:rPr>
              <w:t>万</w:t>
            </w:r>
            <w:r>
              <w:rPr>
                <w:rFonts w:hint="eastAsia" w:ascii="仿宋_GB2312" w:hAnsi="Times New Roman" w:eastAsia="仿宋_GB2312" w:cs="Times New Roman"/>
                <w:sz w:val="20"/>
                <w:szCs w:val="18"/>
                <w:lang w:val="en-US" w:eastAsia="zh-CN"/>
              </w:rPr>
              <w:t>元</w:t>
            </w:r>
            <w:r>
              <w:rPr>
                <w:rFonts w:hint="eastAsia" w:ascii="仿宋_GB2312" w:hAnsi="Times New Roman" w:eastAsia="仿宋_GB2312" w:cs="Times New Roman"/>
                <w:sz w:val="20"/>
                <w:szCs w:val="18"/>
                <w:lang w:eastAsia="zh-CN"/>
              </w:rPr>
              <w:t>，超出部分</w:t>
            </w:r>
            <w:r>
              <w:rPr>
                <w:rFonts w:hint="eastAsia" w:ascii="仿宋_GB2312" w:eastAsia="仿宋_GB2312" w:cs="Times New Roman" w:hAnsiTheme="minorEastAsia"/>
                <w:sz w:val="20"/>
                <w:szCs w:val="18"/>
                <w:lang w:eastAsia="zh-CN"/>
              </w:rPr>
              <w:t>贵阳农商银行</w:t>
            </w:r>
            <w:r>
              <w:rPr>
                <w:rFonts w:hint="eastAsia" w:ascii="仿宋_GB2312" w:eastAsia="仿宋_GB2312" w:cs="Times New Roman" w:hAnsiTheme="minorEastAsia"/>
                <w:sz w:val="20"/>
                <w:szCs w:val="18"/>
                <w:lang w:val="en-US" w:eastAsia="zh-CN"/>
              </w:rPr>
              <w:t>将</w:t>
            </w:r>
            <w:r>
              <w:rPr>
                <w:rFonts w:hint="eastAsia" w:ascii="仿宋_GB2312" w:hAnsi="Times New Roman" w:eastAsia="仿宋_GB2312" w:cs="Times New Roman"/>
                <w:sz w:val="20"/>
                <w:szCs w:val="18"/>
                <w:lang w:eastAsia="zh-CN"/>
              </w:rPr>
              <w:t>根据实际情况限制</w:t>
            </w:r>
            <w:r>
              <w:rPr>
                <w:rFonts w:hint="eastAsia" w:ascii="仿宋_GB2312" w:hAnsi="Times New Roman" w:eastAsia="仿宋_GB2312" w:cs="Times New Roman"/>
                <w:sz w:val="20"/>
                <w:szCs w:val="18"/>
                <w:highlight w:val="none"/>
                <w:lang w:val="en-US" w:eastAsia="zh-CN"/>
              </w:rPr>
              <w:t>单个投资者认/</w:t>
            </w:r>
            <w:r>
              <w:rPr>
                <w:rFonts w:hint="eastAsia" w:ascii="仿宋_GB2312" w:hAnsi="Times New Roman" w:eastAsia="仿宋_GB2312" w:cs="Times New Roman"/>
                <w:sz w:val="20"/>
                <w:szCs w:val="18"/>
                <w:lang w:eastAsia="zh-CN"/>
              </w:rPr>
              <w:t>申购。</w:t>
            </w:r>
          </w:p>
        </w:tc>
      </w:tr>
      <w:tr w14:paraId="43695119">
        <w:tblPrEx>
          <w:tblCellMar>
            <w:top w:w="0" w:type="dxa"/>
            <w:left w:w="0" w:type="dxa"/>
            <w:bottom w:w="0" w:type="dxa"/>
            <w:right w:w="0" w:type="dxa"/>
          </w:tblCellMar>
        </w:tblPrEx>
        <w:trPr>
          <w:trHeight w:val="10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8761A70">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募集期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1FE4F0">
            <w:pPr>
              <w:pStyle w:val="9"/>
              <w:ind w:left="26"/>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2</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hAnsi="Times New Roman" w:eastAsia="仿宋_GB2312" w:cs="Times New Roman"/>
                <w:b/>
                <w:bCs/>
                <w:sz w:val="20"/>
                <w:szCs w:val="18"/>
                <w:u w:val="none"/>
                <w:lang w:val="en-US" w:eastAsia="zh-CN"/>
              </w:rPr>
              <w:t>2</w:t>
            </w:r>
            <w:r>
              <w:rPr>
                <w:rFonts w:hint="eastAsia" w:ascii="仿宋_GB2312" w:hAnsi="Times New Roman" w:eastAsia="仿宋_GB2312" w:cs="Times New Roman"/>
                <w:b w:val="0"/>
                <w:bCs w:val="0"/>
                <w:sz w:val="20"/>
                <w:szCs w:val="18"/>
                <w:u w:val="none"/>
                <w:lang w:eastAsia="zh-CN"/>
              </w:rPr>
              <w:t>月</w:t>
            </w:r>
            <w:r>
              <w:rPr>
                <w:rFonts w:hint="eastAsia" w:ascii="仿宋_GB2312" w:hAnsi="Times New Roman" w:eastAsia="仿宋_GB2312" w:cs="Times New Roman"/>
                <w:b/>
                <w:bCs/>
                <w:sz w:val="20"/>
                <w:szCs w:val="18"/>
                <w:u w:val="none"/>
                <w:lang w:val="en-US" w:eastAsia="zh-CN"/>
              </w:rPr>
              <w:t>17</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16：59</w:t>
            </w:r>
            <w:bookmarkStart w:id="0" w:name="_GoBack"/>
            <w:bookmarkEnd w:id="0"/>
          </w:p>
          <w:p w14:paraId="75739C2B">
            <w:pPr>
              <w:pStyle w:val="9"/>
              <w:ind w:left="26" w:leftChars="0"/>
              <w:jc w:val="both"/>
              <w:rPr>
                <w:rFonts w:hint="eastAsia" w:ascii="仿宋_GB2312" w:hAnsi="Times New Roman" w:eastAsia="仿宋_GB2312" w:cs="Times New Roman"/>
                <w:sz w:val="20"/>
                <w:szCs w:val="18"/>
                <w:lang w:val="en-US" w:eastAsia="zh-CN" w:bidi="ar-SA"/>
              </w:rPr>
            </w:pPr>
            <w:r>
              <w:rPr>
                <w:rFonts w:hint="eastAsia" w:ascii="仿宋_GB2312" w:hAnsi="Times New Roman" w:eastAsia="仿宋_GB2312" w:cs="Times New Roman"/>
                <w:sz w:val="20"/>
                <w:szCs w:val="18"/>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0690D1C7">
        <w:tblPrEx>
          <w:tblCellMar>
            <w:top w:w="0" w:type="dxa"/>
            <w:left w:w="0" w:type="dxa"/>
            <w:bottom w:w="0" w:type="dxa"/>
            <w:right w:w="0" w:type="dxa"/>
          </w:tblCellMar>
        </w:tblPrEx>
        <w:trPr>
          <w:trHeight w:val="45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7893812">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封闭期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473E5F9C">
            <w:pPr>
              <w:pStyle w:val="9"/>
              <w:ind w:left="2123" w:leftChars="0" w:right="41" w:rightChars="0" w:hanging="2069" w:firstLineChars="0"/>
              <w:jc w:val="center"/>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封闭期约为</w:t>
            </w:r>
            <w:r>
              <w:rPr>
                <w:rFonts w:hint="eastAsia" w:ascii="仿宋_GB2312" w:hAnsi="Times New Roman" w:eastAsia="仿宋_GB2312" w:cs="Times New Roman"/>
                <w:b/>
                <w:bCs/>
                <w:sz w:val="20"/>
                <w:szCs w:val="18"/>
                <w:u w:val="none"/>
                <w:lang w:val="en-US" w:eastAsia="zh-CN"/>
              </w:rPr>
              <w:t>半</w:t>
            </w:r>
            <w:r>
              <w:rPr>
                <w:rFonts w:hint="eastAsia" w:ascii="仿宋_GB2312" w:hAnsi="Times New Roman" w:eastAsia="仿宋_GB2312" w:cs="Times New Roman"/>
                <w:sz w:val="20"/>
                <w:szCs w:val="18"/>
                <w:lang w:eastAsia="zh-CN"/>
              </w:rPr>
              <w:t>年，每个封闭期运作天数按照实际天数计算</w:t>
            </w:r>
          </w:p>
        </w:tc>
      </w:tr>
      <w:tr w14:paraId="5DAC5037">
        <w:tblPrEx>
          <w:tblCellMar>
            <w:top w:w="0" w:type="dxa"/>
            <w:left w:w="0" w:type="dxa"/>
            <w:bottom w:w="0" w:type="dxa"/>
            <w:right w:w="0" w:type="dxa"/>
          </w:tblCellMar>
        </w:tblPrEx>
        <w:trPr>
          <w:trHeight w:val="170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39C3F69">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开放</w:t>
            </w:r>
            <w:r>
              <w:rPr>
                <w:rFonts w:hint="eastAsia" w:ascii="仿宋_GB2312" w:eastAsia="仿宋_GB2312" w:cs="Times New Roman" w:hAnsiTheme="minorEastAsia"/>
                <w:sz w:val="20"/>
                <w:szCs w:val="18"/>
              </w:rPr>
              <w:t>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3B557B">
            <w:pPr>
              <w:pStyle w:val="9"/>
              <w:ind w:left="26"/>
              <w:jc w:val="both"/>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eastAsia="zh-CN"/>
              </w:rPr>
              <w:t>1.每年</w:t>
            </w:r>
            <w:r>
              <w:rPr>
                <w:rFonts w:hint="eastAsia" w:ascii="仿宋_GB2312" w:eastAsia="仿宋_GB2312" w:cs="Times New Roman" w:hAnsiTheme="minorEastAsia"/>
                <w:b/>
                <w:bCs/>
                <w:sz w:val="20"/>
                <w:u w:val="none"/>
                <w:lang w:val="en-US" w:eastAsia="zh-CN"/>
              </w:rPr>
              <w:t>2</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2</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sz w:val="20"/>
                <w:szCs w:val="18"/>
                <w:u w:val="none"/>
                <w:lang w:val="en-US" w:eastAsia="zh-CN"/>
              </w:rPr>
              <w:t>1</w:t>
            </w:r>
            <w:r>
              <w:rPr>
                <w:rFonts w:hint="eastAsia" w:ascii="仿宋_GB2312" w:hAnsi="Times New Roman" w:eastAsia="仿宋_GB2312" w:cs="Times New Roman"/>
                <w:b/>
                <w:bCs/>
                <w:sz w:val="20"/>
                <w:szCs w:val="18"/>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b w:val="0"/>
                <w:bCs w:val="0"/>
                <w:sz w:val="20"/>
                <w:szCs w:val="18"/>
                <w:u w:val="none"/>
                <w:lang w:val="en-US" w:eastAsia="zh-CN"/>
              </w:rPr>
              <w:t>、</w:t>
            </w:r>
            <w:r>
              <w:rPr>
                <w:rFonts w:hint="eastAsia" w:ascii="仿宋_GB2312" w:eastAsia="仿宋_GB2312" w:cs="Times New Roman" w:hAnsiTheme="minorEastAsia"/>
                <w:b/>
                <w:bCs/>
                <w:sz w:val="20"/>
                <w:u w:val="none"/>
                <w:lang w:val="en-US" w:eastAsia="zh-CN"/>
              </w:rPr>
              <w:t>8</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8</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sz w:val="20"/>
                <w:szCs w:val="18"/>
                <w:u w:val="none"/>
                <w:lang w:val="en-US" w:eastAsia="zh-CN"/>
              </w:rPr>
              <w:t>1</w:t>
            </w:r>
            <w:r>
              <w:rPr>
                <w:rFonts w:hint="eastAsia" w:ascii="仿宋_GB2312" w:hAnsi="Times New Roman" w:eastAsia="仿宋_GB2312" w:cs="Times New Roman"/>
                <w:b/>
                <w:bCs/>
                <w:sz w:val="20"/>
                <w:szCs w:val="18"/>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sz w:val="20"/>
                <w:szCs w:val="18"/>
                <w:u w:val="none"/>
                <w:lang w:eastAsia="zh-CN"/>
              </w:rPr>
              <w:t>为</w:t>
            </w:r>
            <w:r>
              <w:rPr>
                <w:rFonts w:hint="eastAsia" w:ascii="仿宋_GB2312" w:hAnsi="Times New Roman" w:eastAsia="仿宋_GB2312" w:cs="Times New Roman"/>
                <w:sz w:val="20"/>
                <w:szCs w:val="18"/>
                <w:lang w:eastAsia="zh-CN"/>
              </w:rPr>
              <w:t>产品开放期，投资者可在该期间进行申购或赎回。</w:t>
            </w:r>
          </w:p>
          <w:p w14:paraId="14E1FA46">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2.若开放期最后一日遇</w:t>
            </w:r>
            <w:r>
              <w:rPr>
                <w:rFonts w:hint="eastAsia" w:ascii="仿宋_GB2312" w:hAnsi="Times New Roman" w:eastAsia="仿宋_GB2312" w:cs="Times New Roman"/>
                <w:sz w:val="20"/>
                <w:szCs w:val="18"/>
                <w:lang w:val="en-US" w:eastAsia="zh-CN"/>
              </w:rPr>
              <w:t>非工作日</w:t>
            </w:r>
            <w:r>
              <w:rPr>
                <w:rFonts w:hint="eastAsia" w:ascii="仿宋_GB2312" w:hAnsi="Times New Roman" w:eastAsia="仿宋_GB2312" w:cs="Times New Roman"/>
                <w:sz w:val="20"/>
                <w:szCs w:val="18"/>
                <w:lang w:eastAsia="zh-CN"/>
              </w:rPr>
              <w:t>，则顺延至下一个工作日，</w:t>
            </w:r>
            <w:r>
              <w:rPr>
                <w:rFonts w:hint="eastAsia" w:ascii="仿宋_GB2312" w:hAnsi="Times New Roman" w:eastAsia="仿宋_GB2312" w:cs="Times New Roman"/>
                <w:sz w:val="20"/>
                <w:szCs w:val="18"/>
                <w:lang w:val="en-US" w:eastAsia="zh-CN"/>
              </w:rPr>
              <w:t>如</w:t>
            </w:r>
            <w:r>
              <w:rPr>
                <w:rFonts w:hint="eastAsia" w:ascii="仿宋_GB2312" w:hAnsi="Times New Roman" w:eastAsia="仿宋_GB2312" w:cs="Times New Roman"/>
                <w:sz w:val="20"/>
                <w:szCs w:val="18"/>
                <w:lang w:eastAsia="zh-CN"/>
              </w:rPr>
              <w:t>有调整以贵阳农商银行官方公告为准（</w:t>
            </w:r>
            <w:r>
              <w:rPr>
                <w:rFonts w:hint="eastAsia" w:ascii="仿宋_GB2312" w:hAnsi="Times New Roman" w:eastAsia="仿宋_GB2312" w:cs="Times New Roman"/>
                <w:sz w:val="20"/>
                <w:szCs w:val="18"/>
                <w:lang w:val="en-US" w:eastAsia="zh-CN"/>
              </w:rPr>
              <w:t>调整公告于每一个开放期前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hAnsi="Times New Roman" w:eastAsia="仿宋_GB2312" w:cs="Times New Roman"/>
                <w:sz w:val="20"/>
                <w:szCs w:val="18"/>
                <w:lang w:val="en-US" w:eastAsia="zh-CN"/>
              </w:rPr>
              <w:t>个工作日</w:t>
            </w:r>
            <w:r>
              <w:rPr>
                <w:rFonts w:hint="eastAsia" w:ascii="仿宋_GB2312" w:eastAsia="仿宋_GB2312" w:cs="Times New Roman" w:hAnsiTheme="minorEastAsia"/>
                <w:sz w:val="20"/>
                <w:szCs w:val="18"/>
                <w:lang w:val="en-US" w:eastAsia="zh-CN"/>
              </w:rPr>
              <w:t>通过贵阳农商银行官方网站等渠道公布</w:t>
            </w:r>
            <w:r>
              <w:rPr>
                <w:rFonts w:hint="eastAsia" w:ascii="仿宋_GB2312" w:hAnsi="Times New Roman" w:eastAsia="仿宋_GB2312" w:cs="Times New Roman"/>
                <w:sz w:val="20"/>
                <w:szCs w:val="18"/>
                <w:lang w:eastAsia="zh-CN"/>
              </w:rPr>
              <w:t>）。</w:t>
            </w:r>
          </w:p>
        </w:tc>
      </w:tr>
      <w:tr w14:paraId="53B910B5">
        <w:tblPrEx>
          <w:tblCellMar>
            <w:top w:w="0" w:type="dxa"/>
            <w:left w:w="0" w:type="dxa"/>
            <w:bottom w:w="0" w:type="dxa"/>
            <w:right w:w="0" w:type="dxa"/>
          </w:tblCellMar>
        </w:tblPrEx>
        <w:trPr>
          <w:trHeight w:val="84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7D8B0DA">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成立日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BCE1657">
            <w:pPr>
              <w:pStyle w:val="9"/>
              <w:ind w:left="11" w:right="89" w:firstLine="93"/>
              <w:jc w:val="center"/>
              <w:rPr>
                <w:rFonts w:hint="default" w:ascii="仿宋_GB2312" w:hAnsi="Times New Roman" w:eastAsia="仿宋_GB2312" w:cs="Times New Roman"/>
                <w:sz w:val="20"/>
                <w:szCs w:val="18"/>
                <w:u w:val="none"/>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hAnsi="Times New Roman" w:eastAsia="仿宋_GB2312" w:cs="Times New Roman"/>
                <w:b/>
                <w:bCs/>
                <w:sz w:val="20"/>
                <w:szCs w:val="18"/>
                <w:u w:val="none"/>
                <w:lang w:val="en-US" w:eastAsia="zh-CN"/>
              </w:rPr>
              <w:t>2</w:t>
            </w:r>
            <w:r>
              <w:rPr>
                <w:rFonts w:hint="eastAsia" w:ascii="仿宋_GB2312" w:hAnsi="Times New Roman" w:eastAsia="仿宋_GB2312" w:cs="Times New Roman"/>
                <w:sz w:val="20"/>
                <w:szCs w:val="18"/>
                <w:u w:val="none"/>
                <w:lang w:val="en-US" w:eastAsia="zh-CN"/>
              </w:rPr>
              <w:t>月1</w:t>
            </w:r>
            <w:r>
              <w:rPr>
                <w:rFonts w:hint="eastAsia" w:ascii="仿宋_GB2312" w:hAnsi="Times New Roman" w:eastAsia="仿宋_GB2312" w:cs="Times New Roman"/>
                <w:b/>
                <w:bCs/>
                <w:sz w:val="20"/>
                <w:szCs w:val="18"/>
                <w:u w:val="none"/>
                <w:lang w:val="en-US" w:eastAsia="zh-CN"/>
              </w:rPr>
              <w:t>8</w:t>
            </w:r>
            <w:r>
              <w:rPr>
                <w:rFonts w:hint="eastAsia" w:ascii="仿宋_GB2312" w:hAnsi="Times New Roman" w:eastAsia="仿宋_GB2312" w:cs="Times New Roman"/>
                <w:sz w:val="20"/>
                <w:szCs w:val="18"/>
                <w:u w:val="none"/>
                <w:lang w:val="en-US" w:eastAsia="zh-CN"/>
              </w:rPr>
              <w:t>日</w:t>
            </w:r>
          </w:p>
          <w:p w14:paraId="1383C962">
            <w:pPr>
              <w:pStyle w:val="9"/>
              <w:ind w:left="0" w:leftChars="0" w:right="89" w:rightChars="0" w:firstLine="0" w:firstLineChars="0"/>
              <w:jc w:val="left"/>
              <w:rPr>
                <w:rFonts w:ascii="仿宋_GB2312" w:hAnsi="Times New Roman" w:eastAsia="仿宋_GB2312" w:cs="Times New Roman"/>
                <w:sz w:val="20"/>
                <w:szCs w:val="18"/>
                <w:lang w:eastAsia="zh-CN"/>
              </w:rPr>
            </w:pPr>
            <w:r>
              <w:rPr>
                <w:rFonts w:hint="eastAsia" w:ascii="仿宋_GB2312" w:hAnsi="仿宋_GB2312" w:eastAsia="仿宋_GB2312" w:cs="仿宋_GB2312"/>
                <w:color w:val="auto"/>
                <w:sz w:val="20"/>
                <w:szCs w:val="20"/>
                <w:highlight w:val="none"/>
                <w:lang w:val="en-US" w:eastAsia="zh-CN"/>
              </w:rPr>
              <w:t>若产品募集期缩短或延长，产品成立日以公告为准。</w:t>
            </w:r>
          </w:p>
        </w:tc>
      </w:tr>
      <w:tr w14:paraId="35E9E532">
        <w:tblPrEx>
          <w:tblCellMar>
            <w:top w:w="0" w:type="dxa"/>
            <w:left w:w="0" w:type="dxa"/>
            <w:bottom w:w="0" w:type="dxa"/>
            <w:right w:w="0" w:type="dxa"/>
          </w:tblCellMar>
        </w:tblPrEx>
        <w:trPr>
          <w:trHeight w:val="13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6613678">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rPr>
              <w:t>产品期限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7BDE4DA5">
            <w:pPr>
              <w:pStyle w:val="9"/>
              <w:ind w:right="29"/>
              <w:jc w:val="both"/>
              <w:rPr>
                <w:rFonts w:ascii="仿宋_GB2312" w:eastAsia="仿宋_GB2312" w:cs="Times New Roman" w:hAnsiTheme="minorEastAsia"/>
                <w:b/>
                <w:bCs/>
                <w:sz w:val="20"/>
                <w:szCs w:val="18"/>
                <w:lang w:eastAsia="zh-CN"/>
              </w:rPr>
            </w:pPr>
            <w:r>
              <w:rPr>
                <w:rFonts w:hint="eastAsia" w:ascii="仿宋_GB2312" w:eastAsia="仿宋_GB2312" w:cs="Times New Roman" w:hAnsiTheme="minorEastAsia"/>
                <w:b/>
                <w:bCs/>
                <w:sz w:val="20"/>
                <w:szCs w:val="18"/>
                <w:lang w:eastAsia="zh-CN"/>
              </w:rPr>
              <w:t>1.</w:t>
            </w:r>
            <w:r>
              <w:rPr>
                <w:rFonts w:hint="eastAsia" w:ascii="仿宋_GB2312" w:eastAsia="仿宋_GB2312" w:cs="Times New Roman" w:hAnsiTheme="minorEastAsia"/>
                <w:b/>
                <w:bCs/>
                <w:sz w:val="20"/>
                <w:szCs w:val="18"/>
                <w:lang w:val="en-US" w:eastAsia="zh-CN"/>
              </w:rPr>
              <w:t>本期产品期限</w:t>
            </w:r>
            <w:r>
              <w:rPr>
                <w:rFonts w:hint="eastAsia" w:ascii="仿宋_GB2312" w:eastAsia="仿宋_GB2312" w:cs="Times New Roman" w:hAnsiTheme="minorEastAsia"/>
                <w:b/>
                <w:bCs/>
                <w:sz w:val="20"/>
                <w:szCs w:val="18"/>
                <w:u w:val="none"/>
                <w:lang w:val="en-US" w:eastAsia="zh-CN"/>
              </w:rPr>
              <w:t>20</w:t>
            </w:r>
            <w:r>
              <w:rPr>
                <w:rFonts w:hint="eastAsia" w:ascii="仿宋_GB2312" w:eastAsia="仿宋_GB2312" w:cs="Times New Roman" w:hAnsiTheme="minorEastAsia"/>
                <w:b/>
                <w:bCs/>
                <w:sz w:val="20"/>
                <w:szCs w:val="18"/>
                <w:lang w:val="en-US" w:eastAsia="zh-CN"/>
              </w:rPr>
              <w:t>年</w:t>
            </w:r>
            <w:r>
              <w:rPr>
                <w:rFonts w:hint="eastAsia" w:ascii="仿宋_GB2312" w:eastAsia="仿宋_GB2312" w:cs="Times New Roman" w:hAnsiTheme="minorEastAsia"/>
                <w:b/>
                <w:bCs/>
                <w:sz w:val="20"/>
                <w:szCs w:val="18"/>
                <w:lang w:eastAsia="zh-CN"/>
              </w:rPr>
              <w:t>，</w:t>
            </w:r>
            <w:r>
              <w:rPr>
                <w:rFonts w:hint="eastAsia" w:ascii="仿宋_GB2312" w:eastAsia="仿宋_GB2312" w:cs="Times New Roman" w:hAnsiTheme="minorEastAsia"/>
                <w:b/>
                <w:bCs/>
                <w:sz w:val="20"/>
                <w:szCs w:val="18"/>
                <w:lang w:val="en-US" w:eastAsia="zh-CN"/>
              </w:rPr>
              <w:t>但</w:t>
            </w:r>
            <w:r>
              <w:rPr>
                <w:rFonts w:hint="eastAsia" w:ascii="仿宋_GB2312" w:eastAsia="仿宋_GB2312" w:cs="Times New Roman" w:hAnsiTheme="minorEastAsia"/>
                <w:b/>
                <w:bCs/>
                <w:sz w:val="20"/>
                <w:szCs w:val="18"/>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lang w:eastAsia="zh-CN"/>
              </w:rPr>
              <w:t>。</w:t>
            </w:r>
          </w:p>
          <w:p w14:paraId="7E6E0DDE">
            <w:pPr>
              <w:pStyle w:val="9"/>
              <w:ind w:right="29" w:rightChars="0"/>
              <w:jc w:val="both"/>
              <w:rPr>
                <w:rFonts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2.贵阳农商银行有权提前终止产品。贵阳农商银行提前终止产品时，将至少于提前终止日之前</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w:t>
            </w:r>
            <w:r>
              <w:rPr>
                <w:rFonts w:hint="eastAsia" w:ascii="仿宋_GB2312" w:eastAsia="仿宋_GB2312" w:cs="Times New Roman" w:hAnsiTheme="minorEastAsia"/>
                <w:sz w:val="20"/>
                <w:szCs w:val="18"/>
                <w:lang w:val="en-US" w:eastAsia="zh-CN"/>
              </w:rPr>
              <w:t>内通过贵阳农商银行官方网站等渠道公布</w:t>
            </w:r>
            <w:r>
              <w:rPr>
                <w:rFonts w:hint="eastAsia" w:ascii="仿宋_GB2312" w:eastAsia="仿宋_GB2312" w:cs="Times New Roman" w:hAnsiTheme="minorEastAsia"/>
                <w:sz w:val="20"/>
                <w:szCs w:val="18"/>
                <w:lang w:eastAsia="zh-CN"/>
              </w:rPr>
              <w:t>。</w:t>
            </w:r>
          </w:p>
        </w:tc>
      </w:tr>
      <w:tr w14:paraId="51F2DDA8">
        <w:tblPrEx>
          <w:tblCellMar>
            <w:top w:w="0" w:type="dxa"/>
            <w:left w:w="0" w:type="dxa"/>
            <w:bottom w:w="0" w:type="dxa"/>
            <w:right w:w="0" w:type="dxa"/>
          </w:tblCellMar>
        </w:tblPrEx>
        <w:trPr>
          <w:trHeight w:val="75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8CA4DA6">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highlight w:val="none"/>
                <w:lang w:eastAsia="zh-CN"/>
              </w:rPr>
              <w:t>清算日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A9FDE98">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开放期结束日下一个工作日为产品清算日，</w:t>
            </w:r>
            <w:r>
              <w:rPr>
                <w:rFonts w:hint="eastAsia" w:ascii="仿宋_GB2312" w:eastAsia="仿宋_GB2312" w:cs="Times New Roman" w:hAnsiTheme="minorEastAsia"/>
                <w:b/>
                <w:bCs/>
                <w:sz w:val="20"/>
                <w:szCs w:val="18"/>
                <w:lang w:eastAsia="zh-CN"/>
              </w:rPr>
              <w:t>投资者赎回金额采用清算日前一</w:t>
            </w:r>
            <w:r>
              <w:rPr>
                <w:rFonts w:hint="eastAsia" w:ascii="仿宋_GB2312" w:eastAsia="仿宋_GB2312" w:cs="Times New Roman" w:hAnsiTheme="minorEastAsia"/>
                <w:b/>
                <w:bCs/>
                <w:sz w:val="20"/>
                <w:szCs w:val="18"/>
                <w:lang w:val="en-US" w:eastAsia="zh-CN"/>
              </w:rPr>
              <w:t>个</w:t>
            </w:r>
            <w:r>
              <w:rPr>
                <w:rFonts w:hint="eastAsia" w:ascii="仿宋_GB2312" w:eastAsia="仿宋_GB2312" w:cs="Times New Roman" w:hAnsiTheme="minorEastAsia"/>
                <w:b/>
                <w:bCs/>
                <w:sz w:val="20"/>
                <w:szCs w:val="18"/>
                <w:lang w:eastAsia="zh-CN"/>
              </w:rPr>
              <w:t>工作日产品净值进行确认。</w:t>
            </w:r>
          </w:p>
        </w:tc>
      </w:tr>
      <w:tr w14:paraId="3C8FCFBB">
        <w:tblPrEx>
          <w:tblCellMar>
            <w:top w:w="0" w:type="dxa"/>
            <w:left w:w="0" w:type="dxa"/>
            <w:bottom w:w="0" w:type="dxa"/>
            <w:right w:w="0" w:type="dxa"/>
          </w:tblCellMar>
        </w:tblPrEx>
        <w:trPr>
          <w:trHeight w:val="6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207CE31">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收益分配日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8A872E0">
            <w:pPr>
              <w:pStyle w:val="9"/>
              <w:ind w:left="26"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产品收益将在清算</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sz w:val="20"/>
                <w:szCs w:val="18"/>
                <w:lang w:eastAsia="zh-CN"/>
              </w:rPr>
              <w:t>后</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hAnsi="Times New Roman" w:eastAsia="仿宋_GB2312" w:cs="Times New Roman"/>
                <w:sz w:val="20"/>
                <w:szCs w:val="18"/>
                <w:lang w:eastAsia="zh-CN"/>
              </w:rPr>
              <w:t>个工作日内进行分配，收益以现金形式分配</w:t>
            </w:r>
            <w:r>
              <w:rPr>
                <w:rFonts w:hint="eastAsia" w:ascii="仿宋_GB2312" w:hAnsi="Times New Roman" w:eastAsia="仿宋_GB2312" w:cs="Times New Roman"/>
                <w:sz w:val="20"/>
                <w:szCs w:val="18"/>
                <w:lang w:val="en-US" w:eastAsia="zh-CN"/>
              </w:rPr>
              <w:t>至投资者账户</w:t>
            </w:r>
            <w:r>
              <w:rPr>
                <w:rFonts w:hint="eastAsia" w:ascii="仿宋_GB2312" w:hAnsi="Times New Roman" w:eastAsia="仿宋_GB2312" w:cs="Times New Roman"/>
                <w:sz w:val="20"/>
                <w:szCs w:val="18"/>
                <w:lang w:eastAsia="zh-CN"/>
              </w:rPr>
              <w:t>。</w:t>
            </w:r>
          </w:p>
        </w:tc>
      </w:tr>
      <w:tr w14:paraId="543F4934">
        <w:tblPrEx>
          <w:tblCellMar>
            <w:top w:w="0" w:type="dxa"/>
            <w:left w:w="0" w:type="dxa"/>
            <w:bottom w:w="0" w:type="dxa"/>
            <w:right w:w="0" w:type="dxa"/>
          </w:tblCellMar>
        </w:tblPrEx>
        <w:trPr>
          <w:trHeight w:val="43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253D6DE">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兑付日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57B25E1">
            <w:pPr>
              <w:pStyle w:val="9"/>
              <w:ind w:left="11" w:left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兑付日为</w:t>
            </w:r>
            <w:r>
              <w:rPr>
                <w:rFonts w:hint="eastAsia" w:ascii="仿宋_GB2312" w:hAnsi="Times New Roman" w:eastAsia="仿宋_GB2312" w:cs="Times New Roman"/>
                <w:sz w:val="20"/>
                <w:szCs w:val="18"/>
                <w:lang w:eastAsia="zh-CN"/>
              </w:rPr>
              <w:t>清算日</w:t>
            </w:r>
            <w:r>
              <w:rPr>
                <w:rFonts w:hint="eastAsia" w:ascii="仿宋_GB2312" w:eastAsia="仿宋_GB2312" w:cs="Times New Roman" w:hAnsiTheme="minorEastAsia"/>
                <w:sz w:val="20"/>
                <w:szCs w:val="18"/>
                <w:lang w:eastAsia="zh-CN"/>
              </w:rPr>
              <w:t>后的</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个工作日内，将对成功申请赎回的份额进行兑付。</w:t>
            </w:r>
          </w:p>
        </w:tc>
      </w:tr>
      <w:tr w14:paraId="51BC8688">
        <w:tblPrEx>
          <w:tblCellMar>
            <w:top w:w="0" w:type="dxa"/>
            <w:left w:w="0" w:type="dxa"/>
            <w:bottom w:w="0" w:type="dxa"/>
            <w:right w:w="0" w:type="dxa"/>
          </w:tblCellMar>
        </w:tblPrEx>
        <w:trPr>
          <w:trHeight w:val="81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230E2D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highlight w:val="none"/>
              </w:rPr>
              <w:t>到期</w:t>
            </w:r>
            <w:r>
              <w:rPr>
                <w:rFonts w:hint="eastAsia" w:ascii="仿宋_GB2312" w:eastAsia="仿宋_GB2312" w:cs="Times New Roman" w:hAnsiTheme="minorEastAsia"/>
                <w:sz w:val="20"/>
                <w:szCs w:val="18"/>
                <w:highlight w:val="none"/>
                <w:lang w:val="en-US" w:eastAsia="zh-CN"/>
              </w:rPr>
              <w:t>资金</w:t>
            </w:r>
          </w:p>
        </w:tc>
        <w:tc>
          <w:tcPr>
            <w:tcW w:w="6946" w:type="dxa"/>
            <w:tcBorders>
              <w:top w:val="single" w:color="000000" w:sz="4" w:space="0"/>
              <w:left w:val="single" w:color="000000" w:sz="4" w:space="0"/>
              <w:bottom w:val="single" w:color="000000" w:sz="4" w:space="0"/>
              <w:right w:val="single" w:color="000000" w:sz="12" w:space="0"/>
            </w:tcBorders>
            <w:vAlign w:val="center"/>
          </w:tcPr>
          <w:p w14:paraId="7A3BA5D8">
            <w:pPr>
              <w:pStyle w:val="9"/>
              <w:ind w:left="0" w:leftChars="0" w:firstLine="0" w:firstLine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本产品</w:t>
            </w:r>
            <w:r>
              <w:rPr>
                <w:rFonts w:hint="eastAsia" w:ascii="仿宋_GB2312" w:eastAsia="仿宋_GB2312" w:cs="Times New Roman" w:hAnsiTheme="minorEastAsia"/>
                <w:spacing w:val="-1"/>
                <w:sz w:val="20"/>
                <w:szCs w:val="18"/>
                <w:lang w:eastAsia="zh-CN"/>
              </w:rPr>
              <w:t>到期资金</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持有份额</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到期日产品单位净值</w:t>
            </w:r>
            <w:r>
              <w:rPr>
                <w:rFonts w:hint="eastAsia" w:ascii="仿宋_GB2312" w:eastAsia="仿宋_GB2312" w:cs="Times New Roman" w:hAnsiTheme="minorEastAsia"/>
                <w:sz w:val="20"/>
                <w:szCs w:val="18"/>
                <w:lang w:eastAsia="zh-CN"/>
              </w:rPr>
              <w:t>（</w:t>
            </w:r>
            <w:r>
              <w:rPr>
                <w:rFonts w:hint="eastAsia" w:ascii="仿宋_GB2312" w:eastAsia="仿宋_GB2312" w:cs="Times New Roman" w:hAnsiTheme="minorEastAsia"/>
                <w:sz w:val="20"/>
                <w:szCs w:val="18"/>
                <w:lang w:val="en-US" w:eastAsia="zh-CN"/>
              </w:rPr>
              <w:t>到期资金</w:t>
            </w:r>
            <w:r>
              <w:rPr>
                <w:rFonts w:hint="eastAsia" w:ascii="仿宋_GB2312" w:eastAsia="仿宋_GB2312" w:cs="Times New Roman" w:hAnsiTheme="minorEastAsia"/>
                <w:spacing w:val="-1"/>
                <w:sz w:val="20"/>
                <w:szCs w:val="18"/>
                <w:lang w:eastAsia="zh-CN"/>
              </w:rPr>
              <w:t>按四舍五入原则，保留</w:t>
            </w:r>
            <w:r>
              <w:rPr>
                <w:rFonts w:hint="eastAsia" w:ascii="仿宋_GB2312" w:eastAsia="仿宋_GB2312" w:cs="Times New Roman" w:hAnsiTheme="minorEastAsia"/>
                <w:sz w:val="20"/>
                <w:szCs w:val="18"/>
                <w:lang w:eastAsia="zh-CN"/>
              </w:rPr>
              <w:t>至小数点后</w:t>
            </w: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位）。</w:t>
            </w:r>
          </w:p>
        </w:tc>
      </w:tr>
      <w:tr w14:paraId="4A3BE6F8">
        <w:tblPrEx>
          <w:tblCellMar>
            <w:top w:w="0" w:type="dxa"/>
            <w:left w:w="0" w:type="dxa"/>
            <w:bottom w:w="0" w:type="dxa"/>
            <w:right w:w="0" w:type="dxa"/>
          </w:tblCellMar>
        </w:tblPrEx>
        <w:trPr>
          <w:trHeight w:val="88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3B88C44">
            <w:pPr>
              <w:pStyle w:val="9"/>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申购/赎回规则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6C1BFD4D">
            <w:pPr>
              <w:pStyle w:val="9"/>
              <w:ind w:left="0" w:leftChars="0" w:firstLine="0" w:firstLineChars="0"/>
              <w:jc w:val="both"/>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本理财产品采用金额申购、份额赎回的原则，即申购以金额申请，赎回以份额申请。</w:t>
            </w:r>
          </w:p>
        </w:tc>
      </w:tr>
      <w:tr w14:paraId="6B6A0AEF">
        <w:tblPrEx>
          <w:tblCellMar>
            <w:top w:w="0" w:type="dxa"/>
            <w:left w:w="0" w:type="dxa"/>
            <w:bottom w:w="0" w:type="dxa"/>
            <w:right w:w="0" w:type="dxa"/>
          </w:tblCellMar>
        </w:tblPrEx>
        <w:trPr>
          <w:trHeight w:val="132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2CB8FFD">
            <w:pPr>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val="en-US" w:eastAsia="zh-CN"/>
              </w:rPr>
              <w:t>申购</w:t>
            </w:r>
          </w:p>
        </w:tc>
        <w:tc>
          <w:tcPr>
            <w:tcW w:w="6946" w:type="dxa"/>
            <w:tcBorders>
              <w:top w:val="single" w:color="000000" w:sz="4" w:space="0"/>
              <w:left w:val="single" w:color="000000" w:sz="4" w:space="0"/>
              <w:bottom w:val="single" w:color="000000" w:sz="4" w:space="0"/>
              <w:right w:val="single" w:color="000000" w:sz="12" w:space="0"/>
            </w:tcBorders>
            <w:vAlign w:val="center"/>
          </w:tcPr>
          <w:p w14:paraId="41E85002">
            <w:pPr>
              <w:jc w:val="both"/>
              <w:rPr>
                <w:rFonts w:hint="eastAsia" w:ascii="仿宋_GB2312" w:cs="Times New Roman" w:hAnsiTheme="minorEastAsia" w:eastAsiaTheme="minorEastAsia"/>
                <w:sz w:val="20"/>
                <w:szCs w:val="18"/>
                <w:lang w:val="en-US" w:eastAsia="zh-CN"/>
              </w:rPr>
            </w:pPr>
            <w:r>
              <w:rPr>
                <w:rFonts w:hint="eastAsia" w:ascii="仿宋_GB2312" w:eastAsia="仿宋_GB2312" w:cs="Times New Roman" w:hAnsiTheme="minorEastAsia"/>
                <w:color w:val="auto"/>
                <w:sz w:val="20"/>
                <w:szCs w:val="18"/>
                <w:highlight w:val="none"/>
                <w:lang w:val="en-US" w:eastAsia="zh-CN"/>
              </w:rPr>
              <w:t>对未持有本理财产品的投资者，申购起点金额为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万元；对于已持有本理财产品的投资者，追加起点金额为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万元的</w:t>
            </w:r>
            <w:r>
              <w:rPr>
                <w:rFonts w:hint="eastAsia" w:ascii="仿宋_GB2312" w:eastAsia="仿宋_GB2312" w:cs="Times New Roman" w:hAnsiTheme="minorEastAsia"/>
                <w:color w:val="auto"/>
                <w:sz w:val="20"/>
                <w:szCs w:val="18"/>
                <w:highlight w:val="none"/>
                <w:lang w:val="en-US" w:eastAsia="zh-CN"/>
              </w:rPr>
              <w:t>整数倍递增。投资者申购份额采用清算日前一个工作日产品净值进行确认。</w:t>
            </w:r>
          </w:p>
        </w:tc>
      </w:tr>
      <w:tr w14:paraId="574CD80D">
        <w:tblPrEx>
          <w:tblCellMar>
            <w:top w:w="0" w:type="dxa"/>
            <w:left w:w="0" w:type="dxa"/>
            <w:bottom w:w="0" w:type="dxa"/>
            <w:right w:w="0" w:type="dxa"/>
          </w:tblCellMar>
        </w:tblPrEx>
        <w:trPr>
          <w:trHeight w:val="226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C605166">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6734FE73">
            <w:pPr>
              <w:pStyle w:val="9"/>
              <w:ind w:left="11"/>
              <w:jc w:val="both"/>
              <w:rPr>
                <w:rFonts w:hint="eastAsia" w:ascii="仿宋_GB2312" w:hAnsi="Times New Roman" w:eastAsia="仿宋_GB2312" w:cs="Times New Roman"/>
                <w:sz w:val="20"/>
                <w:szCs w:val="18"/>
                <w:lang w:eastAsia="zh-CN"/>
              </w:rPr>
            </w:pPr>
            <w:r>
              <w:rPr>
                <w:rFonts w:ascii="仿宋_GB2312" w:hAnsi="Times New Roman" w:eastAsia="仿宋_GB2312" w:cs="Times New Roman"/>
                <w:b/>
                <w:bCs/>
                <w:sz w:val="20"/>
                <w:szCs w:val="18"/>
                <w:lang w:eastAsia="zh-CN"/>
              </w:rPr>
              <w:t>1</w:t>
            </w:r>
            <w:r>
              <w:rPr>
                <w:rFonts w:hint="eastAsia" w:ascii="仿宋_GB2312" w:hAnsi="Times New Roman" w:eastAsia="仿宋_GB2312" w:cs="Times New Roman"/>
                <w:b/>
                <w:bCs/>
                <w:sz w:val="20"/>
                <w:szCs w:val="18"/>
                <w:lang w:eastAsia="zh-CN"/>
              </w:rPr>
              <w:t>.</w:t>
            </w:r>
            <w:r>
              <w:rPr>
                <w:rFonts w:ascii="仿宋_GB2312" w:hAnsi="Times New Roman" w:eastAsia="仿宋_GB2312" w:cs="Times New Roman"/>
                <w:b/>
                <w:bCs/>
                <w:sz w:val="20"/>
                <w:szCs w:val="18"/>
                <w:lang w:eastAsia="zh-CN"/>
              </w:rPr>
              <w:t>投资者在开放期内未发起赎回申请的，投资者持有份额将自动进入下一个封闭期，依次循环直至产品到期</w:t>
            </w:r>
            <w:r>
              <w:rPr>
                <w:rFonts w:hint="eastAsia" w:ascii="仿宋_GB2312" w:hAnsi="Times New Roman" w:eastAsia="仿宋_GB2312" w:cs="Times New Roman"/>
                <w:sz w:val="20"/>
                <w:szCs w:val="18"/>
                <w:lang w:eastAsia="zh-CN"/>
              </w:rPr>
              <w:t>。</w:t>
            </w:r>
          </w:p>
          <w:p w14:paraId="4A4C2B13">
            <w:pPr>
              <w:pStyle w:val="9"/>
              <w:ind w:left="11"/>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val="en-US" w:eastAsia="zh-CN"/>
              </w:rPr>
              <w:t>2.</w:t>
            </w:r>
            <w:r>
              <w:rPr>
                <w:rFonts w:ascii="仿宋_GB2312" w:hAnsi="Times New Roman" w:eastAsia="仿宋_GB2312" w:cs="Times New Roman"/>
                <w:sz w:val="20"/>
                <w:szCs w:val="18"/>
                <w:lang w:eastAsia="zh-CN"/>
              </w:rPr>
              <w:t>在开放期内申请赎回交易的，</w:t>
            </w:r>
            <w:r>
              <w:rPr>
                <w:rFonts w:hint="eastAsia" w:ascii="仿宋_GB2312" w:hAnsi="Times New Roman" w:eastAsia="仿宋_GB2312" w:cs="Times New Roman"/>
                <w:sz w:val="20"/>
                <w:szCs w:val="18"/>
                <w:lang w:val="en-US" w:eastAsia="zh-CN"/>
              </w:rPr>
              <w:t>管理人</w:t>
            </w:r>
            <w:r>
              <w:rPr>
                <w:rFonts w:ascii="仿宋_GB2312" w:hAnsi="Times New Roman" w:eastAsia="仿宋_GB2312" w:cs="Times New Roman"/>
                <w:sz w:val="20"/>
                <w:szCs w:val="18"/>
                <w:lang w:eastAsia="zh-CN"/>
              </w:rPr>
              <w:t>将统一在清算日进行确认</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投资者申请赎回并不代表赎回成功，赎回是否成功以管理人的确认结果为准</w:t>
            </w:r>
            <w:r>
              <w:rPr>
                <w:rFonts w:ascii="仿宋_GB2312" w:hAnsi="Times New Roman" w:eastAsia="仿宋_GB2312" w:cs="Times New Roman"/>
                <w:sz w:val="20"/>
                <w:szCs w:val="18"/>
                <w:lang w:eastAsia="zh-CN"/>
              </w:rPr>
              <w:t xml:space="preserve">。 </w:t>
            </w:r>
          </w:p>
          <w:p w14:paraId="327FADA2">
            <w:pPr>
              <w:pStyle w:val="9"/>
              <w:ind w:left="11"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val="en-US" w:eastAsia="zh-CN"/>
              </w:rPr>
              <w:t>3</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投资者按份额赎回所持有的理财产品，最低赎回份额为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份并以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份的倍数递增；当剩余份额不足</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份时，应一次性申请赎回其持有的全部理财份额</w:t>
            </w:r>
            <w:r>
              <w:rPr>
                <w:rFonts w:ascii="仿宋_GB2312" w:hAnsi="Times New Roman" w:eastAsia="仿宋_GB2312" w:cs="Times New Roman"/>
                <w:sz w:val="20"/>
                <w:szCs w:val="18"/>
                <w:lang w:eastAsia="zh-CN"/>
              </w:rPr>
              <w:t>。</w:t>
            </w:r>
          </w:p>
        </w:tc>
      </w:tr>
      <w:tr w14:paraId="602707BF">
        <w:tblPrEx>
          <w:tblCellMar>
            <w:top w:w="0" w:type="dxa"/>
            <w:left w:w="0" w:type="dxa"/>
            <w:bottom w:w="0" w:type="dxa"/>
            <w:right w:w="0" w:type="dxa"/>
          </w:tblCellMar>
        </w:tblPrEx>
        <w:trPr>
          <w:trHeight w:val="548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3132CAB">
            <w:pPr>
              <w:pStyle w:val="9"/>
              <w:jc w:val="center"/>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color w:val="auto"/>
                <w:sz w:val="20"/>
                <w:szCs w:val="18"/>
                <w:highlight w:val="none"/>
                <w:lang w:val="en-US" w:eastAsia="zh-CN"/>
              </w:rPr>
              <w:t>赎回宽限期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FC6968">
            <w:pPr>
              <w:pStyle w:val="3"/>
              <w:numPr>
                <w:ilvl w:val="-1"/>
                <w:numId w:val="0"/>
              </w:numPr>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1.赎回宽限期</w:t>
            </w:r>
          </w:p>
          <w:p w14:paraId="5D2D5747">
            <w:pPr>
              <w:pStyle w:val="3"/>
              <w:numPr>
                <w:ilvl w:val="-1"/>
                <w:numId w:val="0"/>
              </w:numPr>
              <w:ind w:left="0" w:right="153"/>
              <w:rPr>
                <w:rFonts w:hint="eastAsia" w:ascii="仿宋_GB2312" w:hAnsi="Times New Roman" w:eastAsia="仿宋_GB2312" w:cs="Times New Roman"/>
                <w:b w:val="0"/>
                <w:bCs w:val="0"/>
                <w:color w:val="auto"/>
                <w:sz w:val="20"/>
                <w:szCs w:val="18"/>
                <w:highlight w:val="none"/>
                <w:lang w:eastAsia="zh-CN"/>
              </w:rPr>
            </w:pPr>
            <w:r>
              <w:rPr>
                <w:rFonts w:hint="eastAsia" w:ascii="仿宋_GB2312" w:hAnsi="Times New Roman" w:eastAsia="仿宋_GB2312" w:cs="Times New Roman"/>
                <w:b w:val="0"/>
                <w:bCs w:val="0"/>
                <w:color w:val="auto"/>
                <w:sz w:val="20"/>
                <w:szCs w:val="18"/>
                <w:highlight w:val="none"/>
                <w:lang w:val="en-US" w:eastAsia="zh-CN"/>
              </w:rPr>
              <w:t>赎回宽限期由贵阳农商银行根据开放期情况在贵阳农商银行官方网站另行通知，</w:t>
            </w:r>
            <w:r>
              <w:rPr>
                <w:rFonts w:hint="eastAsia" w:ascii="仿宋_GB2312" w:hAnsi="Times New Roman" w:eastAsia="仿宋_GB2312" w:cs="Times New Roman"/>
                <w:b w:val="0"/>
                <w:bCs w:val="0"/>
                <w:color w:val="auto"/>
                <w:sz w:val="20"/>
                <w:szCs w:val="18"/>
                <w:highlight w:val="none"/>
                <w:lang w:eastAsia="zh-CN"/>
              </w:rPr>
              <w:t>投资者可在该期间</w:t>
            </w:r>
            <w:r>
              <w:rPr>
                <w:rFonts w:hint="eastAsia" w:ascii="仿宋_GB2312" w:hAnsi="Times New Roman" w:eastAsia="仿宋_GB2312" w:cs="Times New Roman"/>
                <w:b w:val="0"/>
                <w:bCs w:val="0"/>
                <w:color w:val="auto"/>
                <w:sz w:val="20"/>
                <w:szCs w:val="18"/>
                <w:highlight w:val="none"/>
                <w:lang w:val="en-US" w:eastAsia="zh-CN"/>
              </w:rPr>
              <w:t>进行产品</w:t>
            </w:r>
            <w:r>
              <w:rPr>
                <w:rFonts w:hint="eastAsia" w:ascii="仿宋_GB2312" w:hAnsi="Times New Roman" w:eastAsia="仿宋_GB2312" w:cs="Times New Roman"/>
                <w:b w:val="0"/>
                <w:bCs w:val="0"/>
                <w:color w:val="auto"/>
                <w:sz w:val="20"/>
                <w:szCs w:val="18"/>
                <w:highlight w:val="none"/>
                <w:lang w:eastAsia="zh-CN"/>
              </w:rPr>
              <w:t>赎回，</w:t>
            </w:r>
            <w:r>
              <w:rPr>
                <w:rFonts w:hint="eastAsia" w:ascii="仿宋_GB2312" w:hAnsi="Times New Roman" w:eastAsia="仿宋_GB2312" w:cs="Times New Roman"/>
                <w:b w:val="0"/>
                <w:bCs w:val="0"/>
                <w:color w:val="auto"/>
                <w:sz w:val="20"/>
                <w:szCs w:val="18"/>
                <w:highlight w:val="none"/>
                <w:lang w:val="en-US" w:eastAsia="zh-CN"/>
              </w:rPr>
              <w:t>但不可进行申购。</w:t>
            </w:r>
            <w:r>
              <w:rPr>
                <w:rFonts w:hint="eastAsia" w:ascii="仿宋_GB2312" w:hAnsi="Times New Roman" w:eastAsia="仿宋_GB2312" w:cs="Times New Roman"/>
                <w:b w:val="0"/>
                <w:bCs w:val="0"/>
                <w:color w:val="auto"/>
                <w:sz w:val="20"/>
                <w:szCs w:val="18"/>
                <w:highlight w:val="none"/>
                <w:lang w:eastAsia="zh-CN"/>
              </w:rPr>
              <w:t>若</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最后一日遇</w:t>
            </w:r>
            <w:r>
              <w:rPr>
                <w:rFonts w:hint="eastAsia" w:ascii="仿宋_GB2312" w:hAnsi="Times New Roman" w:eastAsia="仿宋_GB2312" w:cs="Times New Roman"/>
                <w:b w:val="0"/>
                <w:bCs w:val="0"/>
                <w:color w:val="auto"/>
                <w:sz w:val="20"/>
                <w:szCs w:val="18"/>
                <w:highlight w:val="none"/>
                <w:lang w:val="en-US" w:eastAsia="zh-CN"/>
              </w:rPr>
              <w:t>非工作日</w:t>
            </w:r>
            <w:r>
              <w:rPr>
                <w:rFonts w:hint="eastAsia" w:ascii="仿宋_GB2312" w:hAnsi="Times New Roman" w:eastAsia="仿宋_GB2312" w:cs="Times New Roman"/>
                <w:b w:val="0"/>
                <w:bCs w:val="0"/>
                <w:color w:val="auto"/>
                <w:sz w:val="20"/>
                <w:szCs w:val="18"/>
                <w:highlight w:val="none"/>
                <w:lang w:eastAsia="zh-CN"/>
              </w:rPr>
              <w:t>，则顺延至下一个工作日。</w:t>
            </w:r>
          </w:p>
          <w:p w14:paraId="4717D396">
            <w:pPr>
              <w:pStyle w:val="3"/>
              <w:numPr>
                <w:ilvl w:val="-1"/>
                <w:numId w:val="0"/>
              </w:numPr>
              <w:ind w:left="0" w:right="153"/>
              <w:rPr>
                <w:rFonts w:hint="eastAsia" w:ascii="仿宋_GB2312" w:eastAsia="仿宋_GB2312" w:cs="Times New Roman" w:hAnsiTheme="minorEastAsia"/>
                <w:b/>
                <w:bCs/>
                <w:color w:val="auto"/>
                <w:sz w:val="20"/>
                <w:szCs w:val="18"/>
                <w:highlight w:val="none"/>
                <w:lang w:val="en-US" w:eastAsia="zh-CN"/>
              </w:rPr>
            </w:pPr>
            <w:r>
              <w:rPr>
                <w:rFonts w:hint="eastAsia" w:ascii="仿宋_GB2312" w:eastAsia="仿宋_GB2312" w:cs="Times New Roman" w:hAnsiTheme="minorEastAsia"/>
                <w:b/>
                <w:bCs/>
                <w:color w:val="auto"/>
                <w:sz w:val="20"/>
                <w:szCs w:val="18"/>
                <w:highlight w:val="none"/>
                <w:lang w:val="en-US" w:eastAsia="zh-CN"/>
              </w:rPr>
              <w:t>2.赎回宽限期清算日</w:t>
            </w:r>
          </w:p>
          <w:p w14:paraId="3CBABFDB">
            <w:pPr>
              <w:pStyle w:val="3"/>
              <w:numPr>
                <w:ilvl w:val="-1"/>
                <w:numId w:val="0"/>
              </w:numPr>
              <w:ind w:left="0" w:right="153"/>
              <w:rPr>
                <w:rFonts w:hint="eastAsia" w:ascii="仿宋_GB2312" w:eastAsia="仿宋_GB2312" w:cs="Times New Roman" w:hAnsiTheme="minorEastAsia"/>
                <w:b w:val="0"/>
                <w:bCs w:val="0"/>
                <w:color w:val="auto"/>
                <w:sz w:val="20"/>
                <w:szCs w:val="18"/>
                <w:highlight w:val="none"/>
                <w:lang w:eastAsia="zh-CN"/>
              </w:rPr>
            </w:pP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结束日下一个工作日为</w:t>
            </w:r>
            <w:r>
              <w:rPr>
                <w:rFonts w:hint="eastAsia" w:ascii="仿宋_GB2312" w:hAnsi="Times New Roman" w:eastAsia="仿宋_GB2312" w:cs="Times New Roman"/>
                <w:b w:val="0"/>
                <w:bCs w:val="0"/>
                <w:color w:val="auto"/>
                <w:sz w:val="20"/>
                <w:szCs w:val="18"/>
                <w:highlight w:val="none"/>
                <w:lang w:val="en-US" w:eastAsia="zh-CN"/>
              </w:rPr>
              <w:t>产品</w:t>
            </w:r>
            <w:r>
              <w:rPr>
                <w:rFonts w:hint="eastAsia" w:ascii="仿宋_GB2312" w:eastAsia="仿宋_GB2312" w:cs="Times New Roman" w:hAnsiTheme="minorEastAsia"/>
                <w:b w:val="0"/>
                <w:bCs w:val="0"/>
                <w:color w:val="auto"/>
                <w:sz w:val="20"/>
                <w:szCs w:val="18"/>
                <w:highlight w:val="none"/>
                <w:lang w:val="en-US" w:eastAsia="zh-CN"/>
              </w:rPr>
              <w:t>赎回宽限期</w:t>
            </w:r>
            <w:r>
              <w:rPr>
                <w:rFonts w:hint="eastAsia" w:ascii="仿宋_GB2312" w:hAnsi="Times New Roman" w:eastAsia="仿宋_GB2312" w:cs="Times New Roman"/>
                <w:b w:val="0"/>
                <w:bCs w:val="0"/>
                <w:color w:val="auto"/>
                <w:sz w:val="20"/>
                <w:szCs w:val="18"/>
                <w:highlight w:val="none"/>
                <w:lang w:eastAsia="zh-CN"/>
              </w:rPr>
              <w:t>清算日。</w:t>
            </w:r>
          </w:p>
          <w:p w14:paraId="2C20BFBB">
            <w:pPr>
              <w:pStyle w:val="3"/>
              <w:ind w:left="0" w:right="153"/>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3.规则：</w:t>
            </w:r>
          </w:p>
          <w:p w14:paraId="2215D53D">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lang w:val="en-US" w:eastAsia="zh-CN"/>
              </w:rPr>
              <w:t>在贵阳农商银行自有销售渠道购买并持有满一个封闭期的投资者可在该期间通过贵阳农商银行营业网点申请赎回持有的产品份额，赎回宽限期内申请赎回交易的，将统一在赎回宽限期清算日确认赎回份额，赎回金额将于清算确认后</w:t>
            </w:r>
            <w:r>
              <w:rPr>
                <w:rFonts w:hint="eastAsia" w:ascii="仿宋_GB2312" w:hAnsi="Times New Roman" w:eastAsia="仿宋_GB2312" w:cs="Times New Roman"/>
                <w:b/>
                <w:bCs/>
                <w:color w:val="auto"/>
                <w:sz w:val="20"/>
                <w:szCs w:val="18"/>
                <w:highlight w:val="none"/>
                <w:u w:val="single"/>
                <w:lang w:val="en-US" w:eastAsia="zh-CN"/>
              </w:rPr>
              <w:t xml:space="preserve">    3</w:t>
            </w:r>
            <w:r>
              <w:rPr>
                <w:rFonts w:hint="eastAsia" w:ascii="仿宋_GB2312" w:hAnsi="Times New Roman" w:eastAsia="仿宋_GB2312" w:cs="Times New Roman"/>
                <w:b/>
                <w:bCs/>
                <w:color w:val="auto"/>
                <w:sz w:val="20"/>
                <w:szCs w:val="18"/>
                <w:highlight w:val="none"/>
                <w:lang w:val="en-US" w:eastAsia="zh-CN"/>
              </w:rPr>
              <w:t>个工作日内到账，</w:t>
            </w:r>
            <w:r>
              <w:rPr>
                <w:rFonts w:hint="eastAsia" w:ascii="仿宋_GB2312" w:eastAsia="仿宋_GB2312" w:cs="Times New Roman" w:hAnsiTheme="minorEastAsia"/>
                <w:b/>
                <w:bCs/>
                <w:color w:val="auto"/>
                <w:sz w:val="20"/>
                <w:szCs w:val="18"/>
                <w:highlight w:val="none"/>
                <w:lang w:val="en-US" w:eastAsia="zh-CN"/>
              </w:rPr>
              <w:t>赎回宽限期清算日</w:t>
            </w:r>
            <w:r>
              <w:rPr>
                <w:rFonts w:hint="eastAsia" w:ascii="仿宋_GB2312" w:eastAsia="仿宋_GB2312" w:cs="Times New Roman" w:hAnsiTheme="minorEastAsia"/>
                <w:b/>
                <w:color w:val="auto"/>
                <w:sz w:val="20"/>
                <w:highlight w:val="none"/>
                <w:lang w:eastAsia="zh-CN"/>
              </w:rPr>
              <w:t>至资金到账日（不含）不计利息。</w:t>
            </w:r>
            <w:r>
              <w:rPr>
                <w:rFonts w:hint="eastAsia" w:ascii="仿宋_GB2312" w:hAnsi="Times New Roman" w:eastAsia="仿宋_GB2312" w:cs="Times New Roman"/>
                <w:b/>
                <w:bCs/>
                <w:color w:val="auto"/>
                <w:sz w:val="20"/>
                <w:szCs w:val="18"/>
                <w:highlight w:val="none"/>
                <w:u w:val="single"/>
                <w:lang w:eastAsia="zh-CN"/>
              </w:rPr>
              <w:t>赎回金额采用赎回宽限期清算日前一工作日产品净值</w:t>
            </w:r>
            <w:r>
              <w:rPr>
                <w:rFonts w:hint="eastAsia" w:ascii="仿宋_GB2312" w:hAnsi="Times New Roman" w:eastAsia="仿宋_GB2312" w:cs="Times New Roman"/>
                <w:b/>
                <w:bCs/>
                <w:color w:val="auto"/>
                <w:sz w:val="20"/>
                <w:szCs w:val="18"/>
                <w:highlight w:val="none"/>
                <w:u w:val="single"/>
                <w:lang w:val="en-US" w:eastAsia="zh-CN"/>
              </w:rPr>
              <w:t>进行确认。</w:t>
            </w:r>
          </w:p>
          <w:p w14:paraId="618B64B8">
            <w:pPr>
              <w:pStyle w:val="3"/>
              <w:numPr>
                <w:ilvl w:val="-1"/>
                <w:numId w:val="0"/>
              </w:numPr>
              <w:spacing w:before="0"/>
              <w:ind w:left="0" w:right="153" w:firstLine="0" w:firstLineChars="0"/>
              <w:jc w:val="both"/>
              <w:rPr>
                <w:rFonts w:hint="default" w:ascii="仿宋_GB2312" w:hAnsi="Times New Roman" w:eastAsia="仿宋_GB2312" w:cs="Times New Roman"/>
                <w:b/>
                <w:bCs/>
                <w:color w:val="auto"/>
                <w:sz w:val="20"/>
                <w:szCs w:val="18"/>
                <w:highlight w:val="none"/>
                <w:u w:val="single"/>
                <w:lang w:val="en-US" w:eastAsia="zh-CN"/>
              </w:rPr>
            </w:pPr>
            <w:r>
              <w:rPr>
                <w:rFonts w:hint="eastAsia" w:ascii="仿宋_GB2312" w:hAnsi="Times New Roman" w:eastAsia="仿宋_GB2312" w:cs="Times New Roman"/>
                <w:b/>
                <w:bCs/>
                <w:color w:val="auto"/>
                <w:sz w:val="20"/>
                <w:szCs w:val="18"/>
                <w:highlight w:val="none"/>
                <w:u w:val="single"/>
                <w:lang w:val="en-US" w:eastAsia="zh-CN"/>
              </w:rPr>
              <w:t>如投资者在赎回宽限期申请赎回时，购买的理财产品未持有满一个封闭期的，则贵阳农商银行不予受理该类赎回申请。</w:t>
            </w:r>
          </w:p>
          <w:p w14:paraId="20D703C0">
            <w:pPr>
              <w:pStyle w:val="3"/>
              <w:numPr>
                <w:ilvl w:val="-1"/>
                <w:numId w:val="0"/>
              </w:numPr>
              <w:spacing w:before="0"/>
              <w:ind w:left="0" w:right="153" w:firstLine="0" w:firstLineChars="0"/>
              <w:jc w:val="both"/>
              <w:rPr>
                <w:rFonts w:hint="eastAsia" w:ascii="仿宋_GB2312" w:hAnsi="Times New Roman" w:eastAsia="仿宋_GB2312" w:cs="Times New Roman"/>
                <w:b/>
                <w:bCs/>
                <w:color w:val="auto"/>
                <w:sz w:val="20"/>
                <w:szCs w:val="18"/>
                <w:highlight w:val="none"/>
                <w:lang w:val="en-US" w:eastAsia="zh-CN"/>
              </w:rPr>
            </w:pPr>
            <w:r>
              <w:rPr>
                <w:rFonts w:hint="eastAsia" w:ascii="仿宋_GB2312" w:hAnsi="Times New Roman" w:eastAsia="仿宋_GB2312" w:cs="Times New Roman"/>
                <w:b/>
                <w:bCs/>
                <w:color w:val="auto"/>
                <w:sz w:val="20"/>
                <w:szCs w:val="18"/>
                <w:highlight w:val="none"/>
                <w:lang w:val="en-US" w:eastAsia="zh-CN"/>
              </w:rPr>
              <w:t>示例如下：</w:t>
            </w:r>
          </w:p>
          <w:tbl>
            <w:tblPr>
              <w:tblStyle w:val="5"/>
              <w:tblpPr w:leftFromText="180" w:rightFromText="180" w:vertAnchor="text" w:horzAnchor="page" w:tblpX="195" w:tblpY="88"/>
              <w:tblOverlap w:val="never"/>
              <w:tblW w:w="66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0"/>
              <w:gridCol w:w="1315"/>
              <w:gridCol w:w="1550"/>
              <w:gridCol w:w="2692"/>
            </w:tblGrid>
            <w:tr w14:paraId="0C43C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FCC6">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计算示例</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1513">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投资者持有份额(份)</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EC3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赎回宽限期清算日前一工作日理财产品单位净值</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AC0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投资者可得资金（元）</w:t>
                  </w:r>
                </w:p>
              </w:tc>
            </w:tr>
            <w:tr w14:paraId="07F59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89E5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情景1</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0CBC">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0BA2">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1.0010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2D69">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1.0010=100,100.00</w:t>
                  </w:r>
                </w:p>
              </w:tc>
            </w:tr>
            <w:tr w14:paraId="067B9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249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情景2</w:t>
                  </w:r>
                </w:p>
              </w:tc>
              <w:tc>
                <w:tcPr>
                  <w:tcW w:w="13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8E15F">
                  <w:pPr>
                    <w:keepNext w:val="0"/>
                    <w:keepLines w:val="0"/>
                    <w:widowControl/>
                    <w:suppressLineNumbers w:val="0"/>
                    <w:jc w:val="center"/>
                    <w:textAlignment w:val="center"/>
                    <w:rPr>
                      <w:rFonts w:hint="eastAsia" w:ascii="仿宋_GB2312" w:hAnsi="仿宋_GB2312" w:eastAsia="仿宋_GB2312" w:cs="仿宋_GB2312"/>
                      <w:i w:val="0"/>
                      <w:iCs w:val="0"/>
                      <w:color w:val="auto"/>
                      <w:sz w:val="16"/>
                      <w:szCs w:val="16"/>
                      <w:highlight w:val="none"/>
                      <w:u w:val="none"/>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p>
              </w:tc>
              <w:tc>
                <w:tcPr>
                  <w:tcW w:w="1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FC80">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0.9990</w:t>
                  </w:r>
                </w:p>
              </w:tc>
              <w:tc>
                <w:tcPr>
                  <w:tcW w:w="2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CB68B">
                  <w:pPr>
                    <w:keepNext w:val="0"/>
                    <w:keepLines w:val="0"/>
                    <w:widowControl/>
                    <w:suppressLineNumbers w:val="0"/>
                    <w:jc w:val="both"/>
                    <w:textAlignment w:val="center"/>
                    <w:rPr>
                      <w:rFonts w:hint="default" w:ascii="仿宋_GB2312" w:hAnsi="仿宋_GB2312" w:eastAsia="仿宋_GB2312" w:cs="仿宋_GB2312"/>
                      <w:i w:val="0"/>
                      <w:iCs w:val="0"/>
                      <w:color w:val="auto"/>
                      <w:kern w:val="0"/>
                      <w:sz w:val="16"/>
                      <w:szCs w:val="16"/>
                      <w:highlight w:val="none"/>
                      <w:u w:val="none"/>
                      <w:lang w:val="en-US" w:eastAsia="zh-CN" w:bidi="ar"/>
                    </w:rPr>
                  </w:pPr>
                  <w:r>
                    <w:rPr>
                      <w:rFonts w:hint="eastAsia" w:ascii="仿宋_GB2312" w:hAnsi="仿宋_GB2312" w:eastAsia="仿宋_GB2312" w:cs="仿宋_GB2312"/>
                      <w:i w:val="0"/>
                      <w:iCs w:val="0"/>
                      <w:color w:val="auto"/>
                      <w:kern w:val="0"/>
                      <w:sz w:val="16"/>
                      <w:szCs w:val="16"/>
                      <w:highlight w:val="none"/>
                      <w:u w:val="none"/>
                      <w:lang w:val="en-US" w:eastAsia="zh-CN" w:bidi="ar"/>
                    </w:rPr>
                    <w:t>100,000.00</w:t>
                  </w:r>
                  <w:r>
                    <w:rPr>
                      <w:rFonts w:hint="eastAsia" w:ascii="仿宋_GB2312" w:hAnsi="仿宋_GB2312" w:eastAsia="仿宋_GB2312" w:cs="仿宋_GB2312"/>
                      <w:color w:val="auto"/>
                      <w:sz w:val="20"/>
                      <w:highlight w:val="none"/>
                      <w:lang w:eastAsia="zh-CN"/>
                    </w:rPr>
                    <w:t>×</w:t>
                  </w:r>
                  <w:r>
                    <w:rPr>
                      <w:rFonts w:hint="eastAsia" w:ascii="仿宋_GB2312" w:hAnsi="仿宋_GB2312" w:eastAsia="仿宋_GB2312" w:cs="仿宋_GB2312"/>
                      <w:i w:val="0"/>
                      <w:iCs w:val="0"/>
                      <w:color w:val="auto"/>
                      <w:kern w:val="0"/>
                      <w:sz w:val="16"/>
                      <w:szCs w:val="16"/>
                      <w:highlight w:val="none"/>
                      <w:u w:val="none"/>
                      <w:lang w:val="en-US" w:eastAsia="zh-CN" w:bidi="ar"/>
                    </w:rPr>
                    <w:t>0.9990=99,900.00</w:t>
                  </w:r>
                </w:p>
              </w:tc>
            </w:tr>
          </w:tbl>
          <w:p w14:paraId="3324BD2C">
            <w:pPr>
              <w:pStyle w:val="3"/>
              <w:ind w:left="0" w:right="153"/>
              <w:jc w:val="left"/>
              <w:rPr>
                <w:rFonts w:hint="eastAsia" w:ascii="仿宋_GB2312" w:hAnsi="Times New Roman" w:eastAsia="仿宋_GB2312" w:cs="Times New Roman"/>
                <w:b w:val="0"/>
                <w:bCs w:val="0"/>
                <w:color w:val="auto"/>
                <w:sz w:val="20"/>
                <w:szCs w:val="18"/>
                <w:highlight w:val="none"/>
                <w:lang w:val="en-US" w:eastAsia="zh-CN"/>
              </w:rPr>
            </w:pPr>
          </w:p>
          <w:p w14:paraId="7E168A68">
            <w:pPr>
              <w:pStyle w:val="3"/>
              <w:ind w:left="0" w:leftChars="0" w:right="153" w:rightChars="0"/>
              <w:rPr>
                <w:rFonts w:hint="eastAsia" w:ascii="仿宋_GB2312" w:hAnsi="Times New Roman" w:eastAsia="仿宋_GB2312" w:cs="Times New Roman"/>
                <w:color w:val="auto"/>
                <w:sz w:val="20"/>
                <w:szCs w:val="18"/>
                <w:highlight w:val="none"/>
                <w:lang w:val="en-US" w:eastAsia="zh-CN"/>
              </w:rPr>
            </w:pPr>
          </w:p>
        </w:tc>
      </w:tr>
      <w:tr w14:paraId="1446EA05">
        <w:tblPrEx>
          <w:tblCellMar>
            <w:top w:w="0" w:type="dxa"/>
            <w:left w:w="0" w:type="dxa"/>
            <w:bottom w:w="0" w:type="dxa"/>
            <w:right w:w="0" w:type="dxa"/>
          </w:tblCellMar>
        </w:tblPrEx>
        <w:trPr>
          <w:trHeight w:val="174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BC65B59">
            <w:pPr>
              <w:pStyle w:val="9"/>
              <w:ind w:left="54" w:leftChars="0" w:right="41" w:rightChars="0"/>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预约赎回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05887B">
            <w:pPr>
              <w:pStyle w:val="9"/>
              <w:numPr>
                <w:ilvl w:val="-1"/>
                <w:numId w:val="0"/>
              </w:numPr>
              <w:ind w:left="54" w:right="41" w:firstLine="0"/>
              <w:jc w:val="both"/>
              <w:rPr>
                <w:rFonts w:hint="eastAsia" w:ascii="仿宋_GB2312" w:eastAsia="仿宋_GB2312" w:cs="Times New Roman" w:hAnsiTheme="minorEastAsia"/>
                <w:sz w:val="20"/>
                <w:szCs w:val="18"/>
                <w:u w:val="single"/>
                <w:lang w:val="en-US" w:eastAsia="zh-CN"/>
              </w:rPr>
            </w:pPr>
            <w:r>
              <w:rPr>
                <w:rFonts w:hint="eastAsia" w:ascii="仿宋_GB2312" w:eastAsia="仿宋_GB2312" w:cs="Times New Roman" w:hAnsiTheme="minorEastAsia"/>
                <w:sz w:val="20"/>
                <w:szCs w:val="18"/>
                <w:lang w:val="en-US" w:eastAsia="zh-CN"/>
              </w:rPr>
              <w:t>1.</w:t>
            </w:r>
            <w:r>
              <w:rPr>
                <w:rFonts w:hint="eastAsia" w:ascii="仿宋_GB2312" w:eastAsia="仿宋_GB2312" w:cs="Times New Roman" w:hAnsiTheme="minorEastAsia"/>
                <w:sz w:val="20"/>
                <w:szCs w:val="18"/>
                <w:lang w:eastAsia="zh-CN"/>
              </w:rPr>
              <w:t>预约赎回期为整个产品封闭期（若有调整，</w:t>
            </w:r>
            <w:r>
              <w:rPr>
                <w:rFonts w:hint="eastAsia" w:ascii="仿宋_GB2312" w:eastAsia="仿宋_GB2312" w:cs="Times New Roman" w:hAnsiTheme="minorEastAsia"/>
                <w:sz w:val="20"/>
                <w:szCs w:val="18"/>
                <w:lang w:val="en-US" w:eastAsia="zh-CN"/>
              </w:rPr>
              <w:t>调整公告于开放期结束日前3</w:t>
            </w:r>
          </w:p>
          <w:p w14:paraId="18D47F9B">
            <w:pPr>
              <w:pStyle w:val="9"/>
              <w:numPr>
                <w:ilvl w:val="0"/>
                <w:numId w:val="0"/>
              </w:numPr>
              <w:ind w:left="54" w:right="41" w:firstLine="0"/>
              <w:jc w:val="both"/>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val="en-US" w:eastAsia="zh-CN"/>
              </w:rPr>
              <w:t>个工作日内通过贵阳农商银行官方网站等渠道公布</w:t>
            </w:r>
            <w:r>
              <w:rPr>
                <w:rFonts w:hint="eastAsia" w:ascii="仿宋_GB2312" w:eastAsia="仿宋_GB2312" w:cs="Times New Roman" w:hAnsiTheme="minorEastAsia"/>
                <w:sz w:val="20"/>
                <w:szCs w:val="18"/>
                <w:lang w:eastAsia="zh-CN"/>
              </w:rPr>
              <w:t>）。</w:t>
            </w:r>
          </w:p>
          <w:p w14:paraId="471A2FE9">
            <w:pPr>
              <w:pStyle w:val="9"/>
              <w:ind w:left="54" w:leftChars="0" w:right="41" w:rightChars="0"/>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2.本产品设置预约赎回期，投资者可在此期间发起预约赎回申请及撤销预约赎回申请，</w:t>
            </w:r>
            <w:r>
              <w:rPr>
                <w:rFonts w:hint="eastAsia" w:ascii="仿宋_GB2312" w:eastAsia="仿宋_GB2312" w:cs="Times New Roman" w:hAnsiTheme="minorEastAsia"/>
                <w:sz w:val="20"/>
                <w:szCs w:val="18"/>
                <w:lang w:val="en-US" w:eastAsia="zh-CN"/>
              </w:rPr>
              <w:t>预约赎回将统一在清算日生效，并</w:t>
            </w:r>
            <w:r>
              <w:rPr>
                <w:rFonts w:hint="eastAsia" w:ascii="仿宋_GB2312" w:eastAsia="仿宋_GB2312" w:cs="Times New Roman" w:hAnsiTheme="minorEastAsia"/>
                <w:sz w:val="20"/>
                <w:szCs w:val="18"/>
                <w:lang w:eastAsia="zh-CN"/>
              </w:rPr>
              <w:t>确认赎回份额，</w:t>
            </w:r>
            <w:r>
              <w:rPr>
                <w:rFonts w:hint="eastAsia" w:ascii="仿宋_GB2312" w:eastAsia="仿宋_GB2312" w:cs="Times New Roman" w:hAnsiTheme="minorEastAsia"/>
                <w:sz w:val="20"/>
                <w:szCs w:val="18"/>
                <w:lang w:val="en-US" w:eastAsia="zh-CN"/>
              </w:rPr>
              <w:t>且确认赎回份额适用巨额赎回的规则</w:t>
            </w:r>
            <w:r>
              <w:rPr>
                <w:rFonts w:hint="eastAsia" w:ascii="仿宋_GB2312" w:eastAsia="仿宋_GB2312" w:cs="Times New Roman" w:hAnsiTheme="minorEastAsia"/>
                <w:sz w:val="20"/>
                <w:szCs w:val="18"/>
                <w:lang w:eastAsia="zh-CN"/>
              </w:rPr>
              <w:t>。</w:t>
            </w:r>
          </w:p>
        </w:tc>
      </w:tr>
      <w:tr w14:paraId="0EB41EE6">
        <w:tblPrEx>
          <w:tblCellMar>
            <w:top w:w="0" w:type="dxa"/>
            <w:left w:w="0" w:type="dxa"/>
            <w:bottom w:w="0" w:type="dxa"/>
            <w:right w:w="0" w:type="dxa"/>
          </w:tblCellMar>
        </w:tblPrEx>
        <w:trPr>
          <w:trHeight w:val="320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5BE0840">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巨额赎回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1C2AA7">
            <w:pPr>
              <w:pStyle w:val="11"/>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1.净赎回份额是指全部存续投资者赎回申请份额总数扣除申购申请份额总数后的份额。</w:t>
            </w:r>
          </w:p>
          <w:p w14:paraId="21890866">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2.发生巨额赎回时，管理人有权依照时间优先原则，拒绝超过理财产品净赎回份额10%以上部分的赎回申请，被拒绝的投资者可于开放期内下一开放日重新提交赎回申请。</w:t>
            </w:r>
          </w:p>
          <w:p w14:paraId="11479934">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3.若理财产品连续2个开放日（含）及以上发生巨额赎回，管理人有权依照时间优先原则，拒绝超过理财产品净赎回份额10%以上部分的赎回申请，投资者可于开放期内下一开放日重新提交赎回申请。对于已经接受的赎回申请，管理人有权延缓支付赎回款项，延缓期限自理财产品兑付日起不超过15个工作日。</w:t>
            </w:r>
          </w:p>
          <w:p w14:paraId="0A59A42E">
            <w:pPr>
              <w:pStyle w:val="11"/>
              <w:jc w:val="both"/>
              <w:rPr>
                <w:rFonts w:ascii="仿宋_GB2312" w:eastAsia="仿宋_GB2312" w:cs="Times New Roman" w:hAnsiTheme="minorEastAsia"/>
                <w:sz w:val="20"/>
                <w:szCs w:val="18"/>
                <w:lang w:eastAsia="zh-CN"/>
              </w:rPr>
            </w:pPr>
            <w:r>
              <w:rPr>
                <w:rFonts w:hint="eastAsia" w:ascii="仿宋_GB2312" w:hAnsi="仿宋_GB2312" w:eastAsia="仿宋_GB2312" w:cs="仿宋_GB2312"/>
                <w:color w:val="auto"/>
                <w:sz w:val="20"/>
                <w:szCs w:val="20"/>
                <w:lang w:val="en-US" w:eastAsia="zh-CN"/>
              </w:rPr>
              <w:t>4.如开放期最后一日发生巨额赎回情形，管理人有权根据实际情况决定是否接受赎回申请，如接受赎回申请的，管理人有权自理财产品兑付日起不超过15个工作日支付赎回款项。</w:t>
            </w:r>
          </w:p>
        </w:tc>
      </w:tr>
      <w:tr w14:paraId="606E8F17">
        <w:tblPrEx>
          <w:tblCellMar>
            <w:top w:w="0" w:type="dxa"/>
            <w:left w:w="0" w:type="dxa"/>
            <w:bottom w:w="0" w:type="dxa"/>
            <w:right w:w="0" w:type="dxa"/>
          </w:tblCellMar>
        </w:tblPrEx>
        <w:trPr>
          <w:trHeight w:val="82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13F5127">
            <w:pPr>
              <w:pStyle w:val="9"/>
              <w:ind w:right="7" w:rightChars="0"/>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税款</w:t>
            </w:r>
          </w:p>
        </w:tc>
        <w:tc>
          <w:tcPr>
            <w:tcW w:w="6946" w:type="dxa"/>
            <w:tcBorders>
              <w:top w:val="single" w:color="000000" w:sz="4" w:space="0"/>
              <w:left w:val="single" w:color="000000" w:sz="4" w:space="0"/>
              <w:bottom w:val="single" w:color="000000" w:sz="4" w:space="0"/>
              <w:right w:val="single" w:color="000000" w:sz="12" w:space="0"/>
            </w:tcBorders>
            <w:vAlign w:val="center"/>
          </w:tcPr>
          <w:p w14:paraId="12B738D8">
            <w:pPr>
              <w:pStyle w:val="9"/>
              <w:ind w:left="0" w:leftChars="0" w:right="41" w:rightChars="0" w:firstLine="0" w:firstLineChars="0"/>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70FE25AA">
        <w:tblPrEx>
          <w:tblCellMar>
            <w:top w:w="0" w:type="dxa"/>
            <w:left w:w="0" w:type="dxa"/>
            <w:bottom w:w="0" w:type="dxa"/>
            <w:right w:w="0" w:type="dxa"/>
          </w:tblCellMar>
        </w:tblPrEx>
        <w:trPr>
          <w:trHeight w:val="288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7C0DFF2">
            <w:pPr>
              <w:pStyle w:val="9"/>
              <w:ind w:right="7" w:righ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最不利情况示例</w:t>
            </w:r>
          </w:p>
        </w:tc>
        <w:tc>
          <w:tcPr>
            <w:tcW w:w="6946" w:type="dxa"/>
            <w:tcBorders>
              <w:top w:val="single" w:color="000000" w:sz="4" w:space="0"/>
              <w:left w:val="single" w:color="000000" w:sz="4" w:space="0"/>
              <w:bottom w:val="single" w:color="000000" w:sz="4" w:space="0"/>
              <w:right w:val="single" w:color="000000" w:sz="12" w:space="0"/>
            </w:tcBorders>
            <w:vAlign w:val="center"/>
          </w:tcPr>
          <w:p w14:paraId="49F93596">
            <w:pPr>
              <w:keepNext w:val="0"/>
              <w:keepLines w:val="0"/>
              <w:widowControl/>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2A7C6378">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37A57CE7">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214A5DC8">
            <w:pPr>
              <w:keepNext w:val="0"/>
              <w:keepLines w:val="0"/>
              <w:widowControl/>
              <w:suppressLineNumbers w:val="0"/>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2CF6BAD7">
            <w:pPr>
              <w:pStyle w:val="9"/>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127858FF">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324AF25C">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60514591">
            <w:pPr>
              <w:pStyle w:val="9"/>
              <w:numPr>
                <w:ilvl w:val="-1"/>
                <w:numId w:val="0"/>
              </w:numPr>
              <w:ind w:left="0" w:leftChars="0" w:right="41" w:rightChars="0" w:firstLine="0" w:firstLineChars="0"/>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567B9B87">
      <w:pPr>
        <w:ind w:right="151"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四、</w:t>
      </w:r>
      <w:r>
        <w:rPr>
          <w:rFonts w:ascii="Times New Roman" w:hAnsi="黑体" w:eastAsia="黑体" w:cs="Times New Roman"/>
          <w:sz w:val="24"/>
          <w:szCs w:val="24"/>
          <w:lang w:eastAsia="zh-CN"/>
        </w:rPr>
        <w:t>投资管理</w:t>
      </w:r>
    </w:p>
    <w:p w14:paraId="7474F82F">
      <w:pPr>
        <w:pStyle w:val="3"/>
        <w:spacing w:before="0"/>
        <w:ind w:left="0" w:right="151" w:firstLine="402" w:firstLineChars="200"/>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（一）投资范围</w:t>
      </w:r>
    </w:p>
    <w:p w14:paraId="414832DF">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w:t>
      </w:r>
      <w:r>
        <w:rPr>
          <w:rFonts w:hint="eastAsia" w:ascii="仿宋_GB2312" w:eastAsia="仿宋_GB2312" w:cs="Times New Roman" w:hAnsiTheme="minorEastAsia"/>
          <w:sz w:val="20"/>
          <w:highlight w:val="none"/>
          <w:lang w:eastAsia="zh-CN"/>
        </w:rPr>
        <w:t>和</w:t>
      </w:r>
      <w:r>
        <w:rPr>
          <w:rFonts w:ascii="仿宋_GB2312" w:eastAsia="仿宋_GB2312" w:cs="Times New Roman" w:hAnsiTheme="minorEastAsia"/>
          <w:sz w:val="20"/>
          <w:highlight w:val="none"/>
          <w:lang w:eastAsia="zh-CN"/>
        </w:rPr>
        <w:t>其他符合监管要求的资产，具体如下：</w:t>
      </w:r>
    </w:p>
    <w:p w14:paraId="543C5FBE">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1.现金类资产：包括但不限于活期存款、定期存款、协议存款等；</w:t>
      </w:r>
    </w:p>
    <w:p w14:paraId="29F7FEF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2.货币类资产：</w:t>
      </w:r>
      <w:r>
        <w:rPr>
          <w:rFonts w:hint="eastAsia" w:ascii="仿宋_GB2312" w:eastAsia="仿宋_GB2312" w:cs="Times New Roman" w:hAnsiTheme="minorEastAsia"/>
          <w:sz w:val="20"/>
          <w:lang w:eastAsia="zh-CN"/>
        </w:rPr>
        <w:t>同业存单（发行人主体信用评级</w:t>
      </w:r>
      <w:r>
        <w:rPr>
          <w:rFonts w:ascii="仿宋_GB2312" w:eastAsia="仿宋_GB2312" w:cs="Times New Roman" w:hAnsiTheme="minorEastAsia"/>
          <w:sz w:val="20"/>
          <w:lang w:eastAsia="zh-CN"/>
        </w:rPr>
        <w:t>AA及以上）、期限在一年以内（含一年）的债券回购、货币市场基金；</w:t>
      </w:r>
    </w:p>
    <w:p w14:paraId="3A71210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3.标准化固定收益类资产：包括但不限于国债、中央银行票据、同业存单、金融债、企业债、公司债、中期票据、短期融资券、超短期融资券、定向债务融资工具（PPN）、资产支持证券（ABS）、资产支持票据（ABN）等；</w:t>
      </w:r>
    </w:p>
    <w:p w14:paraId="52B4401A">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4.符合前述投向的信托计划、资产管理计划</w:t>
      </w:r>
      <w:r>
        <w:rPr>
          <w:rFonts w:hint="eastAsia" w:ascii="仿宋_GB2312" w:eastAsia="仿宋_GB2312" w:cs="Times New Roman" w:hAnsiTheme="minorEastAsia"/>
          <w:sz w:val="20"/>
          <w:lang w:eastAsia="zh-CN"/>
        </w:rPr>
        <w:t>；</w:t>
      </w:r>
    </w:p>
    <w:p w14:paraId="4311461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ascii="仿宋_GB2312" w:eastAsia="仿宋_GB2312" w:cs="Times New Roman" w:hAnsiTheme="minorEastAsia"/>
          <w:sz w:val="20"/>
          <w:lang w:eastAsia="zh-CN"/>
        </w:rPr>
        <w:t>其他符合监管要求的资产。</w:t>
      </w:r>
    </w:p>
    <w:p w14:paraId="0CE4D791">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各类资产的投资比例为：现金类资产、货币类资产、标准化固定收益类资产</w:t>
      </w:r>
      <w:r>
        <w:rPr>
          <w:rFonts w:hint="eastAsia" w:ascii="仿宋_GB2312" w:eastAsia="仿宋_GB2312" w:cs="Times New Roman" w:hAnsiTheme="minorEastAsia"/>
          <w:sz w:val="20"/>
          <w:lang w:eastAsia="zh-CN"/>
        </w:rPr>
        <w:t>及</w:t>
      </w:r>
      <w:r>
        <w:rPr>
          <w:rFonts w:ascii="仿宋_GB2312" w:eastAsia="仿宋_GB2312" w:cs="Times New Roman" w:hAnsiTheme="minorEastAsia"/>
          <w:sz w:val="20"/>
          <w:lang w:eastAsia="zh-CN"/>
        </w:rPr>
        <w:t>符合前述投向的信托计划、资产管理计划的比例为80%-100%；其他符合监管要求的资产0%-20%</w:t>
      </w:r>
      <w:r>
        <w:rPr>
          <w:rFonts w:hint="eastAsia" w:ascii="仿宋_GB2312" w:eastAsia="仿宋_GB2312" w:cs="Times New Roman" w:hAnsiTheme="minorEastAsia"/>
          <w:sz w:val="20"/>
          <w:lang w:eastAsia="zh-CN"/>
        </w:rPr>
        <w:t>。</w:t>
      </w:r>
    </w:p>
    <w:p w14:paraId="32156B41">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贵阳农商银行秉承价值投资的理念，通过资产组合管理实现本产品安全性、流动性与收益性的平衡。</w:t>
      </w:r>
    </w:p>
    <w:p w14:paraId="092D5184">
      <w:pPr>
        <w:pStyle w:val="3"/>
        <w:numPr>
          <w:ilvl w:val="0"/>
          <w:numId w:val="2"/>
        </w:numPr>
        <w:spacing w:before="0"/>
        <w:ind w:left="0" w:right="151" w:firstLine="402" w:firstLineChars="20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产品管理人、产品托管人、理财投资合作机构的基本信息及主要职责</w:t>
      </w:r>
    </w:p>
    <w:p w14:paraId="6261395D">
      <w:pPr>
        <w:pStyle w:val="3"/>
        <w:numPr>
          <w:ilvl w:val="0"/>
          <w:numId w:val="3"/>
        </w:numPr>
        <w:spacing w:before="0"/>
        <w:ind w:left="440" w:leftChars="200" w:right="151" w:firstLine="0" w:firstLineChars="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产品管理人：贵阳农村商业银行股份有限公司</w:t>
      </w:r>
    </w:p>
    <w:p w14:paraId="4E92B424">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lang w:val="en-US" w:eastAsia="zh-CN"/>
        </w:rPr>
      </w:pPr>
      <w:r>
        <w:rPr>
          <w:rFonts w:hint="eastAsia" w:ascii="仿宋_GB2312" w:eastAsia="仿宋_GB2312" w:cs="Times New Roman" w:hAnsiTheme="minorEastAsia"/>
          <w:sz w:val="20"/>
          <w:lang w:val="en-US" w:eastAsia="zh-CN"/>
        </w:rPr>
        <w:t>主要职责：产品管理人负责</w:t>
      </w:r>
      <w:r>
        <w:rPr>
          <w:rFonts w:hint="eastAsia" w:ascii="仿宋_GB2312" w:eastAsia="仿宋_GB2312" w:cs="Times New Roman" w:hAnsiTheme="minorEastAsia"/>
          <w:kern w:val="0"/>
          <w:sz w:val="20"/>
          <w:szCs w:val="18"/>
          <w:lang w:val="en-US" w:eastAsia="zh-CN" w:bidi="ar-SA"/>
        </w:rPr>
        <w:t>理财产品宣传推广；投资者风险承受能力评估和投资者适当性管理；信息披露；</w:t>
      </w:r>
      <w:r>
        <w:rPr>
          <w:rFonts w:hint="eastAsia" w:ascii="仿宋_GB2312" w:eastAsia="仿宋_GB2312" w:cs="Times New Roman" w:hAnsiTheme="minorEastAsia"/>
          <w:color w:val="auto"/>
          <w:kern w:val="0"/>
          <w:sz w:val="20"/>
          <w:szCs w:val="18"/>
          <w:highlight w:val="none"/>
          <w:lang w:val="en-US" w:eastAsia="zh-CN" w:bidi="ar-SA"/>
        </w:rPr>
        <w:t>对投资者提出的理财产品份额认</w:t>
      </w:r>
      <w:r>
        <w:rPr>
          <w:rFonts w:hint="eastAsia" w:ascii="仿宋_GB2312" w:eastAsia="仿宋_GB2312" w:cs="Times New Roman" w:hAnsiTheme="minorEastAsia"/>
          <w:kern w:val="0"/>
          <w:sz w:val="20"/>
          <w:szCs w:val="18"/>
          <w:lang w:val="en-US" w:eastAsia="zh-CN" w:bidi="ar-SA"/>
        </w:rPr>
        <w:t>购</w:t>
      </w:r>
      <w:r>
        <w:rPr>
          <w:rFonts w:hint="eastAsia" w:ascii="仿宋_GB2312" w:eastAsia="仿宋_GB2312" w:cs="Times New Roman" w:hAnsiTheme="minorEastAsia"/>
          <w:sz w:val="20"/>
          <w:lang w:val="en-US" w:eastAsia="zh-CN"/>
        </w:rPr>
        <w:t>/申购</w:t>
      </w:r>
      <w:r>
        <w:rPr>
          <w:rFonts w:hint="eastAsia" w:ascii="仿宋_GB2312" w:eastAsia="仿宋_GB2312" w:cs="Times New Roman" w:hAnsiTheme="minorEastAsia"/>
          <w:color w:val="auto"/>
          <w:kern w:val="0"/>
          <w:sz w:val="20"/>
          <w:szCs w:val="18"/>
          <w:highlight w:val="none"/>
          <w:lang w:val="en-US" w:eastAsia="zh-CN" w:bidi="ar-SA"/>
        </w:rPr>
        <w:t>/赎回</w:t>
      </w:r>
      <w:r>
        <w:rPr>
          <w:rFonts w:hint="eastAsia" w:ascii="仿宋_GB2312" w:eastAsia="仿宋_GB2312" w:cs="Times New Roman" w:hAnsiTheme="minorEastAsia"/>
          <w:kern w:val="0"/>
          <w:sz w:val="20"/>
          <w:szCs w:val="18"/>
          <w:lang w:val="en-US" w:eastAsia="zh-CN" w:bidi="ar-SA"/>
        </w:rPr>
        <w:t>申请</w:t>
      </w:r>
      <w:r>
        <w:rPr>
          <w:rFonts w:hint="eastAsia" w:ascii="仿宋_GB2312" w:eastAsia="仿宋_GB2312" w:cs="Times New Roman" w:hAnsiTheme="minorEastAsia"/>
          <w:color w:val="auto"/>
          <w:kern w:val="0"/>
          <w:sz w:val="20"/>
          <w:szCs w:val="18"/>
          <w:highlight w:val="none"/>
          <w:lang w:val="en-US" w:eastAsia="zh-CN" w:bidi="ar-SA"/>
        </w:rPr>
        <w:t>进行管理；</w:t>
      </w:r>
      <w:r>
        <w:rPr>
          <w:rFonts w:hint="eastAsia" w:ascii="仿宋_GB2312" w:eastAsia="仿宋_GB2312" w:cs="Times New Roman" w:hAnsiTheme="minorEastAsia"/>
          <w:color w:val="auto"/>
          <w:sz w:val="20"/>
          <w:highlight w:val="none"/>
          <w:lang w:val="en-US" w:eastAsia="zh-CN"/>
        </w:rPr>
        <w:t>资产估值；</w:t>
      </w:r>
      <w:r>
        <w:rPr>
          <w:rFonts w:hint="eastAsia" w:ascii="仿宋_GB2312" w:eastAsia="仿宋_GB2312" w:cs="Times New Roman" w:hAnsiTheme="minorEastAsia"/>
          <w:kern w:val="0"/>
          <w:sz w:val="20"/>
          <w:szCs w:val="18"/>
          <w:lang w:val="en-US" w:eastAsia="zh-CN" w:bidi="ar-SA"/>
        </w:rPr>
        <w:t>与投资者签订理财产品销售文件；</w:t>
      </w:r>
      <w:r>
        <w:rPr>
          <w:rFonts w:hint="eastAsia" w:ascii="仿宋_GB2312" w:eastAsia="仿宋_GB2312" w:cs="Times New Roman" w:hAnsiTheme="minorEastAsia"/>
          <w:sz w:val="20"/>
          <w:lang w:val="en-US" w:eastAsia="zh-CN"/>
        </w:rPr>
        <w:t>接受投资者的委托和授权；按照本产品说明书约定的投资范围进行投资和资产管理；代表理财产品签订投资和资产管理过程中涉及到的协议、合同等文本。</w:t>
      </w:r>
    </w:p>
    <w:p w14:paraId="6888B8E9">
      <w:pPr>
        <w:pStyle w:val="3"/>
        <w:numPr>
          <w:ilvl w:val="-1"/>
          <w:numId w:val="0"/>
        </w:numPr>
        <w:spacing w:before="19"/>
        <w:ind w:left="0" w:leftChars="0" w:right="153" w:firstLine="402" w:firstLineChars="200"/>
        <w:jc w:val="both"/>
        <w:rPr>
          <w:rFonts w:hint="default" w:ascii="仿宋_GB2312" w:eastAsia="仿宋_GB2312" w:cs="Times New Roman" w:hAnsiTheme="minorEastAsia"/>
          <w:b/>
          <w:sz w:val="20"/>
          <w:u w:val="single"/>
          <w:lang w:val="en-US" w:eastAsia="zh-CN"/>
        </w:rPr>
      </w:pPr>
      <w:r>
        <w:rPr>
          <w:rFonts w:hint="eastAsia" w:ascii="仿宋_GB2312" w:eastAsia="仿宋_GB2312" w:cs="Times New Roman" w:hAnsiTheme="minorEastAsia"/>
          <w:b/>
          <w:sz w:val="20"/>
          <w:lang w:val="en-US" w:eastAsia="zh-CN"/>
        </w:rPr>
        <w:t>2.产品托管人：中国工商银行股份有限公司</w:t>
      </w:r>
    </w:p>
    <w:p w14:paraId="28AD3B4A">
      <w:pPr>
        <w:pStyle w:val="3"/>
        <w:numPr>
          <w:ilvl w:val="0"/>
          <w:numId w:val="0"/>
        </w:numPr>
        <w:spacing w:before="19"/>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主要职责：产品托管人主要负责依法依规提供账户开立、财产保管、清算交割、会计核算、资产估值复核、信息披露、投资监督以及托管合同约定的相关服务。</w:t>
      </w:r>
    </w:p>
    <w:p w14:paraId="6AA1596E">
      <w:pPr>
        <w:pStyle w:val="3"/>
        <w:numPr>
          <w:ilvl w:val="-1"/>
          <w:numId w:val="0"/>
        </w:numPr>
        <w:ind w:left="0" w:leftChars="0" w:right="151" w:firstLine="402" w:firstLineChars="200"/>
        <w:jc w:val="both"/>
        <w:rPr>
          <w:rFonts w:hint="eastAsia" w:ascii="仿宋_GB2312" w:eastAsia="仿宋_GB2312" w:cs="Times New Roman" w:hAnsiTheme="minorEastAsia"/>
          <w:sz w:val="20"/>
          <w:szCs w:val="18"/>
        </w:rPr>
      </w:pPr>
      <w:r>
        <w:rPr>
          <w:rFonts w:hint="eastAsia" w:ascii="仿宋_GB2312" w:eastAsia="仿宋_GB2312" w:cs="Times New Roman" w:hAnsiTheme="minorEastAsia"/>
          <w:b/>
          <w:sz w:val="20"/>
          <w:lang w:val="en-US" w:eastAsia="zh-CN"/>
        </w:rPr>
        <w:t>3.理财投资合作机构</w:t>
      </w:r>
    </w:p>
    <w:p w14:paraId="45CB8D7F">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lang w:val="en-US" w:eastAsia="zh-CN" w:bidi="ar-SA"/>
        </w:rPr>
      </w:pPr>
      <w:r>
        <w:rPr>
          <w:rFonts w:hint="eastAsia" w:ascii="仿宋_GB2312" w:eastAsia="仿宋_GB2312" w:cs="Times New Roman" w:hAnsiTheme="minorEastAsia"/>
          <w:kern w:val="0"/>
          <w:sz w:val="20"/>
          <w:szCs w:val="18"/>
          <w:lang w:val="en-US" w:eastAsia="zh-CN" w:bidi="ar-SA"/>
        </w:rPr>
        <w:t>理财投资合作机构包括但不限于理财产品所投资资产管理产品的发行机构、根据合同约定从事理财产品受托投资的机构以及与理财产品投资管理相关的投资顾问等。本理财产品投资合作机构可能包括: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鑫沅资产管理有限公司、国民信托有限公司、华创证券有限责任公司、方正富邦基金管理有限公司、厦门国际信托有限公司</w:t>
      </w:r>
      <w:r>
        <w:rPr>
          <w:rFonts w:hint="eastAsia" w:ascii="仿宋_GB2312" w:eastAsia="仿宋_GB2312" w:cs="Times New Roman" w:hAnsiTheme="minorEastAsia"/>
          <w:kern w:val="0"/>
          <w:sz w:val="20"/>
          <w:szCs w:val="18"/>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b w:val="0"/>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eastAsia="仿宋_GB2312" w:cs="Times New Roman" w:hAnsiTheme="minorEastAsia"/>
          <w:kern w:val="0"/>
          <w:sz w:val="20"/>
          <w:szCs w:val="18"/>
          <w:lang w:val="en-US" w:eastAsia="zh-CN" w:bidi="ar-SA"/>
        </w:rPr>
        <w:t>。</w:t>
      </w:r>
    </w:p>
    <w:p w14:paraId="505D4F46">
      <w:pPr>
        <w:pStyle w:val="3"/>
        <w:numPr>
          <w:ilvl w:val="0"/>
          <w:numId w:val="0"/>
        </w:numPr>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主要职责：</w:t>
      </w:r>
      <w:r>
        <w:rPr>
          <w:rFonts w:hint="eastAsia" w:ascii="仿宋_GB2312" w:eastAsia="仿宋_GB2312" w:cs="Times New Roman" w:hAnsiTheme="minorEastAsia"/>
          <w:kern w:val="0"/>
          <w:sz w:val="20"/>
          <w:szCs w:val="18"/>
          <w:lang w:val="en-US" w:eastAsia="zh-CN" w:bidi="ar-SA"/>
        </w:rPr>
        <w:t>理财投资合作机构为进行受托资金的投资管理，根据合同约定从事受托投资或提供投资顾问等服务，具体职责以投资管理人与投资合作机构签署的合同为准。</w:t>
      </w:r>
    </w:p>
    <w:p w14:paraId="250A47E3">
      <w:pPr>
        <w:ind w:right="151" w:firstLine="480" w:firstLineChars="200"/>
        <w:jc w:val="both"/>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五</w:t>
      </w:r>
      <w:r>
        <w:rPr>
          <w:rFonts w:ascii="Times New Roman" w:hAnsi="黑体" w:eastAsia="黑体" w:cs="Times New Roman"/>
          <w:sz w:val="24"/>
          <w:szCs w:val="24"/>
          <w:lang w:eastAsia="zh-CN"/>
        </w:rPr>
        <w:t>、产品运作说明</w:t>
      </w:r>
    </w:p>
    <w:p w14:paraId="0383EBE0">
      <w:pPr>
        <w:pStyle w:val="3"/>
        <w:spacing w:before="0"/>
        <w:ind w:left="0" w:right="153"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（一）存续期产品规模</w:t>
      </w:r>
    </w:p>
    <w:p w14:paraId="0F6C43EB">
      <w:pPr>
        <w:pStyle w:val="3"/>
        <w:spacing w:before="0"/>
        <w:ind w:left="0" w:right="153" w:firstLine="400" w:firstLineChars="200"/>
        <w:jc w:val="both"/>
        <w:rPr>
          <w:rFonts w:hint="eastAsia" w:ascii="仿宋_GB2312" w:eastAsia="仿宋_GB2312" w:cs="Times New Roman" w:hAnsiTheme="minorEastAsia"/>
          <w:sz w:val="20"/>
          <w:szCs w:val="18"/>
          <w:highlight w:val="none"/>
          <w:lang w:val="en-US" w:eastAsia="zh-CN"/>
        </w:rPr>
      </w:pPr>
      <w:r>
        <w:rPr>
          <w:rFonts w:ascii="仿宋_GB2312" w:eastAsia="仿宋_GB2312" w:cs="Times New Roman" w:hAnsiTheme="minorEastAsia"/>
          <w:sz w:val="20"/>
          <w:lang w:eastAsia="zh-CN"/>
        </w:rPr>
        <w:t>1.本期产品规模上限：</w:t>
      </w:r>
      <w:r>
        <w:rPr>
          <w:rFonts w:hint="eastAsia" w:ascii="仿宋_GB2312" w:eastAsia="仿宋_GB2312" w:cs="Times New Roman" w:hAnsiTheme="minorEastAsia"/>
          <w:b/>
          <w:bCs/>
          <w:sz w:val="20"/>
          <w:lang w:val="en-US" w:eastAsia="zh-CN"/>
        </w:rPr>
        <w:t>20000</w:t>
      </w:r>
      <w:r>
        <w:rPr>
          <w:rFonts w:hint="eastAsia" w:ascii="仿宋_GB2312" w:eastAsia="仿宋_GB2312" w:cs="Times New Roman" w:hAnsiTheme="minorEastAsia"/>
          <w:b/>
          <w:bCs/>
          <w:sz w:val="20"/>
          <w:u w:val="none"/>
          <w:lang w:val="en-US" w:eastAsia="zh-CN"/>
        </w:rPr>
        <w:t>万</w:t>
      </w:r>
      <w:r>
        <w:rPr>
          <w:rFonts w:hint="eastAsia" w:ascii="仿宋_GB2312" w:eastAsia="仿宋_GB2312" w:cs="Times New Roman" w:hAnsiTheme="minorEastAsia"/>
          <w:b/>
          <w:bCs/>
          <w:sz w:val="20"/>
          <w:lang w:val="en-US" w:eastAsia="zh-CN"/>
        </w:rPr>
        <w:t>元</w:t>
      </w:r>
      <w:r>
        <w:rPr>
          <w:rFonts w:ascii="仿宋_GB2312" w:eastAsia="仿宋_GB2312" w:cs="Times New Roman" w:hAnsiTheme="minorEastAsia"/>
          <w:sz w:val="20"/>
          <w:lang w:eastAsia="zh-CN"/>
        </w:rPr>
        <w:t>。在本期产品募集期</w:t>
      </w:r>
      <w:r>
        <w:rPr>
          <w:rFonts w:hint="eastAsia" w:ascii="仿宋_GB2312" w:eastAsia="仿宋_GB2312" w:cs="Times New Roman" w:hAnsiTheme="minorEastAsia"/>
          <w:sz w:val="20"/>
          <w:lang w:val="en-US" w:eastAsia="zh-CN"/>
        </w:rPr>
        <w:t>和存续期</w:t>
      </w:r>
      <w:r>
        <w:rPr>
          <w:rFonts w:ascii="仿宋_GB2312" w:eastAsia="仿宋_GB2312" w:cs="Times New Roman" w:hAnsiTheme="minorEastAsia"/>
          <w:sz w:val="20"/>
          <w:lang w:eastAsia="zh-CN"/>
        </w:rPr>
        <w:t>内，对本期产品的认购</w:t>
      </w:r>
      <w:r>
        <w:rPr>
          <w:rFonts w:hint="eastAsia" w:ascii="仿宋_GB2312" w:eastAsia="仿宋_GB2312" w:cs="Times New Roman" w:hAnsiTheme="minorEastAsia"/>
          <w:sz w:val="20"/>
          <w:lang w:val="en-US" w:eastAsia="zh-CN"/>
        </w:rPr>
        <w:t>/申购金</w:t>
      </w:r>
      <w:r>
        <w:rPr>
          <w:rFonts w:ascii="仿宋_GB2312" w:eastAsia="仿宋_GB2312" w:cs="Times New Roman" w:hAnsiTheme="minorEastAsia"/>
          <w:sz w:val="20"/>
          <w:lang w:eastAsia="zh-CN"/>
        </w:rPr>
        <w:t>额达到本期理财产品规模上限，则贵阳农商银行有权</w:t>
      </w:r>
      <w:r>
        <w:rPr>
          <w:rFonts w:hint="eastAsia" w:ascii="仿宋_GB2312" w:eastAsia="仿宋_GB2312" w:cs="Times New Roman" w:hAnsiTheme="minorEastAsia"/>
          <w:sz w:val="20"/>
          <w:lang w:eastAsia="zh-CN"/>
        </w:rPr>
        <w:t>自行决定是否即时</w:t>
      </w:r>
      <w:r>
        <w:rPr>
          <w:rFonts w:ascii="仿宋_GB2312" w:eastAsia="仿宋_GB2312" w:cs="Times New Roman" w:hAnsiTheme="minorEastAsia"/>
          <w:sz w:val="20"/>
          <w:lang w:eastAsia="zh-CN"/>
        </w:rPr>
        <w:t>停止本期产品的认购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，已经认购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成功的</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投资权益不受影响。</w:t>
      </w:r>
    </w:p>
    <w:p w14:paraId="3098ABD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szCs w:val="18"/>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permStart w:id="0" w:edGrp="everyone"/>
      <w:r>
        <w:rPr>
          <w:rFonts w:hint="eastAsia" w:ascii="仿宋_GB2312" w:eastAsia="仿宋_GB2312" w:cs="Times New Roman" w:hAnsiTheme="minorEastAsia"/>
          <w:b/>
          <w:bCs/>
          <w:sz w:val="20"/>
          <w:szCs w:val="18"/>
          <w:u w:val="none"/>
          <w:lang w:val="en-US" w:eastAsia="zh-CN"/>
        </w:rPr>
        <w:t>1000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b w:val="0"/>
          <w:bCs w:val="0"/>
          <w:sz w:val="20"/>
          <w:u w:val="none"/>
          <w:lang w:eastAsia="zh-CN"/>
        </w:rPr>
        <w:t>元</w:t>
      </w:r>
      <w:permEnd w:id="0"/>
      <w:r>
        <w:rPr>
          <w:rFonts w:hint="eastAsia" w:ascii="仿宋_GB2312" w:eastAsia="仿宋_GB2312" w:cs="Times New Roman" w:hAnsiTheme="minorEastAsia"/>
          <w:sz w:val="20"/>
          <w:highlight w:val="none"/>
          <w:lang w:eastAsia="zh-CN"/>
        </w:rPr>
        <w:t>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4CDD13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3</w:t>
      </w:r>
      <w:r>
        <w:rPr>
          <w:rFonts w:ascii="仿宋_GB2312" w:eastAsia="仿宋_GB2312" w:cs="Times New Roman" w:hAnsiTheme="minorEastAsia"/>
          <w:sz w:val="20"/>
          <w:lang w:eastAsia="zh-CN"/>
        </w:rPr>
        <w:t>.贵阳农商银行可根据市场情况等调整产品规模上、下限，并至少于调整规模上下限之日之前</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szCs w:val="18"/>
          <w:lang w:val="en-US" w:eastAsia="zh-CN"/>
        </w:rPr>
        <w:t>通过贵阳农商银行官方网站等渠道公布</w:t>
      </w:r>
      <w:r>
        <w:rPr>
          <w:rStyle w:val="8"/>
          <w:rFonts w:hint="eastAsia"/>
          <w:lang w:eastAsia="zh-CN"/>
        </w:rPr>
        <w:t>。</w:t>
      </w:r>
    </w:p>
    <w:p w14:paraId="2C1379AA">
      <w:pPr>
        <w:pStyle w:val="3"/>
        <w:spacing w:before="0"/>
        <w:ind w:left="0" w:right="153" w:firstLine="402" w:firstLineChars="200"/>
        <w:jc w:val="both"/>
        <w:rPr>
          <w:rFonts w:hint="eastAsia" w:ascii="仿宋_GB2312" w:eastAsia="仿宋_GB2312" w:cs="Times New Roman" w:hAnsiTheme="minorEastAsia"/>
          <w:b/>
          <w:sz w:val="20"/>
          <w:lang w:eastAsia="zh-CN"/>
        </w:rPr>
      </w:pPr>
      <w:r>
        <w:rPr>
          <w:rFonts w:hint="eastAsia" w:ascii="仿宋_GB2312" w:eastAsia="仿宋_GB2312" w:cs="Times New Roman" w:hAnsiTheme="minorEastAsia"/>
          <w:b/>
          <w:sz w:val="20"/>
          <w:lang w:eastAsia="zh-CN"/>
        </w:rPr>
        <w:t>（二）认购/申购/赎回/到期</w:t>
      </w:r>
    </w:p>
    <w:p w14:paraId="4EA5BA56">
      <w:pPr>
        <w:pStyle w:val="3"/>
        <w:spacing w:before="0"/>
        <w:ind w:left="0" w:right="153" w:firstLine="402" w:firstLineChars="200"/>
        <w:jc w:val="both"/>
        <w:rPr>
          <w:rFonts w:hint="eastAsia"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1.募集期/开放期</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lang w:eastAsia="zh-CN"/>
        </w:rPr>
        <w:t>，投资者认购/申购本产品，应提前将认购/申购资金存入投资者认购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账户，认购/申购</w:t>
      </w:r>
      <w:r>
        <w:rPr>
          <w:rFonts w:hint="eastAsia" w:ascii="仿宋_GB2312" w:eastAsia="仿宋_GB2312" w:cs="Times New Roman" w:hAnsiTheme="minorEastAsia"/>
          <w:b/>
          <w:bCs w:val="0"/>
          <w:sz w:val="20"/>
          <w:lang w:val="en-US" w:eastAsia="zh-CN"/>
        </w:rPr>
        <w:t>资金实时</w:t>
      </w:r>
      <w:r>
        <w:rPr>
          <w:rFonts w:hint="eastAsia" w:ascii="仿宋_GB2312" w:eastAsia="仿宋_GB2312" w:cs="Times New Roman" w:hAnsiTheme="minorEastAsia"/>
          <w:b/>
          <w:bCs w:val="0"/>
          <w:sz w:val="20"/>
          <w:lang w:eastAsia="zh-CN"/>
        </w:rPr>
        <w:t>冻结，贵阳农商银行于产品成立日/清算日进行认购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资金扣划。产品募集期/开放期内，投资者将认购/申购</w:t>
      </w:r>
      <w:r>
        <w:rPr>
          <w:rFonts w:hint="eastAsia" w:ascii="仿宋_GB2312" w:eastAsia="仿宋_GB2312" w:cs="Times New Roman" w:hAnsiTheme="minorEastAsia"/>
          <w:b/>
          <w:bCs w:val="0"/>
          <w:sz w:val="20"/>
          <w:lang w:val="en-US" w:eastAsia="zh-CN"/>
        </w:rPr>
        <w:t>资</w:t>
      </w:r>
      <w:r>
        <w:rPr>
          <w:rFonts w:hint="eastAsia" w:ascii="仿宋_GB2312" w:eastAsia="仿宋_GB2312" w:cs="Times New Roman" w:hAnsiTheme="minorEastAsia"/>
          <w:b/>
          <w:bCs w:val="0"/>
          <w:sz w:val="20"/>
          <w:lang w:eastAsia="zh-CN"/>
        </w:rPr>
        <w:t>金存入投资者认购/申购账户之日至本产品成立日（不含）</w:t>
      </w:r>
      <w:r>
        <w:rPr>
          <w:rFonts w:hint="eastAsia" w:ascii="仿宋_GB2312" w:eastAsia="仿宋_GB2312" w:cs="Times New Roman" w:hAnsiTheme="minorEastAsia"/>
          <w:b/>
          <w:bCs w:val="0"/>
          <w:sz w:val="20"/>
          <w:lang w:val="en-US" w:eastAsia="zh-CN"/>
        </w:rPr>
        <w:t>/清算日</w:t>
      </w:r>
      <w:r>
        <w:rPr>
          <w:rFonts w:hint="eastAsia" w:ascii="仿宋_GB2312" w:eastAsia="仿宋_GB2312" w:cs="Times New Roman" w:hAnsiTheme="minorEastAsia"/>
          <w:b/>
          <w:bCs w:val="0"/>
          <w:sz w:val="20"/>
          <w:lang w:eastAsia="zh-CN"/>
        </w:rPr>
        <w:t>（不含）期间，认购/申购</w:t>
      </w:r>
      <w:r>
        <w:rPr>
          <w:rFonts w:hint="eastAsia" w:ascii="仿宋_GB2312" w:eastAsia="仿宋_GB2312" w:cs="Times New Roman" w:hAnsiTheme="minorEastAsia"/>
          <w:b/>
          <w:bCs w:val="0"/>
          <w:sz w:val="20"/>
          <w:lang w:val="en-US" w:eastAsia="zh-CN"/>
        </w:rPr>
        <w:t>资金</w:t>
      </w:r>
      <w:r>
        <w:rPr>
          <w:rFonts w:hint="eastAsia" w:ascii="仿宋_GB2312" w:eastAsia="仿宋_GB2312" w:cs="Times New Roman" w:hAnsiTheme="minorEastAsia"/>
          <w:b/>
          <w:bCs w:val="0"/>
          <w:sz w:val="20"/>
          <w:lang w:eastAsia="zh-CN"/>
        </w:rPr>
        <w:t>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将转入投资者认购/申购账户</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但</w:t>
      </w:r>
      <w:r>
        <w:rPr>
          <w:rFonts w:hint="eastAsia" w:ascii="仿宋_GB2312" w:eastAsia="仿宋_GB2312" w:cs="Times New Roman" w:hAnsiTheme="minorEastAsia"/>
          <w:b/>
          <w:bCs w:val="0"/>
          <w:sz w:val="20"/>
          <w:lang w:eastAsia="zh-CN"/>
        </w:rPr>
        <w:t>募集期/开放期内的活期存款利息（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）不计入认购/申购资金。</w:t>
      </w:r>
    </w:p>
    <w:p w14:paraId="4026E3E0">
      <w:pPr>
        <w:pStyle w:val="3"/>
        <w:spacing w:before="0"/>
        <w:ind w:left="0" w:right="153" w:firstLine="201" w:firstLineChars="100"/>
        <w:jc w:val="both"/>
        <w:rPr>
          <w:rFonts w:hint="eastAsia" w:ascii="仿宋_GB2312" w:eastAsia="仿宋_GB2312" w:cs="Times New Roman" w:hAnsiTheme="minorEastAsia"/>
          <w:b/>
          <w:bCs/>
          <w:sz w:val="20"/>
          <w:lang w:eastAsia="zh-CN"/>
        </w:rPr>
      </w:pPr>
      <w:r>
        <w:rPr>
          <w:rFonts w:hint="eastAsia" w:ascii="仿宋_GB2312" w:eastAsia="仿宋_GB2312" w:cs="Times New Roman" w:hAnsiTheme="minorEastAsia"/>
          <w:b/>
          <w:sz w:val="20"/>
          <w:lang w:eastAsia="zh-CN"/>
        </w:rPr>
        <w:t>2.投资者在预约赎回期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开放期内未提起赎回申请的，投资者持有份额将自动进入下一个封闭期，依次循环直至产品到期；在预约赎回期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开放期内提起申请赎回交易的，将统一在开放期清算日进行确认。赎回份额确认日/产品到期日至资金到账日（不含）不计算活期存款利息。</w:t>
      </w:r>
    </w:p>
    <w:p w14:paraId="1462B672">
      <w:pPr>
        <w:pStyle w:val="3"/>
        <w:spacing w:before="0"/>
        <w:ind w:left="0" w:right="153" w:firstLine="201" w:firstLineChars="1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3.</w:t>
      </w:r>
      <w:r>
        <w:rPr>
          <w:rFonts w:ascii="仿宋_GB2312" w:eastAsia="仿宋_GB2312" w:cs="Times New Roman" w:hAnsiTheme="minorEastAsia"/>
          <w:b/>
          <w:bCs/>
          <w:sz w:val="20"/>
          <w:lang w:eastAsia="zh-CN"/>
        </w:rPr>
        <w:t>本期产品</w:t>
      </w:r>
      <w:r>
        <w:rPr>
          <w:rFonts w:hint="default" w:ascii="仿宋_GB2312" w:eastAsia="仿宋_GB2312" w:cs="Times New Roman" w:hAnsiTheme="minorEastAsia"/>
          <w:b/>
          <w:bCs/>
          <w:sz w:val="20"/>
          <w:lang w:val="en-US" w:eastAsia="zh-CN"/>
        </w:rPr>
        <w:t>封闭</w:t>
      </w:r>
      <w:r>
        <w:rPr>
          <w:rFonts w:ascii="仿宋_GB2312" w:eastAsia="仿宋_GB2312" w:cs="Times New Roman" w:hAnsiTheme="minorEastAsia"/>
          <w:b/>
          <w:bCs/>
          <w:sz w:val="20"/>
          <w:lang w:eastAsia="zh-CN"/>
        </w:rPr>
        <w:t>期间，不开放申购、赎回。</w:t>
      </w:r>
    </w:p>
    <w:p w14:paraId="5FA67997">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六</w:t>
      </w:r>
      <w:r>
        <w:rPr>
          <w:rFonts w:ascii="Times New Roman" w:hAnsi="黑体" w:eastAsia="黑体" w:cs="Times New Roman"/>
          <w:lang w:eastAsia="zh-CN"/>
        </w:rPr>
        <w:t>、产品资产估值</w:t>
      </w:r>
    </w:p>
    <w:p w14:paraId="45529C71">
      <w:pPr>
        <w:pStyle w:val="3"/>
        <w:spacing w:before="4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（一）资产估值范围</w:t>
      </w:r>
    </w:p>
    <w:p w14:paraId="738719D9">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1.本产品资产总值包括理财产品项下现金类资产、货币市场工具、货币市场基金、标准化固定收益类资产和其他符合监管要求的资产总和。</w:t>
      </w:r>
    </w:p>
    <w:p w14:paraId="4BAAE1E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2.产品资产估值的目的是客观、准确地反映资产价值，确定产品资产净值，并为产品份额的兑付提供计价依据。</w:t>
      </w:r>
    </w:p>
    <w:p w14:paraId="45EE6C93">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（二）资产估值方法</w:t>
      </w:r>
    </w:p>
    <w:p w14:paraId="01C69CDD">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估值日</w:t>
      </w:r>
    </w:p>
    <w:p w14:paraId="5BD196F0">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本理财产品成立后，产品管理人将于每个自然日进行估值。</w:t>
      </w:r>
    </w:p>
    <w:p w14:paraId="32497758">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估值方法</w:t>
      </w:r>
    </w:p>
    <w:p w14:paraId="7D2B8BC4">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4966DE39">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13087A4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7D9BC905">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14E5EFE9">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1AE449EB">
      <w:pPr>
        <w:pStyle w:val="3"/>
        <w:spacing w:before="0" w:beforeLines="0" w:after="0" w:afterLines="0" w:line="240" w:lineRule="auto"/>
        <w:ind w:left="0"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lang w:eastAsia="zh-CN" w:bidi="ar"/>
        </w:rPr>
        <w:t xml:space="preserve">债券回购以成本(含回购费用)列示,按回购利率在实际持有期间内逐日计提利息。 </w:t>
      </w:r>
    </w:p>
    <w:p w14:paraId="7DEF660E">
      <w:pPr>
        <w:pStyle w:val="3"/>
        <w:spacing w:before="0" w:beforeLines="0" w:after="0" w:afterLines="0" w:line="240" w:lineRule="auto"/>
        <w:ind w:left="0" w:right="153"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标准化固定收益类资产</w:t>
      </w:r>
    </w:p>
    <w:p w14:paraId="2D33E813">
      <w:pPr>
        <w:widowControl/>
        <w:spacing w:beforeLines="0" w:after="0" w:afterLines="0" w:line="240" w:lineRule="auto"/>
        <w:ind w:firstLine="400" w:firstLineChars="200"/>
        <w:jc w:val="both"/>
        <w:rPr>
          <w:rFonts w:hint="eastAsia"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sz w:val="20"/>
          <w:szCs w:val="20"/>
          <w:highlight w:val="none"/>
          <w:lang w:eastAsia="zh-CN" w:bidi="ar"/>
        </w:rPr>
        <w:t>银行间债券、资产支持证券等有价证券按中央国债登记结算有限责任公司（简称“中债登”） 公布的在估值日的估值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进行估值。若中债登对同一债券给出多个估值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，优先使用有“推荐”标注（若有）的</w:t>
      </w:r>
      <w:r>
        <w:rPr>
          <w:rFonts w:hint="eastAsia" w:ascii="仿宋_GB2312" w:hAnsi="仿宋_GB2312" w:eastAsia="仿宋_GB2312" w:cs="仿宋_GB2312"/>
          <w:sz w:val="20"/>
          <w:szCs w:val="20"/>
          <w:highlight w:val="none"/>
          <w:lang w:val="en-US" w:eastAsia="zh-CN" w:bidi="ar"/>
        </w:rPr>
        <w:t>估值数据</w:t>
      </w:r>
      <w:r>
        <w:rPr>
          <w:rFonts w:hint="eastAsia" w:ascii="仿宋_GB2312" w:hAnsi="仿宋_GB2312" w:eastAsia="仿宋_GB2312" w:cs="仿宋_GB2312"/>
          <w:color w:val="000000"/>
          <w:sz w:val="20"/>
          <w:szCs w:val="20"/>
          <w:highlight w:val="none"/>
          <w:lang w:eastAsia="zh-CN" w:bidi="ar"/>
        </w:rPr>
        <w:t xml:space="preserve">。其中对于含投资人回售权的标准化债权类资产，回售登记期截止日（含当日）后未行使回售权的按照长待偿期所对应的价格进行估值。未上市债券按成本估值。 </w:t>
      </w:r>
    </w:p>
    <w:p w14:paraId="0D3E6180">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交易所债券、资产支持证券等有价证券按中证指数有限公司公布的中证债券估值</w:t>
      </w:r>
      <w:r>
        <w:rPr>
          <w:rFonts w:hint="eastAsia" w:ascii="仿宋_GB2312" w:hAnsi="仿宋_GB2312" w:eastAsia="仿宋_GB2312" w:cs="仿宋_GB2312"/>
          <w:color w:val="000000"/>
          <w:sz w:val="20"/>
          <w:szCs w:val="20"/>
          <w:highlight w:val="none"/>
          <w:lang w:val="en-US" w:eastAsia="zh-CN" w:bidi="ar"/>
        </w:rPr>
        <w:t>数据</w:t>
      </w:r>
      <w:r>
        <w:rPr>
          <w:rFonts w:hint="eastAsia" w:ascii="仿宋_GB2312" w:hAnsi="仿宋_GB2312" w:eastAsia="仿宋_GB2312" w:cs="仿宋_GB2312"/>
          <w:color w:val="000000"/>
          <w:sz w:val="20"/>
          <w:szCs w:val="20"/>
          <w:highlight w:val="none"/>
          <w:lang w:eastAsia="zh-CN" w:bidi="ar"/>
        </w:rPr>
        <w:t>进行估值。</w:t>
      </w: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w:t>
      </w:r>
      <w:r>
        <w:rPr>
          <w:rFonts w:hint="eastAsia" w:ascii="仿宋_GB2312" w:hAnsi="仿宋_GB2312" w:eastAsia="仿宋_GB2312" w:cs="仿宋_GB2312"/>
          <w:color w:val="000000"/>
          <w:sz w:val="20"/>
          <w:szCs w:val="20"/>
          <w:highlight w:val="none"/>
          <w:lang w:eastAsia="zh-CN" w:bidi="ar"/>
        </w:rPr>
        <w:t>未上市债券按成本估值。</w:t>
      </w:r>
    </w:p>
    <w:p w14:paraId="31EB5B8F">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同一债券同时在两个或两个以上市场交易的，按债券所处的市场的估值方法分别估值。</w:t>
      </w:r>
    </w:p>
    <w:p w14:paraId="637E335A">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46DE159C">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ascii="仿宋_GB2312" w:eastAsia="仿宋_GB2312" w:cs="Times New Roman" w:hAnsiTheme="minorEastAsia"/>
          <w:sz w:val="20"/>
          <w:highlight w:val="none"/>
          <w:lang w:eastAsia="zh-CN"/>
        </w:rPr>
        <w:t>其它符合监管要求的资产，存在可以确定公允价值的，以公允价值估值；公允价值不能确定的，按取得时成本按摊余成本法估值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0CCE0B19">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43C90F8B">
      <w:pPr>
        <w:pStyle w:val="3"/>
        <w:spacing w:before="7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（三）估值错误的处理</w:t>
      </w:r>
    </w:p>
    <w:p w14:paraId="76DBD81C">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产品管理人和产品托管人将采取必要、适当</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5877640A">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（四）暂停估值</w:t>
      </w:r>
    </w:p>
    <w:p w14:paraId="1F3AA19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暂停估值/恢复估值时，贵阳农商银行将于</w:t>
      </w:r>
      <w:r>
        <w:rPr>
          <w:rFonts w:hint="eastAsia" w:ascii="仿宋_GB2312" w:eastAsia="仿宋_GB2312" w:cs="Times New Roman" w:hAnsiTheme="minorEastAsia"/>
          <w:sz w:val="20"/>
          <w:szCs w:val="18"/>
          <w:lang w:val="en-US" w:eastAsia="zh-CN"/>
        </w:rPr>
        <w:t>官方网站等渠道通知投资者。</w:t>
      </w:r>
    </w:p>
    <w:p w14:paraId="738D87E1">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七</w:t>
      </w:r>
      <w:r>
        <w:rPr>
          <w:rFonts w:ascii="Times New Roman" w:hAnsi="黑体" w:eastAsia="黑体" w:cs="Times New Roman"/>
          <w:lang w:eastAsia="zh-CN"/>
        </w:rPr>
        <w:t>、理财收益</w:t>
      </w:r>
      <w:r>
        <w:rPr>
          <w:rFonts w:hint="eastAsia" w:ascii="Times New Roman" w:hAnsi="黑体" w:eastAsia="黑体" w:cs="Times New Roman"/>
          <w:lang w:val="en-US" w:eastAsia="zh-CN"/>
        </w:rPr>
        <w:t>与</w:t>
      </w:r>
      <w:r>
        <w:rPr>
          <w:rFonts w:hint="eastAsia" w:ascii="Times New Roman" w:hAnsi="黑体" w:eastAsia="黑体" w:cs="Times New Roman"/>
          <w:highlight w:val="none"/>
          <w:lang w:val="en-US" w:eastAsia="zh-CN"/>
        </w:rPr>
        <w:t>费用、税收</w:t>
      </w:r>
      <w:r>
        <w:rPr>
          <w:rFonts w:ascii="Times New Roman" w:hAnsi="黑体" w:eastAsia="黑体" w:cs="Times New Roman"/>
          <w:lang w:eastAsia="zh-CN"/>
        </w:rPr>
        <w:t>说明</w:t>
      </w:r>
    </w:p>
    <w:p w14:paraId="4CE62187">
      <w:pPr>
        <w:pStyle w:val="3"/>
        <w:spacing w:before="0"/>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w:t>
      </w:r>
      <w:r>
        <w:rPr>
          <w:rFonts w:hint="eastAsia" w:ascii="仿宋_GB2312" w:eastAsia="仿宋_GB2312" w:cs="Times New Roman" w:hAnsiTheme="minorEastAsia"/>
          <w:b/>
          <w:sz w:val="20"/>
          <w:szCs w:val="20"/>
          <w:lang w:val="en-US" w:eastAsia="zh-CN"/>
        </w:rPr>
        <w:t>一</w:t>
      </w:r>
      <w:r>
        <w:rPr>
          <w:rFonts w:ascii="仿宋_GB2312" w:eastAsia="仿宋_GB2312" w:cs="Times New Roman" w:hAnsiTheme="minorEastAsia"/>
          <w:b/>
          <w:sz w:val="20"/>
          <w:szCs w:val="20"/>
          <w:lang w:eastAsia="zh-CN"/>
        </w:rPr>
        <w:t>）费用</w:t>
      </w:r>
    </w:p>
    <w:p w14:paraId="2158FCB9">
      <w:pPr>
        <w:pStyle w:val="3"/>
        <w:spacing w:before="0"/>
        <w:ind w:left="0" w:right="153" w:firstLine="402" w:firstLineChars="200"/>
        <w:jc w:val="both"/>
        <w:rPr>
          <w:rFonts w:hint="default"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1.</w:t>
      </w:r>
      <w:r>
        <w:rPr>
          <w:rFonts w:hint="eastAsia" w:ascii="仿宋_GB2312" w:eastAsia="仿宋_GB2312" w:cs="Times New Roman" w:hAnsiTheme="minorEastAsia"/>
          <w:b/>
          <w:bCs/>
          <w:sz w:val="20"/>
          <w:highlight w:val="none"/>
          <w:lang w:val="en-US" w:eastAsia="zh-CN"/>
        </w:rPr>
        <w:t>本产品产生以下费用：</w:t>
      </w:r>
    </w:p>
    <w:p w14:paraId="6BE3AD5C">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lang w:eastAsia="zh-CN"/>
        </w:rPr>
        <w:t>固定销售费：</w:t>
      </w:r>
      <w:r>
        <w:rPr>
          <w:rFonts w:ascii="仿宋_GB2312" w:eastAsia="仿宋_GB2312" w:cs="Times New Roman" w:hAnsiTheme="minorEastAsia"/>
          <w:sz w:val="20"/>
          <w:lang w:eastAsia="zh-CN"/>
        </w:rPr>
        <w:t>本产品销售费按前一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%年费率计提。S=E×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%÷当年天数，S为每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日应计提的销售费，E为前一</w:t>
      </w:r>
      <w:r>
        <w:rPr>
          <w:rFonts w:hint="eastAsia" w:ascii="仿宋_GB2312" w:eastAsia="仿宋_GB2312" w:cs="Times New Roman" w:hAnsiTheme="minorEastAsia"/>
          <w:sz w:val="20"/>
          <w:u w:val="none"/>
          <w:lang w:val="en-US" w:eastAsia="zh-CN"/>
        </w:rPr>
        <w:t>自然</w:t>
      </w:r>
      <w:r>
        <w:rPr>
          <w:rFonts w:ascii="仿宋_GB2312" w:eastAsia="仿宋_GB2312" w:cs="Times New Roman" w:hAnsiTheme="minorEastAsia"/>
          <w:sz w:val="20"/>
          <w:u w:val="none"/>
          <w:lang w:eastAsia="zh-CN"/>
        </w:rPr>
        <w:t>日产品资产净值（下同）</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p>
    <w:p w14:paraId="4FA58BD0">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固定管理费</w:t>
      </w:r>
      <w:r>
        <w:rPr>
          <w:rFonts w:ascii="仿宋_GB2312" w:eastAsia="仿宋_GB2312" w:cs="Times New Roman" w:hAnsiTheme="minorEastAsia"/>
          <w:sz w:val="20"/>
          <w:u w:val="none"/>
          <w:lang w:eastAsia="zh-CN"/>
        </w:rPr>
        <w:t>：本产品管理费按前一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%年费率计提。M=E×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%÷当年天数，M为每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日应计提的管理费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6369FBF3">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w:t>
      </w:r>
      <w:r>
        <w:rPr>
          <w:rFonts w:hint="eastAsia" w:ascii="仿宋_GB2312" w:eastAsia="仿宋_GB2312" w:cs="Times New Roman" w:hAnsiTheme="minorEastAsia"/>
          <w:b/>
          <w:bCs/>
          <w:sz w:val="20"/>
          <w:u w:val="none"/>
          <w:lang w:val="en-US" w:eastAsia="zh-CN"/>
        </w:rPr>
        <w:t>托管</w:t>
      </w:r>
      <w:r>
        <w:rPr>
          <w:rFonts w:ascii="仿宋_GB2312" w:eastAsia="仿宋_GB2312" w:cs="Times New Roman" w:hAnsiTheme="minorEastAsia"/>
          <w:b/>
          <w:bCs/>
          <w:sz w:val="20"/>
          <w:u w:val="none"/>
          <w:lang w:eastAsia="zh-CN"/>
        </w:rPr>
        <w:t>费</w:t>
      </w:r>
      <w:r>
        <w:rPr>
          <w:rFonts w:ascii="仿宋_GB2312" w:eastAsia="仿宋_GB2312" w:cs="Times New Roman" w:hAnsiTheme="minorEastAsia"/>
          <w:sz w:val="20"/>
          <w:u w:val="none"/>
          <w:lang w:eastAsia="zh-CN"/>
        </w:rPr>
        <w:t>：本产品</w:t>
      </w:r>
      <w:r>
        <w:rPr>
          <w:rFonts w:hint="eastAsia" w:ascii="仿宋_GB2312" w:eastAsia="仿宋_GB2312" w:cs="Times New Roman" w:hAnsiTheme="minorEastAsia"/>
          <w:sz w:val="20"/>
          <w:u w:val="none"/>
          <w:lang w:val="en-US" w:eastAsia="zh-CN"/>
        </w:rPr>
        <w:t>托管费</w:t>
      </w:r>
      <w:r>
        <w:rPr>
          <w:rFonts w:ascii="仿宋_GB2312" w:eastAsia="仿宋_GB2312" w:cs="Times New Roman" w:hAnsiTheme="minorEastAsia"/>
          <w:sz w:val="20"/>
          <w:u w:val="none"/>
          <w:lang w:eastAsia="zh-CN"/>
        </w:rPr>
        <w:t>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%年费率计提。</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=E×</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%÷当年天数，</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w:t>
      </w:r>
      <w:r>
        <w:rPr>
          <w:rFonts w:hint="eastAsia" w:ascii="仿宋_GB2312" w:eastAsia="仿宋_GB2312" w:cs="Times New Roman" w:hAnsiTheme="minorEastAsia"/>
          <w:sz w:val="20"/>
          <w:u w:val="none"/>
          <w:lang w:val="en-US" w:eastAsia="zh-CN"/>
        </w:rPr>
        <w:t>托管</w:t>
      </w:r>
      <w:r>
        <w:rPr>
          <w:rFonts w:ascii="仿宋_GB2312" w:eastAsia="仿宋_GB2312" w:cs="Times New Roman" w:hAnsiTheme="minorEastAsia"/>
          <w:sz w:val="20"/>
          <w:u w:val="none"/>
          <w:lang w:eastAsia="zh-CN"/>
        </w:rPr>
        <w:t>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4D0C479D">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lang w:eastAsia="zh-CN"/>
        </w:rPr>
        <w:t>超额业绩报酬：</w:t>
      </w:r>
      <w:r>
        <w:rPr>
          <w:rFonts w:hint="eastAsia" w:ascii="仿宋_GB2312" w:eastAsia="仿宋_GB2312" w:cs="Times New Roman" w:hAnsiTheme="minorEastAsia"/>
          <w:sz w:val="20"/>
          <w:lang w:eastAsia="zh-CN"/>
        </w:rPr>
        <w:t>本产品</w:t>
      </w:r>
      <w:r>
        <w:rPr>
          <w:rFonts w:hint="eastAsia" w:ascii="仿宋_GB2312" w:eastAsia="仿宋_GB2312" w:cs="Times New Roman" w:hAnsiTheme="minorEastAsia"/>
          <w:sz w:val="20"/>
          <w:lang w:val="en-US" w:eastAsia="zh-CN"/>
        </w:rPr>
        <w:t>设定</w:t>
      </w:r>
      <w:r>
        <w:rPr>
          <w:rFonts w:hint="eastAsia" w:ascii="仿宋_GB2312" w:eastAsia="仿宋_GB2312" w:cs="Times New Roman" w:hAnsiTheme="minorEastAsia"/>
          <w:sz w:val="20"/>
          <w:lang w:eastAsia="zh-CN"/>
        </w:rPr>
        <w:t>业绩比较基准，产品年化收益率超过</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区间的最低值时，产品管理人有权收取超额业绩报酬，但固定管理费与超额业绩报酬合计最高不超过产品总投资收益的</w:t>
      </w:r>
      <w:r>
        <w:rPr>
          <w:rFonts w:hint="eastAsia" w:ascii="仿宋_GB2312" w:eastAsia="仿宋_GB2312" w:cs="Times New Roman" w:hAnsiTheme="minorEastAsia"/>
          <w:b/>
          <w:bCs/>
          <w:sz w:val="20"/>
          <w:lang w:val="en-US" w:eastAsia="zh-CN"/>
        </w:rPr>
        <w:t>30</w:t>
      </w:r>
      <w:r>
        <w:rPr>
          <w:rFonts w:hint="eastAsia" w:ascii="仿宋_GB2312" w:eastAsia="仿宋_GB2312" w:cs="Times New Roman" w:hAnsiTheme="minorEastAsia"/>
          <w:sz w:val="20"/>
          <w:lang w:eastAsia="zh-CN"/>
        </w:rPr>
        <w:t>%。</w:t>
      </w:r>
    </w:p>
    <w:p w14:paraId="61AFC564">
      <w:pPr>
        <w:pStyle w:val="3"/>
        <w:spacing w:before="0"/>
        <w:ind w:left="0" w:right="153" w:firstLine="402"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b/>
          <w:bCs/>
          <w:sz w:val="20"/>
          <w:lang w:eastAsia="zh-CN"/>
        </w:rPr>
        <w:t>超额业绩报酬计算方法</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产品年化收益率&gt;产品说明书展示的业绩比较基准区间最低值时</w:t>
      </w:r>
      <w:r>
        <w:rPr>
          <w:rFonts w:hint="eastAsia" w:ascii="仿宋_GB2312" w:hAnsi="仿宋_GB2312" w:eastAsia="仿宋_GB2312" w:cs="仿宋_GB2312"/>
          <w:sz w:val="20"/>
          <w:lang w:eastAsia="zh-CN"/>
        </w:rPr>
        <w:t>，产品管理人的超额业绩报酬</w:t>
      </w:r>
      <w:r>
        <w:rPr>
          <w:rFonts w:hint="eastAsia" w:ascii="仿宋_GB2312" w:eastAsia="仿宋_GB2312" w:cs="Times New Roman" w:hAnsiTheme="minorEastAsia"/>
          <w:sz w:val="20"/>
          <w:lang w:eastAsia="zh-CN"/>
        </w:rPr>
        <w:t>=（产品总投资收益-固定销售费-固定管理费-固定托管费-</w:t>
      </w:r>
      <w:r>
        <w:rPr>
          <w:rFonts w:hint="eastAsia" w:ascii="仿宋_GB2312" w:eastAsia="仿宋_GB2312" w:cs="Times New Roman" w:hAnsiTheme="minorEastAsia"/>
          <w:sz w:val="20"/>
          <w:lang w:val="en-US" w:eastAsia="zh-CN"/>
        </w:rPr>
        <w:t>其他相关费用</w:t>
      </w:r>
      <w:r>
        <w:rPr>
          <w:rFonts w:hint="eastAsia" w:ascii="仿宋_GB2312" w:eastAsia="仿宋_GB2312" w:cs="Times New Roman" w:hAnsiTheme="minorEastAsia"/>
          <w:sz w:val="20"/>
          <w:lang w:eastAsia="zh-CN"/>
        </w:rPr>
        <w:t>（如有）-</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区间最低值计算出的收益）</w:t>
      </w:r>
      <w:r>
        <w:rPr>
          <w:rFonts w:hint="eastAsia" w:ascii="仿宋_GB2312" w:hAnsi="仿宋_GB2312" w:eastAsia="仿宋_GB2312" w:cs="仿宋_GB2312"/>
          <w:sz w:val="20"/>
          <w:highlight w:val="none"/>
          <w:lang w:eastAsia="zh-CN"/>
        </w:rPr>
        <w:t>×</w:t>
      </w:r>
      <w:r>
        <w:rPr>
          <w:rFonts w:hint="eastAsia" w:ascii="仿宋_GB2312" w:eastAsia="仿宋_GB2312" w:cs="Times New Roman" w:hAnsiTheme="minorEastAsia"/>
          <w:b/>
          <w:bCs/>
          <w:sz w:val="20"/>
          <w:u w:val="none"/>
          <w:lang w:val="en-US" w:eastAsia="zh-CN"/>
        </w:rPr>
        <w:t>70</w:t>
      </w:r>
      <w:r>
        <w:rPr>
          <w:rFonts w:hint="eastAsia" w:ascii="仿宋_GB2312" w:eastAsia="仿宋_GB2312" w:cs="Times New Roman" w:hAnsiTheme="minorEastAsia"/>
          <w:sz w:val="20"/>
          <w:lang w:eastAsia="zh-CN"/>
        </w:rPr>
        <w:t>%。</w:t>
      </w:r>
    </w:p>
    <w:p w14:paraId="69BCFC58">
      <w:pPr>
        <w:pStyle w:val="3"/>
        <w:numPr>
          <w:ilvl w:val="-1"/>
          <w:numId w:val="0"/>
        </w:numPr>
        <w:spacing w:before="0"/>
        <w:ind w:left="0" w:leftChars="0" w:right="153" w:firstLine="400" w:firstLineChars="20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清算</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0E307983">
      <w:pPr>
        <w:pStyle w:val="3"/>
        <w:numPr>
          <w:ilvl w:val="-1"/>
          <w:numId w:val="0"/>
        </w:numPr>
        <w:spacing w:before="0"/>
        <w:ind w:left="440" w:leftChars="200" w:right="153" w:firstLine="0" w:firstLineChars="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（5）其他相关费用</w:t>
      </w:r>
    </w:p>
    <w:p w14:paraId="2CEA5043">
      <w:pPr>
        <w:pStyle w:val="3"/>
        <w:spacing w:before="0"/>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29F3FA73">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4E976DAB">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permStart w:id="1" w:edGrp="everyone"/>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permEnd w:id="1"/>
      <w:r>
        <w:rPr>
          <w:rFonts w:ascii="仿宋_GB2312" w:eastAsia="仿宋_GB2312" w:cs="Times New Roman" w:hAnsiTheme="minorEastAsia"/>
          <w:b/>
          <w:bCs/>
          <w:sz w:val="20"/>
          <w:highlight w:val="none"/>
          <w:lang w:eastAsia="zh-CN"/>
        </w:rPr>
        <w:t>/年、固定托管费</w:t>
      </w:r>
      <w:permStart w:id="2" w:edGrp="everyone"/>
      <w:r>
        <w:rPr>
          <w:rFonts w:hint="eastAsia" w:ascii="仿宋_GB2312" w:eastAsia="仿宋_GB2312" w:cs="Times New Roman" w:hAnsiTheme="minorEastAsia"/>
          <w:b/>
          <w:bCs/>
          <w:sz w:val="20"/>
          <w:u w:val="none"/>
          <w:lang w:val="en-US" w:eastAsia="zh-CN"/>
        </w:rPr>
        <w:t>0.01</w:t>
      </w:r>
      <w:r>
        <w:rPr>
          <w:rFonts w:hint="eastAsia" w:ascii="仿宋_GB2312" w:hAnsi="仿宋_GB2312" w:eastAsia="仿宋_GB2312" w:cs="仿宋_GB2312"/>
          <w:b/>
          <w:bCs/>
          <w:sz w:val="20"/>
          <w:highlight w:val="none"/>
          <w:lang w:eastAsia="zh-CN"/>
        </w:rPr>
        <w:t>%</w:t>
      </w:r>
      <w:permEnd w:id="2"/>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02100AF1">
      <w:pPr>
        <w:pStyle w:val="3"/>
        <w:spacing w:before="0"/>
        <w:ind w:left="0" w:right="153" w:firstLine="402" w:firstLineChars="200"/>
        <w:jc w:val="both"/>
        <w:rPr>
          <w:rFonts w:ascii="仿宋_GB2312" w:eastAsia="仿宋_GB2312" w:cs="Times New Roman" w:hAnsiTheme="minorEastAsia"/>
          <w:b/>
          <w:color w:val="auto"/>
          <w:sz w:val="20"/>
          <w:szCs w:val="20"/>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w:t>
      </w:r>
      <w:r>
        <w:rPr>
          <w:rFonts w:hint="eastAsia" w:ascii="仿宋_GB2312" w:eastAsia="仿宋_GB2312" w:cs="Times New Roman" w:hAnsiTheme="minorEastAsia"/>
          <w:b/>
          <w:bCs/>
          <w:sz w:val="20"/>
          <w:highlight w:val="none"/>
          <w:lang w:eastAsia="zh-CN"/>
        </w:rPr>
        <w:t>的基准和</w:t>
      </w:r>
      <w:r>
        <w:rPr>
          <w:rFonts w:ascii="仿宋_GB2312" w:eastAsia="仿宋_GB2312" w:cs="Times New Roman" w:hAnsiTheme="minorEastAsia"/>
          <w:b/>
          <w:bCs/>
          <w:sz w:val="20"/>
          <w:highlight w:val="none"/>
          <w:lang w:eastAsia="zh-CN"/>
        </w:rPr>
        <w:t>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01607E25">
      <w:pPr>
        <w:pStyle w:val="3"/>
        <w:spacing w:before="0"/>
        <w:ind w:left="0" w:right="151" w:firstLine="402" w:firstLineChars="200"/>
        <w:jc w:val="both"/>
        <w:rPr>
          <w:rFonts w:ascii="仿宋_GB2312" w:hAnsi="Times New Roman" w:eastAsia="仿宋_GB2312" w:cs="Times New Roman"/>
          <w:b/>
          <w:color w:val="auto"/>
          <w:sz w:val="20"/>
          <w:szCs w:val="20"/>
          <w:lang w:eastAsia="zh-CN"/>
        </w:rPr>
      </w:pP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val="en-US" w:eastAsia="zh-CN"/>
        </w:rPr>
        <w:t>二</w:t>
      </w: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eastAsia="zh-CN"/>
        </w:rPr>
        <w:t>投资者</w:t>
      </w:r>
      <w:r>
        <w:rPr>
          <w:rFonts w:ascii="仿宋_GB2312" w:eastAsia="仿宋_GB2312" w:cs="Times New Roman" w:hAnsiTheme="minorEastAsia"/>
          <w:b/>
          <w:color w:val="auto"/>
          <w:sz w:val="20"/>
          <w:szCs w:val="20"/>
          <w:lang w:eastAsia="zh-CN"/>
        </w:rPr>
        <w:t>收益</w:t>
      </w:r>
    </w:p>
    <w:p w14:paraId="5D937BF5">
      <w:pPr>
        <w:pStyle w:val="3"/>
        <w:spacing w:before="0" w:beforeLines="0" w:afterLines="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lang w:val="en-US" w:eastAsia="zh-CN"/>
        </w:rPr>
        <w:t>和其他相关费用</w:t>
      </w:r>
      <w:r>
        <w:rPr>
          <w:rFonts w:hint="eastAsia" w:ascii="仿宋_GB2312" w:hAnsi="仿宋_GB2312" w:eastAsia="仿宋_GB2312" w:cs="仿宋_GB2312"/>
          <w:color w:val="auto"/>
          <w:sz w:val="20"/>
          <w:szCs w:val="20"/>
          <w:lang w:eastAsia="zh-CN"/>
        </w:rPr>
        <w:t>等全部费用后的收益</w:t>
      </w:r>
      <w:r>
        <w:rPr>
          <w:rFonts w:hint="eastAsia" w:ascii="仿宋_GB2312" w:hAnsi="仿宋_GB2312" w:eastAsia="仿宋_GB2312" w:cs="仿宋_GB2312"/>
          <w:bCs/>
          <w:color w:val="auto"/>
          <w:sz w:val="20"/>
          <w:szCs w:val="20"/>
          <w:lang w:eastAsia="zh-CN"/>
        </w:rPr>
        <w:t>。</w:t>
      </w:r>
      <w:r>
        <w:rPr>
          <w:rFonts w:hint="eastAsia" w:ascii="仿宋_GB2312" w:hAnsi="仿宋_GB2312" w:eastAsia="仿宋_GB2312" w:cs="仿宋_GB2312"/>
          <w:color w:val="auto"/>
          <w:sz w:val="20"/>
          <w:szCs w:val="20"/>
          <w:lang w:eastAsia="zh-CN"/>
        </w:rPr>
        <w:t>本产品运作期间，投资者按份额赎回所持有的理财产品，赎回金额按净值计算，</w:t>
      </w:r>
      <w:r>
        <w:rPr>
          <w:rFonts w:hint="eastAsia" w:ascii="仿宋_GB2312" w:hAnsi="仿宋_GB2312" w:eastAsia="仿宋_GB2312" w:cs="仿宋_GB2312"/>
          <w:color w:val="auto"/>
          <w:sz w:val="20"/>
          <w:szCs w:val="20"/>
          <w:lang w:val="en-US" w:eastAsia="zh-CN"/>
        </w:rPr>
        <w:t>投资者可得资金计算公式如下：</w:t>
      </w:r>
    </w:p>
    <w:p w14:paraId="44739273">
      <w:pPr>
        <w:pStyle w:val="3"/>
        <w:spacing w:before="0" w:beforeLines="0" w:afterLines="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投资者可得资金</w:t>
      </w:r>
      <w:r>
        <w:rPr>
          <w:rFonts w:hint="eastAsia" w:ascii="仿宋_GB2312" w:hAnsi="仿宋_GB2312" w:eastAsia="仿宋_GB2312" w:cs="仿宋_GB2312"/>
          <w:color w:val="auto"/>
          <w:sz w:val="20"/>
          <w:szCs w:val="20"/>
          <w:lang w:eastAsia="zh-CN"/>
        </w:rPr>
        <w:t>=赎回份额</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开放期清算日前一</w:t>
      </w:r>
      <w:r>
        <w:rPr>
          <w:rFonts w:hint="eastAsia" w:ascii="仿宋_GB2312" w:hAnsi="仿宋_GB2312" w:eastAsia="仿宋_GB2312" w:cs="仿宋_GB2312"/>
          <w:color w:val="auto"/>
          <w:sz w:val="20"/>
          <w:szCs w:val="20"/>
          <w:lang w:val="en-US" w:eastAsia="zh-CN"/>
        </w:rPr>
        <w:t>个</w:t>
      </w:r>
      <w:r>
        <w:rPr>
          <w:rFonts w:hint="eastAsia" w:ascii="仿宋_GB2312" w:hAnsi="仿宋_GB2312" w:eastAsia="仿宋_GB2312" w:cs="仿宋_GB2312"/>
          <w:color w:val="auto"/>
          <w:sz w:val="20"/>
          <w:szCs w:val="20"/>
          <w:lang w:eastAsia="zh-CN"/>
        </w:rPr>
        <w:t>工作日产品净值</w:t>
      </w:r>
    </w:p>
    <w:p w14:paraId="0BAB21DE">
      <w:pPr>
        <w:pStyle w:val="3"/>
        <w:spacing w:before="0"/>
        <w:ind w:left="0" w:right="153" w:firstLine="402" w:firstLineChars="200"/>
        <w:jc w:val="both"/>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b/>
          <w:bCs/>
          <w:color w:val="auto"/>
          <w:sz w:val="20"/>
          <w:szCs w:val="20"/>
          <w:lang w:val="en-US" w:eastAsia="zh-CN"/>
        </w:rPr>
        <w:t>计算</w:t>
      </w:r>
      <w:r>
        <w:rPr>
          <w:rFonts w:hint="eastAsia" w:ascii="仿宋_GB2312" w:hAnsi="仿宋_GB2312" w:eastAsia="仿宋_GB2312" w:cs="仿宋_GB2312"/>
          <w:b/>
          <w:bCs/>
          <w:color w:val="auto"/>
          <w:sz w:val="20"/>
          <w:szCs w:val="20"/>
          <w:lang w:eastAsia="zh-CN"/>
        </w:rPr>
        <w:t>示例</w:t>
      </w:r>
    </w:p>
    <w:p w14:paraId="3BEF65B2">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情景1</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份，开放期内投资者赎回全部持有的份额，赎回时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净值为1.0630</w:t>
      </w:r>
      <w:r>
        <w:rPr>
          <w:rFonts w:hint="eastAsia" w:ascii="仿宋_GB2312" w:hAnsi="仿宋_GB2312" w:eastAsia="仿宋_GB2312" w:cs="仿宋_GB2312"/>
          <w:color w:val="auto"/>
          <w:sz w:val="20"/>
          <w:szCs w:val="20"/>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489058CC">
      <w:pPr>
        <w:pStyle w:val="3"/>
        <w:spacing w:before="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1.0630=106,300.00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元</w:t>
      </w:r>
      <w:r>
        <w:rPr>
          <w:rFonts w:hint="eastAsia" w:ascii="仿宋_GB2312" w:hAnsi="仿宋_GB2312" w:eastAsia="仿宋_GB2312" w:cs="仿宋_GB2312"/>
          <w:color w:val="auto"/>
          <w:sz w:val="20"/>
          <w:szCs w:val="20"/>
          <w:lang w:val="en-US" w:eastAsia="zh-CN"/>
        </w:rPr>
        <w:t>）</w:t>
      </w:r>
    </w:p>
    <w:p w14:paraId="38F4E50E">
      <w:pPr>
        <w:pStyle w:val="3"/>
        <w:spacing w:before="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=6,300.00（元）</w:t>
      </w:r>
    </w:p>
    <w:p w14:paraId="664D5303">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情景2</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份，开放期内投资者全部赎回期持有的份额，赎回时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b/>
          <w:bCs/>
          <w:sz w:val="20"/>
          <w:highlight w:val="none"/>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021F0D51">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可</w:t>
      </w:r>
      <w:r>
        <w:rPr>
          <w:rFonts w:hint="eastAsia" w:ascii="仿宋_GB2312" w:hAnsi="仿宋_GB2312" w:eastAsia="仿宋_GB2312" w:cs="仿宋_GB2312"/>
          <w:sz w:val="20"/>
          <w:highlight w:val="none"/>
          <w:lang w:eastAsia="zh-CN"/>
        </w:rPr>
        <w:t>得资金=100,000.00×0.9800=98,000.00（元）</w:t>
      </w:r>
    </w:p>
    <w:p w14:paraId="3318DB31">
      <w:pPr>
        <w:pStyle w:val="3"/>
        <w:spacing w:before="0"/>
        <w:ind w:left="0" w:right="153" w:firstLine="400"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10996E67">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sz w:val="20"/>
          <w:szCs w:val="20"/>
          <w:lang w:eastAsia="zh-CN"/>
        </w:rPr>
        <w:t>上述示例采用假设数据计算，</w:t>
      </w:r>
      <w:r>
        <w:rPr>
          <w:rFonts w:hint="eastAsia" w:ascii="仿宋_GB2312" w:hAnsi="仿宋_GB2312" w:eastAsia="仿宋_GB2312" w:cs="仿宋_GB2312"/>
          <w:b/>
          <w:bCs/>
          <w:sz w:val="20"/>
          <w:szCs w:val="20"/>
          <w:lang w:val="en-US" w:eastAsia="zh-CN"/>
        </w:rPr>
        <w:t>仅作为告知投资者公式计算方法使用，但</w:t>
      </w:r>
      <w:r>
        <w:rPr>
          <w:rFonts w:hint="eastAsia" w:ascii="仿宋_GB2312" w:hAnsi="仿宋_GB2312" w:eastAsia="仿宋_GB2312" w:cs="仿宋_GB2312"/>
          <w:b/>
          <w:bCs/>
          <w:sz w:val="20"/>
          <w:szCs w:val="20"/>
          <w:lang w:eastAsia="zh-CN"/>
        </w:rPr>
        <w:t>测算收益不等于实际收益，实际收益以</w:t>
      </w:r>
      <w:r>
        <w:rPr>
          <w:rFonts w:hint="eastAsia" w:ascii="仿宋_GB2312" w:hAnsi="仿宋_GB2312" w:eastAsia="仿宋_GB2312" w:cs="仿宋_GB2312"/>
          <w:b/>
          <w:bCs/>
          <w:sz w:val="20"/>
          <w:szCs w:val="20"/>
          <w:lang w:val="en-US" w:eastAsia="zh-CN"/>
        </w:rPr>
        <w:t>兑付</w:t>
      </w:r>
      <w:r>
        <w:rPr>
          <w:rFonts w:hint="eastAsia" w:ascii="仿宋_GB2312" w:hAnsi="仿宋_GB2312" w:eastAsia="仿宋_GB2312" w:cs="仿宋_GB2312"/>
          <w:b/>
          <w:bCs/>
          <w:sz w:val="20"/>
          <w:szCs w:val="20"/>
          <w:lang w:eastAsia="zh-CN"/>
        </w:rPr>
        <w:t>为准，投资须谨慎；如发生最不利情况，投资者将损失全部本金。</w:t>
      </w:r>
    </w:p>
    <w:p w14:paraId="25EE36B0">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w:t>
      </w:r>
      <w:r>
        <w:rPr>
          <w:rFonts w:hint="default" w:ascii="仿宋_GB2312" w:eastAsia="仿宋_GB2312" w:cs="Times New Roman" w:hAnsiTheme="minorEastAsia"/>
          <w:b/>
          <w:bCs/>
          <w:color w:val="auto"/>
          <w:sz w:val="20"/>
          <w:szCs w:val="18"/>
          <w:highlight w:val="none"/>
          <w:lang w:eastAsia="zh-CN"/>
        </w:rPr>
        <w:t>或赎回</w:t>
      </w:r>
      <w:r>
        <w:rPr>
          <w:rFonts w:hint="eastAsia" w:ascii="仿宋_GB2312" w:hAnsi="仿宋_GB2312" w:eastAsia="仿宋_GB2312" w:cs="仿宋_GB2312"/>
          <w:b/>
          <w:bCs/>
          <w:color w:val="auto"/>
          <w:sz w:val="20"/>
          <w:szCs w:val="18"/>
          <w:highlight w:val="none"/>
          <w:lang w:eastAsia="zh-CN"/>
        </w:rPr>
        <w:t>时产品管理人实际支付的收益为准。产品历史业绩不代表其未来表现，不等于理财产品实际收益，更不构成本产品业绩表现的保证，投资须谨慎。</w:t>
      </w:r>
    </w:p>
    <w:p w14:paraId="6CF64297">
      <w:pPr>
        <w:pStyle w:val="3"/>
        <w:spacing w:before="0"/>
        <w:ind w:left="0" w:right="153" w:firstLine="402" w:firstLineChars="200"/>
        <w:jc w:val="both"/>
        <w:rPr>
          <w:rFonts w:ascii="仿宋_GB2312" w:hAnsi="仿宋_GB2312" w:eastAsia="仿宋_GB2312" w:cs="仿宋_GB2312"/>
          <w:b/>
          <w:sz w:val="20"/>
          <w:szCs w:val="20"/>
          <w:lang w:eastAsia="zh-CN"/>
        </w:rPr>
      </w:pPr>
      <w:r>
        <w:rPr>
          <w:rFonts w:hint="eastAsia" w:ascii="仿宋_GB2312" w:hAnsi="仿宋_GB2312" w:eastAsia="仿宋_GB2312" w:cs="仿宋_GB2312"/>
          <w:b/>
          <w:sz w:val="20"/>
          <w:szCs w:val="20"/>
          <w:lang w:eastAsia="zh-CN"/>
        </w:rPr>
        <w:t>（</w:t>
      </w:r>
      <w:r>
        <w:rPr>
          <w:rFonts w:hint="eastAsia" w:ascii="仿宋_GB2312" w:hAnsi="仿宋_GB2312" w:eastAsia="仿宋_GB2312" w:cs="仿宋_GB2312"/>
          <w:b/>
          <w:sz w:val="20"/>
          <w:szCs w:val="20"/>
          <w:lang w:val="en-US" w:eastAsia="zh-CN"/>
        </w:rPr>
        <w:t>三</w:t>
      </w:r>
      <w:r>
        <w:rPr>
          <w:rFonts w:hint="eastAsia" w:ascii="仿宋_GB2312" w:hAnsi="仿宋_GB2312" w:eastAsia="仿宋_GB2312" w:cs="仿宋_GB2312"/>
          <w:b/>
          <w:sz w:val="20"/>
          <w:szCs w:val="20"/>
          <w:lang w:eastAsia="zh-CN"/>
        </w:rPr>
        <w:t>）税收</w:t>
      </w:r>
    </w:p>
    <w:p w14:paraId="1CA9AF51">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1545EB52">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八</w:t>
      </w:r>
      <w:r>
        <w:rPr>
          <w:rFonts w:ascii="Times New Roman" w:hAnsi="黑体" w:eastAsia="黑体" w:cs="Times New Roman"/>
          <w:lang w:eastAsia="zh-CN"/>
        </w:rPr>
        <w:t>、提前终止</w:t>
      </w:r>
    </w:p>
    <w:p w14:paraId="1EA16ABA">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一</w:t>
      </w: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eastAsia="zh-CN"/>
        </w:rPr>
        <w:t>投资者在产品开放期内可对理财产品进行赎回，除正常赎回外，投资者无权提前终止该产品。</w:t>
      </w:r>
    </w:p>
    <w:p w14:paraId="52492733">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szCs w:val="18"/>
          <w:lang w:val="en-US" w:eastAsia="zh-CN"/>
        </w:rPr>
        <w:t>通过贵阳农商银行官方网站等渠道公布，</w:t>
      </w:r>
      <w:r>
        <w:rPr>
          <w:rFonts w:ascii="仿宋_GB2312" w:eastAsia="仿宋_GB2312" w:cs="Times New Roman" w:hAnsiTheme="minorEastAsia"/>
          <w:b/>
          <w:sz w:val="20"/>
          <w:lang w:eastAsia="zh-CN"/>
        </w:rPr>
        <w:t>并在提前终止日后</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个工作日内</w:t>
      </w:r>
      <w:r>
        <w:rPr>
          <w:rFonts w:hint="eastAsia" w:ascii="仿宋_GB2312" w:eastAsia="仿宋_GB2312" w:cs="Times New Roman" w:hAnsiTheme="minorEastAsia"/>
          <w:b/>
          <w:sz w:val="20"/>
          <w:lang w:val="en-US" w:eastAsia="zh-CN"/>
        </w:rPr>
        <w:t>将投资者理财资金划转至</w:t>
      </w:r>
      <w:r>
        <w:rPr>
          <w:rFonts w:hint="eastAsia" w:ascii="仿宋_GB2312" w:eastAsia="仿宋_GB2312" w:cs="Times New Roman" w:hAnsiTheme="minorEastAsia"/>
          <w:b/>
          <w:sz w:val="20"/>
          <w:lang w:eastAsia="zh-CN"/>
        </w:rPr>
        <w:t>投资者</w:t>
      </w:r>
      <w:r>
        <w:rPr>
          <w:rFonts w:hint="eastAsia" w:ascii="仿宋_GB2312" w:eastAsia="仿宋_GB2312" w:cs="Times New Roman" w:hAnsiTheme="minorEastAsia"/>
          <w:b/>
          <w:sz w:val="20"/>
          <w:lang w:val="en-US" w:eastAsia="zh-CN"/>
        </w:rPr>
        <w:t>认购/申购账户</w:t>
      </w:r>
      <w:r>
        <w:rPr>
          <w:rFonts w:ascii="仿宋_GB2312" w:eastAsia="仿宋_GB2312" w:cs="Times New Roman" w:hAnsiTheme="minorEastAsia"/>
          <w:b/>
          <w:sz w:val="20"/>
          <w:lang w:eastAsia="zh-CN"/>
        </w:rPr>
        <w:t>。终止日至资金实际到账日之间，</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资金</w:t>
      </w:r>
      <w:r>
        <w:rPr>
          <w:rFonts w:ascii="仿宋_GB2312" w:eastAsia="仿宋_GB2312" w:cs="Times New Roman" w:hAnsiTheme="minorEastAsia"/>
          <w:b/>
          <w:sz w:val="20"/>
          <w:u w:val="none"/>
          <w:lang w:eastAsia="zh-CN"/>
        </w:rPr>
        <w:t>不计息</w:t>
      </w:r>
      <w:r>
        <w:rPr>
          <w:rFonts w:ascii="仿宋_GB2312" w:eastAsia="仿宋_GB2312" w:cs="Times New Roman" w:hAnsiTheme="minorEastAsia"/>
          <w:b/>
          <w:sz w:val="20"/>
          <w:lang w:eastAsia="zh-CN"/>
        </w:rPr>
        <w:t>。</w:t>
      </w:r>
    </w:p>
    <w:p w14:paraId="6186A3C3">
      <w:pPr>
        <w:pStyle w:val="3"/>
        <w:spacing w:before="0"/>
        <w:ind w:left="0" w:right="151" w:firstLine="402" w:firstLineChars="200"/>
        <w:jc w:val="both"/>
        <w:rPr>
          <w:rFonts w:ascii="仿宋_GB2312" w:hAnsi="Times New Roman" w:eastAsia="仿宋_GB2312" w:cs="Times New Roman"/>
          <w:bCs/>
          <w:sz w:val="20"/>
          <w:lang w:eastAsia="zh-CN"/>
        </w:rPr>
      </w:pP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三）</w:t>
      </w:r>
      <w:r>
        <w:rPr>
          <w:rFonts w:ascii="仿宋_GB2312" w:eastAsia="仿宋_GB2312" w:cs="Times New Roman" w:hAnsiTheme="minorEastAsia"/>
          <w:b/>
          <w:bCs w:val="0"/>
          <w:sz w:val="20"/>
          <w:lang w:eastAsia="zh-CN"/>
        </w:rPr>
        <w:t>贵阳农商银行提前终止本期产品的情形包括但不限于：</w:t>
      </w:r>
    </w:p>
    <w:p w14:paraId="331758CC">
      <w:pPr>
        <w:pStyle w:val="3"/>
        <w:spacing w:before="0"/>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lang w:eastAsia="zh-CN"/>
        </w:rPr>
        <w:t>1.</w:t>
      </w:r>
      <w:r>
        <w:rPr>
          <w:rFonts w:hint="eastAsia" w:ascii="仿宋_GB2312" w:eastAsia="仿宋_GB2312" w:cs="Times New Roman" w:hAnsiTheme="minorEastAsia"/>
          <w:sz w:val="20"/>
          <w:lang w:val="en-US" w:eastAsia="zh-CN"/>
        </w:rPr>
        <w:t>产品存续规模低于</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lang w:val="en-US" w:eastAsia="zh-CN"/>
        </w:rPr>
        <w:t>万元，产品可提前终止；</w:t>
      </w:r>
    </w:p>
    <w:p w14:paraId="40F8277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2.因不可抗力原因导致理财产品无法继续运作；                                   </w:t>
      </w:r>
    </w:p>
    <w:p w14:paraId="30DC0E2C">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3.遇有市场剧烈波动、异常风险事件等情形导致理财产品净值出现大幅波动或严重影响理财产品的资产安全；                                                            </w:t>
      </w:r>
    </w:p>
    <w:p w14:paraId="71A53CD1">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4.</w:t>
      </w:r>
      <w:r>
        <w:rPr>
          <w:rFonts w:hint="eastAsia" w:ascii="仿宋_GB2312" w:eastAsia="仿宋_GB2312" w:cs="Times New Roman" w:hAnsiTheme="minorEastAsia"/>
          <w:sz w:val="20"/>
          <w:lang w:val="en-US" w:eastAsia="zh-CN"/>
        </w:rPr>
        <w:t>因投资者赎回导致理财产品剩余资产无法满足相关法律法规规定、</w:t>
      </w:r>
      <w:r>
        <w:rPr>
          <w:rFonts w:hint="eastAsia" w:ascii="仿宋_GB2312" w:eastAsia="仿宋_GB2312" w:cs="Times New Roman" w:hAnsiTheme="minorEastAsia"/>
          <w:sz w:val="20"/>
          <w:lang w:eastAsia="zh-CN"/>
        </w:rPr>
        <w:t>所投资市场要求或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协议等相关法律文件约定，或者继续存续无法实现投资目标；</w:t>
      </w:r>
    </w:p>
    <w:p w14:paraId="5800C52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5.因相关投资管理机构解散、破产、撤销、被取消业务资格等原因无法继续履行相应职责导致产品无法继续运作；</w:t>
      </w:r>
    </w:p>
    <w:p w14:paraId="14F9128C">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6.相关投资管理机构或运用理财资金的第三方主体实施符合法律法规规定或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协议等相关法律文件约定的行为导致理财产品被动提前终止；</w:t>
      </w:r>
    </w:p>
    <w:p w14:paraId="7C9AB97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7.因法律法规变化或国家金融政策调整、紧急措施出台影响产品继续正常运作；</w:t>
      </w:r>
    </w:p>
    <w:p w14:paraId="3681809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8.法律法规规定或监管部门认定的其他情形。</w:t>
      </w:r>
    </w:p>
    <w:p w14:paraId="116BBC79">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四</w:t>
      </w:r>
      <w:r>
        <w:rPr>
          <w:rFonts w:ascii="仿宋_GB2312" w:eastAsia="仿宋_GB2312" w:cs="Times New Roman" w:hAnsiTheme="minorEastAsia"/>
          <w:b/>
          <w:sz w:val="20"/>
          <w:lang w:eastAsia="zh-CN"/>
        </w:rPr>
        <w:t>）提前终止时收益计算示例</w:t>
      </w:r>
    </w:p>
    <w:p w14:paraId="636733CB">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假设</w:t>
      </w:r>
      <w:r>
        <w:rPr>
          <w:rFonts w:hint="eastAsia" w:ascii="仿宋_GB2312" w:hAnsi="仿宋_GB2312" w:eastAsia="仿宋_GB2312" w:cs="仿宋_GB2312"/>
          <w:color w:val="auto"/>
          <w:sz w:val="20"/>
          <w:szCs w:val="20"/>
          <w:highlight w:val="none"/>
          <w:lang w:val="en-US" w:eastAsia="zh-CN"/>
        </w:rPr>
        <w:t>投资者在产品提前终止日</w:t>
      </w:r>
      <w:r>
        <w:rPr>
          <w:rFonts w:ascii="仿宋_GB2312" w:eastAsia="仿宋_GB2312" w:cs="Times New Roman" w:hAnsiTheme="minorEastAsia"/>
          <w:sz w:val="20"/>
          <w:lang w:eastAsia="zh-CN"/>
        </w:rPr>
        <w:t>持有份额100,000.00份，产品</w:t>
      </w:r>
      <w:r>
        <w:rPr>
          <w:rFonts w:hint="eastAsia" w:ascii="仿宋_GB2312" w:eastAsia="仿宋_GB2312" w:cs="Times New Roman" w:hAnsiTheme="minorEastAsia"/>
          <w:sz w:val="20"/>
          <w:lang w:eastAsia="zh-CN"/>
        </w:rPr>
        <w:t>提前</w:t>
      </w:r>
      <w:r>
        <w:rPr>
          <w:rFonts w:ascii="仿宋_GB2312" w:eastAsia="仿宋_GB2312" w:cs="Times New Roman" w:hAnsiTheme="minorEastAsia"/>
          <w:sz w:val="20"/>
          <w:lang w:eastAsia="zh-CN"/>
        </w:rPr>
        <w:t>终止日单位净值1.0565元/份。则在提前终止日，</w:t>
      </w: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可得资金为</w:t>
      </w:r>
      <w:r>
        <w:rPr>
          <w:rFonts w:ascii="仿宋_GB2312" w:eastAsia="仿宋_GB2312" w:cs="Times New Roman" w:hAnsiTheme="minorEastAsia"/>
          <w:sz w:val="20"/>
          <w:lang w:eastAsia="zh-CN"/>
        </w:rPr>
        <w:t>：</w:t>
      </w:r>
    </w:p>
    <w:p w14:paraId="4EE4EFC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w:t>
      </w:r>
      <w:r>
        <w:rPr>
          <w:rFonts w:ascii="仿宋_GB2312" w:eastAsia="仿宋_GB2312" w:cs="Times New Roman" w:hAnsiTheme="minorEastAsia"/>
          <w:sz w:val="20"/>
          <w:lang w:eastAsia="zh-CN"/>
        </w:rPr>
        <w:t>＝100,000.00×1.0565=105,650.00（元）</w:t>
      </w:r>
    </w:p>
    <w:p w14:paraId="711F2A84">
      <w:pPr>
        <w:pStyle w:val="3"/>
        <w:spacing w:before="0"/>
        <w:ind w:left="0" w:right="151" w:firstLine="390" w:firstLineChars="200"/>
        <w:jc w:val="both"/>
        <w:rPr>
          <w:rFonts w:ascii="Times New Roman" w:hAnsi="Times New Roman" w:cs="Times New Roman" w:eastAsiaTheme="minorEastAsia"/>
          <w:lang w:eastAsia="zh-CN"/>
        </w:rPr>
      </w:pPr>
      <w:r>
        <w:rPr>
          <w:rFonts w:hint="eastAsia" w:ascii="仿宋_GB2312" w:eastAsia="仿宋_GB2312" w:cs="Times New Roman" w:hAnsiTheme="minorEastAsia"/>
          <w:b/>
          <w:bCs/>
          <w:spacing w:val="-3"/>
          <w:sz w:val="20"/>
          <w:lang w:eastAsia="zh-CN"/>
        </w:rPr>
        <w:t>上述示例采用假设数据计算，仅作为告知投资者公式计算方法使用，但测算收益不等于实际收益，实际收益以兑付为准，投资须谨慎；如发生最不利情况，投资者将损失全部本金。</w:t>
      </w:r>
    </w:p>
    <w:p w14:paraId="69B443D5">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九</w:t>
      </w:r>
      <w:r>
        <w:rPr>
          <w:rFonts w:ascii="Times New Roman" w:hAnsi="黑体" w:eastAsia="黑体" w:cs="Times New Roman"/>
          <w:lang w:eastAsia="zh-CN"/>
        </w:rPr>
        <w:t>、理财产品到期兑付</w:t>
      </w:r>
    </w:p>
    <w:p w14:paraId="05618343">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（一）正常兑付</w:t>
      </w:r>
    </w:p>
    <w:p w14:paraId="0E3C98F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可得</w:t>
      </w:r>
      <w:r>
        <w:rPr>
          <w:rFonts w:hint="eastAsia" w:ascii="仿宋_GB2312" w:eastAsia="仿宋_GB2312" w:cs="Times New Roman" w:hAnsiTheme="minorEastAsia"/>
          <w:sz w:val="20"/>
          <w:highlight w:val="none"/>
          <w:lang w:eastAsia="zh-CN"/>
        </w:rPr>
        <w:t>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eastAsia="zh-CN"/>
        </w:rPr>
        <w:t>投资者认</w:t>
      </w:r>
      <w:r>
        <w:rPr>
          <w:rFonts w:hint="default" w:ascii="仿宋_GB2312" w:eastAsia="仿宋_GB2312" w:cs="Times New Roman" w:hAnsiTheme="minorEastAsia"/>
          <w:sz w:val="20"/>
          <w:lang w:eastAsia="zh-CN"/>
        </w:rPr>
        <w:t>购</w:t>
      </w:r>
      <w:r>
        <w:rPr>
          <w:rFonts w:hint="default"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账户</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到期日至资金到账日之间</w:t>
      </w:r>
      <w:r>
        <w:rPr>
          <w:rFonts w:hint="eastAsia" w:ascii="仿宋_GB2312" w:eastAsia="仿宋_GB2312" w:cs="Times New Roman" w:hAnsiTheme="minorEastAsia"/>
          <w:sz w:val="20"/>
          <w:highlight w:val="none"/>
          <w:u w:val="none"/>
          <w:lang w:val="en-US" w:eastAsia="zh-CN"/>
        </w:rPr>
        <w:t>不计息</w:t>
      </w:r>
      <w:r>
        <w:rPr>
          <w:rFonts w:ascii="仿宋_GB2312" w:eastAsia="仿宋_GB2312" w:cs="Times New Roman" w:hAnsiTheme="minorEastAsia"/>
          <w:sz w:val="20"/>
          <w:highlight w:val="none"/>
          <w:lang w:eastAsia="zh-CN"/>
        </w:rPr>
        <w:t>。</w:t>
      </w:r>
    </w:p>
    <w:p w14:paraId="4C0C5F57">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）展期</w:t>
      </w:r>
    </w:p>
    <w:p w14:paraId="5298F9D6">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产品到期前，贵阳农商银行根据市场和产品运行情况等，有权利决定是否延长产品期限。如贵阳农商银行决定延长产品期限，将至少于产品到期日</w:t>
      </w:r>
      <w:r>
        <w:rPr>
          <w:rFonts w:ascii="仿宋_GB2312" w:eastAsia="仿宋_GB2312" w:cs="Times New Roman" w:hAnsiTheme="minorEastAsia"/>
          <w:sz w:val="20"/>
          <w:highlight w:val="none"/>
          <w:lang w:eastAsia="zh-CN"/>
        </w:rPr>
        <w:t>之前</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w:t>
      </w:r>
      <w:r>
        <w:rPr>
          <w:rFonts w:hint="default" w:ascii="仿宋_GB2312" w:eastAsia="仿宋_GB2312" w:cs="Times New Roman" w:hAnsiTheme="minorEastAsia"/>
          <w:b w:val="0"/>
          <w:bCs w:val="0"/>
          <w:sz w:val="20"/>
          <w:szCs w:val="18"/>
          <w:lang w:val="en-US" w:eastAsia="zh-CN"/>
        </w:rPr>
        <w:t>过贵阳农商银行官方网站等渠道</w:t>
      </w:r>
      <w:r>
        <w:rPr>
          <w:rFonts w:hint="eastAsia" w:ascii="仿宋_GB2312" w:eastAsia="仿宋_GB2312" w:cs="Times New Roman" w:hAnsiTheme="minorEastAsia"/>
          <w:b w:val="0"/>
          <w:bCs w:val="0"/>
          <w:sz w:val="20"/>
          <w:szCs w:val="18"/>
          <w:lang w:val="en-US" w:eastAsia="zh-CN"/>
        </w:rPr>
        <w:t>公布</w:t>
      </w:r>
      <w:r>
        <w:rPr>
          <w:rFonts w:ascii="仿宋_GB2312" w:eastAsia="仿宋_GB2312" w:cs="Times New Roman" w:hAnsiTheme="minorEastAsia"/>
          <w:sz w:val="20"/>
          <w:lang w:eastAsia="zh-CN"/>
        </w:rPr>
        <w:t>延长后的产品期限及到期日等信息。</w:t>
      </w:r>
    </w:p>
    <w:p w14:paraId="306A40FD">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三</w:t>
      </w:r>
      <w:r>
        <w:rPr>
          <w:rFonts w:ascii="仿宋_GB2312" w:eastAsia="仿宋_GB2312" w:cs="Times New Roman" w:hAnsiTheme="minorEastAsia"/>
          <w:b/>
          <w:sz w:val="20"/>
          <w:lang w:eastAsia="zh-CN"/>
        </w:rPr>
        <w:t>）非正常情况</w:t>
      </w:r>
      <w:r>
        <w:rPr>
          <w:rFonts w:hint="eastAsia" w:ascii="仿宋_GB2312" w:eastAsia="仿宋_GB2312" w:cs="Times New Roman" w:hAnsiTheme="minorEastAsia"/>
          <w:b/>
          <w:sz w:val="20"/>
          <w:lang w:eastAsia="zh-CN"/>
        </w:rPr>
        <w:t>兑付</w:t>
      </w:r>
    </w:p>
    <w:p w14:paraId="30634D87">
      <w:pPr>
        <w:pStyle w:val="3"/>
        <w:spacing w:before="0" w:beforeLines="0" w:afterLines="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lang w:eastAsia="zh-CN"/>
        </w:rPr>
        <w:t>，造成本产品的基础资产无法及时、足额</w:t>
      </w:r>
      <w:r>
        <w:rPr>
          <w:rFonts w:hint="eastAsia" w:ascii="仿宋_GB2312" w:eastAsia="仿宋_GB2312" w:cs="Times New Roman" w:hAnsiTheme="minorEastAsia"/>
          <w:sz w:val="20"/>
          <w:lang w:eastAsia="zh-CN"/>
        </w:rPr>
        <w:t>变现</w:t>
      </w:r>
      <w:r>
        <w:rPr>
          <w:rFonts w:ascii="仿宋_GB2312" w:eastAsia="仿宋_GB2312" w:cs="Times New Roman" w:hAnsiTheme="minorEastAsia"/>
          <w:sz w:val="20"/>
          <w:lang w:eastAsia="zh-CN"/>
        </w:rPr>
        <w:t>，贵阳农商银行</w:t>
      </w:r>
      <w:r>
        <w:rPr>
          <w:rFonts w:hint="eastAsia" w:ascii="仿宋_GB2312" w:eastAsia="仿宋_GB2312" w:cs="Times New Roman" w:hAnsiTheme="minorEastAsia"/>
          <w:sz w:val="20"/>
          <w:lang w:val="en-US" w:eastAsia="zh-CN"/>
        </w:rPr>
        <w:t>有权</w:t>
      </w:r>
      <w:r>
        <w:rPr>
          <w:rFonts w:ascii="仿宋_GB2312" w:eastAsia="仿宋_GB2312" w:cs="Times New Roman" w:hAnsiTheme="minorEastAsia"/>
          <w:sz w:val="20"/>
          <w:lang w:eastAsia="zh-CN"/>
        </w:rPr>
        <w:t>根据实际情况</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决定</w:t>
      </w:r>
      <w:r>
        <w:rPr>
          <w:rFonts w:hint="eastAsia" w:ascii="仿宋_GB2312" w:eastAsia="仿宋_GB2312" w:cs="Times New Roman" w:hAnsiTheme="minorEastAsia"/>
          <w:sz w:val="20"/>
          <w:lang w:val="en-US" w:eastAsia="zh-CN"/>
        </w:rPr>
        <w:t>采取</w:t>
      </w:r>
      <w:r>
        <w:rPr>
          <w:rFonts w:ascii="仿宋_GB2312" w:eastAsia="仿宋_GB2312" w:cs="Times New Roman" w:hAnsiTheme="minorEastAsia"/>
          <w:sz w:val="20"/>
          <w:lang w:eastAsia="zh-CN"/>
        </w:rPr>
        <w:t>提前兑付、</w:t>
      </w:r>
      <w:r>
        <w:rPr>
          <w:rFonts w:hint="eastAsia" w:ascii="仿宋_GB2312" w:eastAsia="仿宋_GB2312" w:cs="Times New Roman" w:hAnsiTheme="minorEastAsia"/>
          <w:sz w:val="20"/>
          <w:lang w:val="en-US" w:eastAsia="zh-CN"/>
        </w:rPr>
        <w:t>延期</w:t>
      </w:r>
      <w:r>
        <w:rPr>
          <w:rFonts w:ascii="仿宋_GB2312" w:eastAsia="仿宋_GB2312" w:cs="Times New Roman" w:hAnsiTheme="minorEastAsia"/>
          <w:sz w:val="20"/>
          <w:lang w:eastAsia="zh-CN"/>
        </w:rPr>
        <w:t>兑付或者分次兑付</w:t>
      </w:r>
      <w:r>
        <w:rPr>
          <w:rFonts w:hint="eastAsia" w:ascii="仿宋_GB2312" w:eastAsia="仿宋_GB2312" w:cs="Times New Roman" w:hAnsiTheme="minorEastAsia"/>
          <w:sz w:val="20"/>
          <w:highlight w:val="none"/>
          <w:lang w:val="en-US" w:eastAsia="zh-CN"/>
        </w:rPr>
        <w:t>等方式向投资者进行兑付，并于具体实施</w:t>
      </w:r>
      <w:r>
        <w:rPr>
          <w:rFonts w:hint="eastAsia" w:ascii="仿宋_GB2312" w:eastAsia="仿宋_GB2312" w:cs="Times New Roman" w:hAnsiTheme="minorEastAsia"/>
          <w:sz w:val="20"/>
          <w:highlight w:val="none"/>
          <w:lang w:eastAsia="zh-CN"/>
        </w:rPr>
        <w:t>前的</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个工作日通过贵阳农商银行官方网站等渠道</w:t>
      </w:r>
      <w:r>
        <w:rPr>
          <w:rFonts w:hint="eastAsia" w:ascii="仿宋_GB2312" w:eastAsia="仿宋_GB2312" w:cs="Times New Roman" w:hAnsiTheme="minorEastAsia"/>
          <w:sz w:val="20"/>
          <w:highlight w:val="none"/>
          <w:lang w:eastAsia="zh-CN"/>
        </w:rPr>
        <w:t>公布</w:t>
      </w:r>
      <w:r>
        <w:rPr>
          <w:rFonts w:ascii="仿宋_GB2312" w:eastAsia="仿宋_GB2312" w:cs="Times New Roman" w:hAnsiTheme="minorEastAsia"/>
          <w:sz w:val="20"/>
          <w:highlight w:val="none"/>
          <w:lang w:eastAsia="zh-CN"/>
        </w:rPr>
        <w:t>。</w:t>
      </w:r>
    </w:p>
    <w:p w14:paraId="2A4A276A">
      <w:pPr>
        <w:pStyle w:val="12"/>
        <w:spacing w:line="236" w:lineRule="auto"/>
        <w:ind w:left="0" w:right="153"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十</w:t>
      </w:r>
      <w:r>
        <w:rPr>
          <w:rFonts w:ascii="Times New Roman" w:hAnsi="黑体" w:eastAsia="黑体" w:cs="Times New Roman"/>
          <w:lang w:eastAsia="zh-CN"/>
        </w:rPr>
        <w:t>、信息披露</w:t>
      </w:r>
    </w:p>
    <w:p w14:paraId="46D9F75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641841A9">
      <w:pPr>
        <w:pStyle w:val="3"/>
        <w:keepNext w:val="0"/>
        <w:keepLines w:val="0"/>
        <w:pageBreakBefore w:val="0"/>
        <w:widowControl w:val="0"/>
        <w:kinsoku/>
        <w:wordWrap w:val="0"/>
        <w:overflowPunct/>
        <w:topLinePunct w:val="0"/>
        <w:autoSpaceDE/>
        <w:autoSpaceDN/>
        <w:bidi w:val="0"/>
        <w:adjustRightInd/>
        <w:snapToGrid/>
        <w:spacing w:before="0" w:line="240" w:lineRule="auto"/>
        <w:ind w:left="0" w:right="153" w:firstLine="400" w:firstLineChars="200"/>
        <w:jc w:val="left"/>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eastAsia="仿宋_GB2312" w:cs="Times New Roman" w:hAnsiTheme="minorEastAsia"/>
          <w:sz w:val="20"/>
          <w:lang w:val="en-US" w:eastAsia="zh-CN"/>
        </w:rPr>
        <w:t xml:space="preserve"> </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75416A33">
      <w:pPr>
        <w:pStyle w:val="3"/>
        <w:numPr>
          <w:ilvl w:val="-1"/>
          <w:numId w:val="0"/>
        </w:numPr>
        <w:spacing w:before="0" w:line="236" w:lineRule="auto"/>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69910207">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7161D8F1">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5478EC64">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3559C8C5">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456E7AE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42744483">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441B0776">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0CF816A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33B2A12B">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7BF24A3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三</w:t>
      </w:r>
      <w:r>
        <w:rPr>
          <w:rFonts w:hint="eastAsia" w:ascii="仿宋_GB2312" w:eastAsia="仿宋_GB2312" w:cs="Times New Roman" w:hAnsiTheme="minorEastAsia"/>
          <w:spacing w:val="-2"/>
          <w:sz w:val="20"/>
          <w:lang w:eastAsia="zh-CN"/>
        </w:rPr>
        <w:t>）信息披露的责任</w:t>
      </w:r>
    </w:p>
    <w:p w14:paraId="2BCFAEF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1.</w:t>
      </w:r>
      <w:r>
        <w:rPr>
          <w:rFonts w:hint="eastAsia" w:ascii="仿宋_GB2312" w:eastAsia="仿宋_GB2312" w:cs="Times New Roman" w:hAnsiTheme="minorEastAsia"/>
          <w:spacing w:val="-2"/>
          <w:sz w:val="20"/>
          <w:lang w:eastAsia="zh-CN"/>
        </w:rPr>
        <w:t>贵阳农村商业银行股份有限公司</w:t>
      </w:r>
    </w:p>
    <w:p w14:paraId="7001799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根据《中华人民共和国消费者权益保护法》《中国人民银行金融消费者权益保护实施办法》 </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lang w:eastAsia="zh-CN"/>
        </w:rPr>
        <w:t>《商业银行理财业务监督管理办法》</w:t>
      </w:r>
      <w:r>
        <w:rPr>
          <w:rFonts w:hint="eastAsia" w:ascii="仿宋_GB2312" w:eastAsia="仿宋_GB2312" w:cs="Times New Roman" w:hAnsiTheme="minorEastAsia"/>
          <w:sz w:val="20"/>
          <w:lang w:val="en-US" w:eastAsia="zh-CN"/>
        </w:rPr>
        <w:t>等</w:t>
      </w:r>
      <w:r>
        <w:rPr>
          <w:rFonts w:hint="eastAsia" w:ascii="仿宋_GB2312" w:eastAsia="仿宋_GB2312" w:cs="Times New Roman" w:hAnsiTheme="minorEastAsia"/>
          <w:sz w:val="20"/>
          <w:lang w:eastAsia="zh-CN"/>
        </w:rPr>
        <w:t>的要求，主动、真实、准确、完整、及时地向理财投资者提供理财产品信息披露服务。</w:t>
      </w:r>
    </w:p>
    <w:p w14:paraId="00A7069D">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2.</w:t>
      </w:r>
      <w:r>
        <w:rPr>
          <w:rFonts w:hint="eastAsia" w:ascii="仿宋_GB2312" w:eastAsia="仿宋_GB2312" w:cs="Times New Roman" w:hAnsiTheme="minorEastAsia"/>
          <w:spacing w:val="-2"/>
          <w:sz w:val="20"/>
          <w:lang w:eastAsia="zh-CN"/>
        </w:rPr>
        <w:t>投资者</w:t>
      </w:r>
    </w:p>
    <w:p w14:paraId="41620685">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投资者应定期通过相关披露渠道获知有关本理财产品相关信息。</w:t>
      </w:r>
    </w:p>
    <w:p w14:paraId="3AB286E6">
      <w:pPr>
        <w:pStyle w:val="3"/>
        <w:spacing w:before="0" w:line="236" w:lineRule="auto"/>
        <w:ind w:left="0" w:right="151" w:firstLine="394" w:firstLineChars="200"/>
        <w:jc w:val="both"/>
        <w:rPr>
          <w:rFonts w:ascii="仿宋_GB2312" w:hAnsi="Times New Roman" w:eastAsia="仿宋_GB2312" w:cs="Times New Roman"/>
          <w:sz w:val="20"/>
          <w:lang w:eastAsia="zh-CN"/>
        </w:rPr>
      </w:pPr>
      <w:r>
        <w:rPr>
          <w:rFonts w:hint="eastAsia" w:ascii="仿宋_GB2312" w:eastAsia="仿宋_GB2312" w:cs="Times New Roman" w:hAnsiTheme="minorEastAsia"/>
          <w:b/>
          <w:spacing w:val="-2"/>
          <w:sz w:val="20"/>
          <w:lang w:eastAsia="zh-CN"/>
        </w:rPr>
        <w:t>（</w:t>
      </w:r>
      <w:r>
        <w:rPr>
          <w:rFonts w:hint="eastAsia" w:ascii="仿宋_GB2312" w:eastAsia="仿宋_GB2312" w:cs="Times New Roman" w:hAnsiTheme="minorEastAsia"/>
          <w:b/>
          <w:spacing w:val="-2"/>
          <w:sz w:val="20"/>
          <w:lang w:val="en-US" w:eastAsia="zh-CN"/>
        </w:rPr>
        <w:t>四</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同意，贵阳农商银行通过</w:t>
      </w:r>
      <w:r>
        <w:rPr>
          <w:rFonts w:hint="eastAsia" w:ascii="仿宋_GB2312" w:eastAsia="仿宋_GB2312" w:cs="Times New Roman" w:hAnsiTheme="minorEastAsia"/>
          <w:b/>
          <w:spacing w:val="-2"/>
          <w:sz w:val="20"/>
          <w:lang w:eastAsia="zh-CN"/>
        </w:rPr>
        <w:t>相关</w:t>
      </w:r>
      <w:r>
        <w:rPr>
          <w:rFonts w:ascii="仿宋_GB2312" w:eastAsia="仿宋_GB2312" w:cs="Times New Roman" w:hAnsiTheme="minorEastAsia"/>
          <w:b/>
          <w:spacing w:val="-2"/>
          <w:sz w:val="20"/>
          <w:lang w:eastAsia="zh-CN"/>
        </w:rPr>
        <w:t>披露</w:t>
      </w:r>
      <w:r>
        <w:rPr>
          <w:rFonts w:hint="eastAsia" w:ascii="仿宋_GB2312" w:eastAsia="仿宋_GB2312" w:cs="Times New Roman" w:hAnsiTheme="minorEastAsia"/>
          <w:b/>
          <w:spacing w:val="-2"/>
          <w:sz w:val="20"/>
          <w:lang w:eastAsia="zh-CN"/>
        </w:rPr>
        <w:t>渠道</w:t>
      </w:r>
      <w:r>
        <w:rPr>
          <w:rFonts w:ascii="仿宋_GB2312" w:eastAsia="仿宋_GB2312" w:cs="Times New Roman" w:hAnsiTheme="minorEastAsia"/>
          <w:b/>
          <w:spacing w:val="-2"/>
          <w:sz w:val="20"/>
          <w:lang w:eastAsia="zh-CN"/>
        </w:rPr>
        <w:t>进行信息披露，如果</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未及时查询，或由于通讯故障、</w:t>
      </w:r>
      <w:r>
        <w:rPr>
          <w:rFonts w:ascii="仿宋_GB2312" w:eastAsia="仿宋_GB2312" w:cs="Times New Roman" w:hAnsiTheme="minorEastAsia"/>
          <w:b/>
          <w:sz w:val="20"/>
          <w:lang w:eastAsia="zh-CN"/>
        </w:rPr>
        <w:t>系统故障以及其他不可抗力等因素的影响使得</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无法及时了解产品信息，</w:t>
      </w:r>
      <w:r>
        <w:rPr>
          <w:rFonts w:hint="eastAsia" w:ascii="仿宋_GB2312" w:eastAsia="仿宋_GB2312" w:cs="Times New Roman" w:hAnsiTheme="minorEastAsia"/>
          <w:b/>
          <w:sz w:val="20"/>
          <w:lang w:val="en-US" w:eastAsia="zh-CN"/>
        </w:rPr>
        <w:t>可能导致投资者产生风险，此类风险</w:t>
      </w:r>
      <w:r>
        <w:rPr>
          <w:rFonts w:ascii="仿宋_GB2312" w:eastAsia="仿宋_GB2312" w:cs="Times New Roman" w:hAnsiTheme="minorEastAsia"/>
          <w:b/>
          <w:sz w:val="20"/>
          <w:lang w:eastAsia="zh-CN"/>
        </w:rPr>
        <w:t>包括但不限于因</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未及时获知信息而错过资金使用和再投资的机会等，</w:t>
      </w:r>
      <w:r>
        <w:rPr>
          <w:rFonts w:hint="eastAsia" w:ascii="仿宋_GB2312" w:eastAsia="仿宋_GB2312" w:cs="Times New Roman" w:hAnsiTheme="minorEastAsia"/>
          <w:b/>
          <w:sz w:val="20"/>
          <w:lang w:val="en-US" w:eastAsia="zh-CN"/>
        </w:rPr>
        <w:t>由此产生的风险及损失（如有）</w:t>
      </w:r>
      <w:r>
        <w:rPr>
          <w:rFonts w:ascii="仿宋_GB2312" w:eastAsia="仿宋_GB2312" w:cs="Times New Roman" w:hAnsiTheme="minorEastAsia"/>
          <w:b/>
          <w:sz w:val="20"/>
          <w:lang w:eastAsia="zh-CN"/>
        </w:rPr>
        <w:t>由</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自行承担。</w:t>
      </w:r>
    </w:p>
    <w:p w14:paraId="23083855">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五</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贵阳农商银行为</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提供本产品相关信息查询。本产品存续期内，</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可凭本人身份证件和《贵阳农商银行理财产品协议》在贵阳农商银行</w:t>
      </w:r>
      <w:r>
        <w:rPr>
          <w:rFonts w:hint="eastAsia" w:ascii="仿宋_GB2312" w:eastAsia="仿宋_GB2312" w:cs="Times New Roman" w:hAnsiTheme="minorEastAsia"/>
          <w:sz w:val="20"/>
          <w:lang w:val="en-US" w:eastAsia="zh-CN"/>
        </w:rPr>
        <w:t>任一</w:t>
      </w:r>
      <w:r>
        <w:rPr>
          <w:rFonts w:ascii="仿宋_GB2312" w:eastAsia="仿宋_GB2312" w:cs="Times New Roman" w:hAnsiTheme="minorEastAsia"/>
          <w:sz w:val="20"/>
          <w:lang w:eastAsia="zh-CN"/>
        </w:rPr>
        <w:t>营业网点查询相关信息。</w:t>
      </w:r>
    </w:p>
    <w:p w14:paraId="5ACFF69B">
      <w:pPr>
        <w:pStyle w:val="12"/>
        <w:spacing w:line="236" w:lineRule="auto"/>
        <w:ind w:left="0" w:right="151" w:firstLine="480" w:firstLineChars="200"/>
        <w:jc w:val="both"/>
        <w:rPr>
          <w:rFonts w:ascii="Times New Roman" w:hAnsi="黑体" w:eastAsia="黑体" w:cs="Times New Roman"/>
          <w:lang w:eastAsia="zh-CN"/>
        </w:rPr>
      </w:pPr>
      <w:r>
        <w:rPr>
          <w:rFonts w:hint="eastAsia" w:ascii="Times New Roman" w:hAnsi="黑体" w:eastAsia="黑体" w:cs="Times New Roman"/>
          <w:lang w:eastAsia="zh-CN"/>
        </w:rPr>
        <w:t>十</w:t>
      </w:r>
      <w:r>
        <w:rPr>
          <w:rFonts w:hint="eastAsia" w:ascii="Times New Roman" w:hAnsi="黑体" w:eastAsia="黑体" w:cs="Times New Roman"/>
          <w:lang w:val="en-US" w:eastAsia="zh-CN"/>
        </w:rPr>
        <w:t>一</w:t>
      </w:r>
      <w:r>
        <w:rPr>
          <w:rFonts w:hint="eastAsia" w:ascii="Times New Roman" w:hAnsi="黑体" w:eastAsia="黑体" w:cs="Times New Roman"/>
          <w:lang w:eastAsia="zh-CN"/>
        </w:rPr>
        <w:t>、</w:t>
      </w:r>
      <w:r>
        <w:rPr>
          <w:rFonts w:hint="eastAsia" w:ascii="Times New Roman" w:hAnsi="黑体" w:eastAsia="黑体" w:cs="Times New Roman"/>
          <w:b/>
          <w:bCs/>
          <w:lang w:eastAsia="zh-CN"/>
        </w:rPr>
        <w:t>保密义务</w:t>
      </w:r>
    </w:p>
    <w:p w14:paraId="658BB12A">
      <w:pPr>
        <w:pStyle w:val="3"/>
        <w:spacing w:line="236" w:lineRule="auto"/>
        <w:ind w:left="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lang w:val="en-US" w:eastAsia="zh-CN"/>
        </w:rPr>
        <w:t>和监管要求</w:t>
      </w:r>
      <w:r>
        <w:rPr>
          <w:rFonts w:hint="eastAsia" w:ascii="仿宋_GB2312" w:eastAsia="仿宋_GB2312" w:cs="Times New Roman" w:hAnsiTheme="minorEastAsia"/>
          <w:sz w:val="20"/>
          <w:lang w:eastAsia="zh-CN"/>
        </w:rPr>
        <w:t>，向</w:t>
      </w:r>
      <w:r>
        <w:rPr>
          <w:rFonts w:hint="eastAsia" w:ascii="仿宋_GB2312" w:eastAsia="仿宋_GB2312" w:cs="Times New Roman" w:hAnsiTheme="minorEastAsia"/>
          <w:sz w:val="20"/>
          <w:lang w:val="en-US" w:eastAsia="zh-CN"/>
        </w:rPr>
        <w:t>托管机构、</w:t>
      </w:r>
      <w:r>
        <w:rPr>
          <w:rFonts w:hint="eastAsia" w:ascii="仿宋_GB2312" w:eastAsia="仿宋_GB2312" w:cs="Times New Roman" w:hAnsiTheme="minorEastAsia"/>
          <w:sz w:val="20"/>
          <w:lang w:eastAsia="zh-CN"/>
        </w:rPr>
        <w:t>银行业理财登记托管中心有限公司及监管机构提供投资者身份信息及理财产品持有信息等相关信息。</w:t>
      </w:r>
    </w:p>
    <w:p w14:paraId="42FDB020">
      <w:pPr>
        <w:pStyle w:val="3"/>
        <w:spacing w:before="0" w:beforeLines="0" w:after="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二</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4710FC1B">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7A36F80B">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w:t>
      </w:r>
      <w:r>
        <w:rPr>
          <w:rFonts w:hint="eastAsia" w:ascii="仿宋_GB2312" w:eastAsia="仿宋_GB2312" w:cs="Times New Roman" w:hAnsiTheme="minorEastAsia"/>
          <w:b/>
          <w:bCs/>
          <w:color w:val="auto"/>
          <w:sz w:val="20"/>
          <w:highlight w:val="none"/>
          <w:lang w:val="en-US" w:eastAsia="zh-CN"/>
        </w:rPr>
        <w:t>申）购申请、赎回申请</w:t>
      </w:r>
      <w:r>
        <w:rPr>
          <w:rFonts w:hint="eastAsia" w:ascii="仿宋_GB2312" w:eastAsia="仿宋_GB2312" w:cs="Times New Roman" w:hAnsiTheme="minorEastAsia"/>
          <w:b/>
          <w:bCs/>
          <w:color w:val="auto"/>
          <w:sz w:val="20"/>
          <w:highlight w:val="none"/>
          <w:lang w:eastAsia="zh-CN"/>
        </w:rPr>
        <w:t>等各类申请信息，开户确认、认（</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确认、</w:t>
      </w:r>
      <w:r>
        <w:rPr>
          <w:rFonts w:hint="eastAsia" w:ascii="仿宋_GB2312" w:eastAsia="仿宋_GB2312" w:cs="Times New Roman" w:hAnsiTheme="minorEastAsia"/>
          <w:b/>
          <w:bCs/>
          <w:color w:val="auto"/>
          <w:sz w:val="20"/>
          <w:highlight w:val="none"/>
          <w:lang w:val="en-US" w:eastAsia="zh-CN"/>
        </w:rPr>
        <w:t>赎回确认、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01C6575">
      <w:pPr>
        <w:pStyle w:val="3"/>
        <w:spacing w:before="0"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346DFC63">
      <w:pPr>
        <w:pStyle w:val="3"/>
        <w:spacing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2ACD0E9E">
      <w:pPr>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br w:type="page"/>
      </w:r>
    </w:p>
    <w:p w14:paraId="42D6CD23">
      <w:pPr>
        <w:pStyle w:val="3"/>
        <w:ind w:left="0" w:right="153" w:firstLine="400" w:firstLineChars="200"/>
        <w:jc w:val="both"/>
        <w:rPr>
          <w:rFonts w:hint="eastAsia" w:ascii="仿宋_GB2312" w:eastAsia="仿宋_GB2312" w:cs="Times New Roman" w:hAnsiTheme="minorEastAsia"/>
          <w:sz w:val="20"/>
          <w:lang w:eastAsia="zh-CN"/>
        </w:rPr>
      </w:pPr>
    </w:p>
    <w:p w14:paraId="5F2076B6">
      <w:pPr>
        <w:pStyle w:val="3"/>
        <w:ind w:left="0" w:right="153" w:firstLine="400" w:firstLineChars="200"/>
        <w:jc w:val="both"/>
        <w:rPr>
          <w:rFonts w:hint="eastAsia" w:ascii="仿宋_GB2312" w:eastAsia="仿宋_GB2312" w:cs="Times New Roman" w:hAnsiTheme="minorEastAsia"/>
          <w:sz w:val="20"/>
          <w:lang w:eastAsia="zh-CN"/>
        </w:rPr>
      </w:pPr>
    </w:p>
    <w:p w14:paraId="3D50FA1E">
      <w:pPr>
        <w:pStyle w:val="3"/>
        <w:ind w:left="0" w:right="153" w:firstLine="720" w:firstLineChars="200"/>
        <w:jc w:val="both"/>
        <w:rPr>
          <w:rFonts w:hint="eastAsia" w:ascii="仿宋_GB2312" w:eastAsia="仿宋_GB2312" w:cs="Times New Roman" w:hAnsiTheme="minorEastAsia"/>
          <w:sz w:val="20"/>
          <w:lang w:eastAsia="zh-CN"/>
        </w:rPr>
      </w:pPr>
      <w:r>
        <w:rPr>
          <w:rFonts w:ascii="Times New Roman" w:hAnsi="Times New Roman" w:eastAsia="方正小标宋简体" w:cs="Times New Roman"/>
          <w:sz w:val="36"/>
          <w:szCs w:val="30"/>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-248920</wp:posOffset>
            </wp:positionV>
            <wp:extent cx="581660" cy="805180"/>
            <wp:effectExtent l="0" t="0" r="8890" b="13970"/>
            <wp:wrapNone/>
            <wp:docPr id="2"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p>
    <w:p w14:paraId="11D287C5">
      <w:pPr>
        <w:pStyle w:val="12"/>
        <w:ind w:left="0" w:right="151"/>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贵阳农商银行理财产品协议</w:t>
      </w:r>
    </w:p>
    <w:p w14:paraId="3901A165">
      <w:pPr>
        <w:snapToGrid w:val="0"/>
        <w:spacing w:line="240" w:lineRule="exact"/>
        <w:ind w:firstLine="402" w:firstLineChars="200"/>
        <w:rPr>
          <w:rFonts w:ascii="仿宋_GB2312" w:hAnsi="宋体" w:eastAsia="仿宋_GB2312"/>
          <w:b/>
          <w:sz w:val="20"/>
          <w:szCs w:val="20"/>
          <w:lang w:eastAsia="zh-CN"/>
        </w:rPr>
      </w:pPr>
      <w:r>
        <w:rPr>
          <w:rFonts w:hint="eastAsia" w:ascii="仿宋_GB2312" w:hAnsi="宋体" w:eastAsia="仿宋_GB2312"/>
          <w:b/>
          <w:sz w:val="20"/>
          <w:szCs w:val="20"/>
          <w:lang w:eastAsia="zh-CN"/>
        </w:rPr>
        <w:t>贵阳农商银行理财产品协议（以下简称“本协议”）为</w:t>
      </w:r>
      <w:r>
        <w:rPr>
          <w:rFonts w:hint="eastAsia" w:ascii="仿宋_GB2312" w:hAnsi="宋体" w:eastAsia="仿宋_GB2312"/>
          <w:b/>
          <w:sz w:val="20"/>
          <w:szCs w:val="20"/>
          <w:lang w:val="en-US" w:eastAsia="zh-CN"/>
        </w:rPr>
        <w:t>理财产品销售文件</w:t>
      </w:r>
      <w:r>
        <w:rPr>
          <w:rFonts w:hint="eastAsia" w:ascii="仿宋_GB2312" w:hAnsi="宋体" w:eastAsia="仿宋_GB2312"/>
          <w:b/>
          <w:sz w:val="20"/>
          <w:szCs w:val="20"/>
          <w:lang w:eastAsia="zh-CN"/>
        </w:rPr>
        <w:t>不可分割的组成部分，请在签署本协议前，仔细阅读本协议各条款。</w:t>
      </w:r>
    </w:p>
    <w:p w14:paraId="59A52F46">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甲方：投资者</w:t>
      </w:r>
    </w:p>
    <w:p w14:paraId="031A816A">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乙方：贵阳农商银行理财产品销售机构（如为线下购买，理财产品销售机构为甲方购买理财产品的营业网点；如为线上购买，理财产品销售机构为甲方在乙方的开户网点）</w:t>
      </w:r>
    </w:p>
    <w:p w14:paraId="58D8D120">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经甲方与乙方协商一致，就甲方向乙方购买理财产品，达成协议如下：</w:t>
      </w:r>
    </w:p>
    <w:p w14:paraId="3B471048">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0774DDDA">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highlight w:val="none"/>
          <w:lang w:eastAsia="zh-CN"/>
        </w:rPr>
        <w:t>二、甲方声明：甲方为</w:t>
      </w:r>
      <w:r>
        <w:rPr>
          <w:rFonts w:hint="eastAsia" w:ascii="仿宋_GB2312" w:hAnsi="宋体" w:eastAsia="仿宋_GB2312"/>
          <w:sz w:val="20"/>
          <w:szCs w:val="20"/>
          <w:lang w:eastAsia="zh-CN"/>
        </w:rPr>
        <w:t>具有完全民事行为能力的个人。甲方接受并签署《贵阳农商银行理财产品协议》及</w:t>
      </w:r>
      <w:r>
        <w:rPr>
          <w:rFonts w:hint="eastAsia" w:ascii="仿宋_GB2312" w:hAnsi="宋体" w:eastAsia="仿宋_GB2312"/>
          <w:sz w:val="20"/>
          <w:szCs w:val="20"/>
          <w:lang w:val="en-US" w:eastAsia="zh-CN"/>
        </w:rPr>
        <w:t>本期</w:t>
      </w:r>
      <w:r>
        <w:rPr>
          <w:rFonts w:hint="eastAsia" w:ascii="仿宋_GB2312" w:hAnsi="宋体" w:eastAsia="仿宋_GB2312"/>
          <w:sz w:val="20"/>
          <w:szCs w:val="20"/>
          <w:lang w:eastAsia="zh-CN"/>
        </w:rPr>
        <w:t>的《理财产品说明书》《风险揭示书》《投资者权益须知》《</w:t>
      </w:r>
      <w:r>
        <w:rPr>
          <w:rFonts w:hint="eastAsia" w:ascii="仿宋_GB2312" w:hAnsi="宋体" w:eastAsia="仿宋_GB2312"/>
          <w:sz w:val="20"/>
          <w:szCs w:val="20"/>
          <w:lang w:val="en-US" w:eastAsia="zh-CN"/>
        </w:rPr>
        <w:t>信息授权书（理财业务版）》</w:t>
      </w:r>
      <w:r>
        <w:rPr>
          <w:rFonts w:hint="eastAsia" w:ascii="仿宋_GB2312" w:hAnsi="宋体" w:eastAsia="仿宋_GB2312"/>
          <w:sz w:val="20"/>
          <w:szCs w:val="20"/>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lang w:val="en-US" w:eastAsia="zh-CN"/>
        </w:rPr>
        <w:t>不得据此要求</w:t>
      </w:r>
      <w:r>
        <w:rPr>
          <w:rFonts w:hint="eastAsia" w:ascii="仿宋_GB2312" w:hAnsi="宋体" w:eastAsia="仿宋_GB2312"/>
          <w:sz w:val="20"/>
          <w:szCs w:val="20"/>
          <w:lang w:eastAsia="zh-CN"/>
        </w:rPr>
        <w:t>乙方承担任何责任；甲方承诺所提供的所有资料真实有效，如有变更，甲方应及时到原经办</w:t>
      </w:r>
      <w:r>
        <w:rPr>
          <w:rFonts w:hint="eastAsia" w:ascii="仿宋_GB2312" w:hAnsi="宋体" w:eastAsia="仿宋_GB2312"/>
          <w:sz w:val="20"/>
          <w:szCs w:val="20"/>
          <w:lang w:val="en-US" w:eastAsia="zh-CN"/>
        </w:rPr>
        <w:t>营业网点</w:t>
      </w:r>
      <w:r>
        <w:rPr>
          <w:rFonts w:hint="eastAsia" w:ascii="仿宋_GB2312" w:hAnsi="宋体" w:eastAsia="仿宋_GB2312"/>
          <w:sz w:val="20"/>
          <w:szCs w:val="20"/>
          <w:lang w:eastAsia="zh-CN"/>
        </w:rPr>
        <w:t>（</w:t>
      </w:r>
      <w:r>
        <w:rPr>
          <w:rFonts w:hint="eastAsia" w:ascii="仿宋_GB2312" w:hAnsi="宋体" w:eastAsia="仿宋_GB2312"/>
          <w:sz w:val="20"/>
          <w:szCs w:val="20"/>
          <w:lang w:val="en-US" w:eastAsia="zh-CN"/>
        </w:rPr>
        <w:t>如为线上购买的，原经办营业网点是指甲方在乙方的开户网点</w:t>
      </w:r>
      <w:r>
        <w:rPr>
          <w:rFonts w:hint="eastAsia" w:ascii="仿宋_GB2312" w:hAnsi="宋体" w:eastAsia="仿宋_GB2312"/>
          <w:sz w:val="20"/>
          <w:szCs w:val="20"/>
          <w:lang w:eastAsia="zh-CN"/>
        </w:rPr>
        <w:t>）办理变更手续。</w:t>
      </w:r>
    </w:p>
    <w:p w14:paraId="58CF3F7D">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三、理财产品相关交易，个人投资者须持本人有效身份证件办理，不允许代理人代为办理。</w:t>
      </w:r>
    </w:p>
    <w:p w14:paraId="241F1C0E">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四、本协议仅适用于甲方向乙方购买的单笔理财产品，不同理财产品协议的效力及履行情况彼此独立。</w:t>
      </w:r>
    </w:p>
    <w:p w14:paraId="4BB55BCF">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eastAsia="zh-CN"/>
        </w:rPr>
        <w:t>五、甲方认购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理财产品并签署本协议后，即授权乙方</w:t>
      </w:r>
      <w:r>
        <w:rPr>
          <w:rFonts w:hint="eastAsia" w:ascii="仿宋_GB2312" w:hAnsi="宋体" w:eastAsia="仿宋_GB2312"/>
          <w:sz w:val="20"/>
          <w:szCs w:val="20"/>
          <w:lang w:val="en-US" w:eastAsia="zh-CN"/>
        </w:rPr>
        <w:t>于</w:t>
      </w:r>
      <w:r>
        <w:rPr>
          <w:rFonts w:hint="eastAsia" w:ascii="仿宋_GB2312" w:hAnsi="宋体" w:eastAsia="仿宋_GB2312"/>
          <w:sz w:val="20"/>
          <w:szCs w:val="20"/>
          <w:lang w:eastAsia="zh-CN"/>
        </w:rPr>
        <w:t>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日冻结</w:t>
      </w:r>
      <w:r>
        <w:rPr>
          <w:rFonts w:hint="eastAsia" w:ascii="仿宋_GB2312" w:hAnsi="宋体" w:eastAsia="仿宋_GB2312"/>
          <w:sz w:val="20"/>
          <w:szCs w:val="20"/>
          <w:lang w:val="en-US" w:eastAsia="zh-CN"/>
        </w:rPr>
        <w:t>甲方认购/申购账户内的相应</w:t>
      </w:r>
      <w:r>
        <w:rPr>
          <w:rFonts w:hint="eastAsia" w:ascii="仿宋_GB2312" w:hAnsi="宋体" w:eastAsia="仿宋_GB2312"/>
          <w:sz w:val="20"/>
          <w:szCs w:val="20"/>
          <w:lang w:eastAsia="zh-CN"/>
        </w:rPr>
        <w:t>资金。</w:t>
      </w:r>
      <w:r>
        <w:rPr>
          <w:rFonts w:hint="eastAsia" w:ascii="仿宋_GB2312" w:hAnsi="宋体" w:eastAsia="仿宋_GB2312"/>
          <w:sz w:val="20"/>
          <w:szCs w:val="20"/>
          <w:lang w:val="en-US" w:eastAsia="zh-CN"/>
        </w:rPr>
        <w:t>冻结期间，甲方</w:t>
      </w:r>
      <w:r>
        <w:rPr>
          <w:rFonts w:hint="default" w:ascii="仿宋_GB2312" w:hAnsi="宋体" w:eastAsia="仿宋_GB2312" w:cstheme="minorBidi"/>
          <w:b w:val="0"/>
          <w:bCs w:val="0"/>
          <w:sz w:val="20"/>
          <w:szCs w:val="20"/>
          <w:lang w:eastAsia="zh-CN"/>
        </w:rPr>
        <w:t>可获得认购/申购资金的活期存款利息（</w:t>
      </w:r>
      <w:r>
        <w:rPr>
          <w:rFonts w:hint="default" w:ascii="仿宋_GB2312" w:hAnsi="宋体" w:eastAsia="仿宋_GB2312" w:cstheme="minorBidi"/>
          <w:b w:val="0"/>
          <w:bCs w:val="0"/>
          <w:sz w:val="20"/>
          <w:szCs w:val="20"/>
          <w:lang w:val="en-US" w:eastAsia="zh-CN"/>
        </w:rPr>
        <w:t>单利</w:t>
      </w:r>
      <w:r>
        <w:rPr>
          <w:rFonts w:hint="default" w:ascii="仿宋_GB2312" w:hAnsi="宋体" w:eastAsia="仿宋_GB2312" w:cstheme="minorBidi"/>
          <w:b w:val="0"/>
          <w:bCs w:val="0"/>
          <w:sz w:val="20"/>
          <w:szCs w:val="20"/>
          <w:lang w:eastAsia="zh-CN"/>
        </w:rPr>
        <w:t>），</w:t>
      </w:r>
      <w:r>
        <w:rPr>
          <w:rFonts w:hint="default" w:ascii="仿宋_GB2312" w:hAnsi="宋体" w:eastAsia="仿宋_GB2312" w:cstheme="minorBidi"/>
          <w:b w:val="0"/>
          <w:bCs w:val="0"/>
          <w:sz w:val="20"/>
          <w:szCs w:val="20"/>
          <w:lang w:val="en-US" w:eastAsia="zh-CN"/>
        </w:rPr>
        <w:t>但</w:t>
      </w:r>
      <w:r>
        <w:rPr>
          <w:rFonts w:hint="eastAsia" w:ascii="仿宋_GB2312" w:hAnsi="宋体" w:eastAsia="仿宋_GB2312" w:cstheme="minorBidi"/>
          <w:b w:val="0"/>
          <w:bCs w:val="0"/>
          <w:sz w:val="20"/>
          <w:szCs w:val="20"/>
          <w:lang w:val="en-US" w:eastAsia="zh-CN"/>
        </w:rPr>
        <w:t>该</w:t>
      </w:r>
      <w:r>
        <w:rPr>
          <w:rFonts w:hint="default" w:ascii="仿宋_GB2312" w:hAnsi="宋体" w:eastAsia="仿宋_GB2312" w:cstheme="minorBidi"/>
          <w:b w:val="0"/>
          <w:bCs w:val="0"/>
          <w:sz w:val="20"/>
          <w:szCs w:val="20"/>
          <w:lang w:eastAsia="zh-CN"/>
        </w:rPr>
        <w:t>活期存款利息不计入认购/申购资金。</w:t>
      </w:r>
      <w:r>
        <w:rPr>
          <w:rFonts w:hint="eastAsia" w:ascii="仿宋_GB2312" w:hAnsi="宋体" w:eastAsia="仿宋_GB2312"/>
          <w:sz w:val="20"/>
          <w:szCs w:val="20"/>
          <w:lang w:eastAsia="zh-CN"/>
        </w:rPr>
        <w:t>产品成立日</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从该账户内扣划相应资金，</w:t>
      </w:r>
      <w:r>
        <w:rPr>
          <w:rFonts w:hint="eastAsia" w:ascii="仿宋_GB2312" w:hAnsi="宋体" w:eastAsia="仿宋_GB2312"/>
          <w:b/>
          <w:bCs/>
          <w:sz w:val="20"/>
          <w:szCs w:val="20"/>
          <w:lang w:val="en-US" w:eastAsia="zh-CN"/>
        </w:rPr>
        <w:t>但因甲方</w:t>
      </w:r>
      <w:r>
        <w:rPr>
          <w:rFonts w:hint="default" w:ascii="仿宋_GB2312" w:hAnsi="宋体" w:eastAsia="仿宋_GB2312" w:cstheme="minorBidi"/>
          <w:b/>
          <w:bCs/>
          <w:sz w:val="20"/>
          <w:szCs w:val="20"/>
          <w:lang w:eastAsia="zh-CN"/>
        </w:rPr>
        <w:t>认购/申购</w:t>
      </w:r>
      <w:r>
        <w:rPr>
          <w:rFonts w:hint="eastAsia" w:ascii="仿宋_GB2312" w:hAnsi="宋体" w:eastAsia="仿宋_GB2312" w:cstheme="minorBidi"/>
          <w:b/>
          <w:bCs/>
          <w:sz w:val="20"/>
          <w:szCs w:val="20"/>
          <w:lang w:val="en-US" w:eastAsia="zh-CN"/>
        </w:rPr>
        <w:t>账户状态异常导致乙方划扣不成功的，由甲方自行承担责任。</w:t>
      </w:r>
      <w:r>
        <w:rPr>
          <w:rFonts w:hint="eastAsia" w:ascii="仿宋_GB2312" w:hAnsi="宋体" w:eastAsia="仿宋_GB2312" w:cstheme="minorBidi"/>
          <w:b/>
          <w:bCs/>
          <w:sz w:val="20"/>
          <w:szCs w:val="20"/>
          <w:highlight w:val="none"/>
          <w:lang w:val="en-US" w:eastAsia="zh-CN"/>
        </w:rPr>
        <w:t>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19E35EB6">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val="en-US" w:eastAsia="zh-CN"/>
        </w:rPr>
        <w:t>六</w:t>
      </w:r>
      <w:r>
        <w:rPr>
          <w:rFonts w:hint="eastAsia" w:ascii="仿宋_GB2312" w:hAnsi="宋体" w:eastAsia="仿宋_GB2312"/>
          <w:sz w:val="20"/>
          <w:szCs w:val="20"/>
          <w:lang w:eastAsia="zh-CN"/>
        </w:rPr>
        <w:t>、因甲方认购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lang w:eastAsia="zh-CN"/>
        </w:rPr>
        <w:t>账户资金余额不足或其他原因(如冻结、挂失、换卡、有权机关查冻扣等)，导致认购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不成功，本协议自动终止。协议终止后，除理财认购账户资金活期利息外，乙方不计付本理财产品的任何收益，并且乙方对此不承担任何责任。如理财认购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账户资金遇有权机关扣划的，自资金被扣划之日起，乙方不再支付利息。</w:t>
      </w:r>
    </w:p>
    <w:p w14:paraId="6713E2D1">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b w:val="0"/>
          <w:bCs w:val="0"/>
          <w:sz w:val="20"/>
          <w:szCs w:val="20"/>
          <w:highlight w:val="none"/>
          <w:lang w:val="en-US" w:eastAsia="zh-CN"/>
        </w:rPr>
        <w:t>七、</w:t>
      </w:r>
      <w:r>
        <w:rPr>
          <w:rFonts w:hint="eastAsia" w:ascii="仿宋_GB2312" w:hAnsi="宋体" w:eastAsia="仿宋_GB2312"/>
          <w:b/>
          <w:bCs/>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bCs/>
          <w:sz w:val="20"/>
          <w:szCs w:val="20"/>
          <w:highlight w:val="none"/>
          <w:lang w:eastAsia="zh-CN"/>
        </w:rPr>
        <w:t>认购</w:t>
      </w:r>
      <w:r>
        <w:rPr>
          <w:rFonts w:hint="default" w:ascii="仿宋_GB2312" w:hAnsi="宋体" w:eastAsia="仿宋_GB2312" w:cstheme="minorBidi"/>
          <w:b/>
          <w:bCs/>
          <w:sz w:val="20"/>
          <w:szCs w:val="20"/>
          <w:lang w:eastAsia="zh-CN"/>
        </w:rPr>
        <w:t>/申购</w:t>
      </w:r>
      <w:r>
        <w:rPr>
          <w:rFonts w:hint="eastAsia" w:ascii="仿宋_GB2312" w:hAnsi="宋体" w:eastAsia="仿宋_GB2312"/>
          <w:b/>
          <w:bCs/>
          <w:sz w:val="20"/>
          <w:szCs w:val="20"/>
          <w:highlight w:val="none"/>
          <w:lang w:val="en-US" w:eastAsia="zh-CN"/>
        </w:rPr>
        <w:t>账户</w:t>
      </w:r>
      <w:r>
        <w:rPr>
          <w:rFonts w:hint="eastAsia" w:ascii="仿宋_GB2312" w:hAnsi="宋体" w:eastAsia="仿宋_GB2312"/>
          <w:b/>
          <w:bCs/>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5E8096EB">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val="en-US" w:eastAsia="zh-CN"/>
        </w:rPr>
        <w:t>八</w:t>
      </w:r>
      <w:r>
        <w:rPr>
          <w:rFonts w:hint="eastAsia" w:ascii="仿宋_GB2312" w:hAnsi="宋体" w:eastAsia="仿宋_GB2312"/>
          <w:b/>
          <w:bCs/>
          <w:sz w:val="20"/>
          <w:szCs w:val="20"/>
          <w:lang w:eastAsia="zh-CN"/>
        </w:rPr>
        <w:t>、乙方将实际兑付</w:t>
      </w:r>
      <w:r>
        <w:rPr>
          <w:rFonts w:hint="eastAsia" w:ascii="仿宋_GB2312" w:hAnsi="宋体" w:eastAsia="仿宋_GB2312"/>
          <w:b/>
          <w:bCs/>
          <w:sz w:val="20"/>
          <w:szCs w:val="20"/>
          <w:lang w:val="en-US" w:eastAsia="zh-CN"/>
        </w:rPr>
        <w:t>资金</w:t>
      </w:r>
      <w:r>
        <w:rPr>
          <w:rFonts w:hint="eastAsia" w:ascii="仿宋_GB2312" w:hAnsi="宋体" w:eastAsia="仿宋_GB2312"/>
          <w:b/>
          <w:bCs/>
          <w:sz w:val="20"/>
          <w:szCs w:val="20"/>
          <w:lang w:eastAsia="zh-CN"/>
        </w:rPr>
        <w:t>转入甲方</w:t>
      </w:r>
      <w:r>
        <w:rPr>
          <w:rFonts w:hint="eastAsia" w:ascii="仿宋_GB2312" w:eastAsia="仿宋_GB2312" w:cs="Times New Roman" w:hAnsiTheme="minorEastAsia"/>
          <w:b/>
          <w:sz w:val="20"/>
          <w:szCs w:val="20"/>
          <w:lang w:val="en-US" w:eastAsia="zh-CN"/>
        </w:rPr>
        <w:t>认购/申购账户</w:t>
      </w:r>
      <w:r>
        <w:rPr>
          <w:rFonts w:hint="eastAsia" w:ascii="仿宋_GB2312" w:hAnsi="宋体" w:eastAsia="仿宋_GB2312"/>
          <w:b/>
          <w:bCs/>
          <w:sz w:val="20"/>
          <w:szCs w:val="20"/>
          <w:lang w:eastAsia="zh-CN"/>
        </w:rPr>
        <w:t>后，即视为已向甲方支付</w:t>
      </w:r>
      <w:r>
        <w:rPr>
          <w:rFonts w:hint="eastAsia" w:ascii="仿宋_GB2312" w:hAnsi="宋体" w:eastAsia="仿宋_GB2312"/>
          <w:b/>
          <w:bCs/>
          <w:sz w:val="20"/>
          <w:szCs w:val="20"/>
          <w:lang w:val="en-US" w:eastAsia="zh-CN"/>
        </w:rPr>
        <w:t>完成</w:t>
      </w:r>
      <w:r>
        <w:rPr>
          <w:rFonts w:hint="eastAsia" w:ascii="仿宋_GB2312" w:hAnsi="宋体" w:eastAsia="仿宋_GB2312"/>
          <w:b/>
          <w:bCs/>
          <w:sz w:val="20"/>
          <w:szCs w:val="20"/>
          <w:lang w:eastAsia="zh-CN"/>
        </w:rPr>
        <w:t>，乙方不承担入账后的甲方资金风险。乙方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B58A13F">
      <w:pPr>
        <w:snapToGrid w:val="0"/>
        <w:spacing w:before="0" w:line="240" w:lineRule="exact"/>
        <w:ind w:left="0" w:right="153" w:firstLine="402" w:firstLineChars="200"/>
        <w:jc w:val="both"/>
        <w:rPr>
          <w:rFonts w:hint="eastAsia" w:ascii="仿宋_GB2312" w:eastAsia="仿宋_GB2312" w:cs="Times New Roman" w:hAnsiTheme="minorEastAsia"/>
          <w:sz w:val="20"/>
          <w:szCs w:val="20"/>
          <w:lang w:eastAsia="zh-CN"/>
        </w:rPr>
      </w:pPr>
      <w:r>
        <w:rPr>
          <w:rFonts w:hint="eastAsia" w:ascii="仿宋_GB2312" w:hAnsi="宋体" w:eastAsia="仿宋_GB2312"/>
          <w:b/>
          <w:bCs/>
          <w:sz w:val="20"/>
          <w:szCs w:val="20"/>
          <w:lang w:val="en-US" w:eastAsia="zh-CN"/>
        </w:rPr>
        <w:t>九</w:t>
      </w:r>
      <w:r>
        <w:rPr>
          <w:rFonts w:hint="eastAsia" w:ascii="仿宋_GB2312" w:hAnsi="宋体" w:eastAsia="仿宋_GB2312"/>
          <w:b/>
          <w:bCs/>
          <w:sz w:val="20"/>
          <w:szCs w:val="20"/>
          <w:lang w:eastAsia="zh-CN"/>
        </w:rPr>
        <w:t>、发生下列情况之一时，乙方有权单方提前终止本协议：</w:t>
      </w:r>
    </w:p>
    <w:p w14:paraId="39722307">
      <w:pPr>
        <w:pStyle w:val="3"/>
        <w:spacing w:before="0"/>
        <w:ind w:left="0" w:right="153" w:firstLine="400" w:firstLineChars="200"/>
        <w:jc w:val="both"/>
        <w:rPr>
          <w:rFonts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一）</w:t>
      </w:r>
      <w:r>
        <w:rPr>
          <w:rFonts w:hint="eastAsia" w:ascii="仿宋_GB2312" w:eastAsia="仿宋_GB2312" w:cs="Times New Roman" w:hAnsiTheme="minorEastAsia"/>
          <w:sz w:val="20"/>
          <w:szCs w:val="20"/>
          <w:lang w:eastAsia="zh-CN"/>
        </w:rPr>
        <w:t>产品募集</w:t>
      </w:r>
      <w:r>
        <w:rPr>
          <w:rFonts w:hint="eastAsia" w:ascii="仿宋_GB2312" w:eastAsia="仿宋_GB2312" w:cs="Times New Roman" w:hAnsiTheme="minorEastAsia"/>
          <w:sz w:val="20"/>
          <w:szCs w:val="20"/>
          <w:lang w:val="en-US" w:eastAsia="zh-CN"/>
        </w:rPr>
        <w:t>金额</w:t>
      </w:r>
      <w:r>
        <w:rPr>
          <w:rFonts w:hint="eastAsia" w:ascii="仿宋_GB2312" w:eastAsia="仿宋_GB2312" w:cs="Times New Roman" w:hAnsiTheme="minorEastAsia"/>
          <w:sz w:val="20"/>
          <w:szCs w:val="20"/>
          <w:lang w:eastAsia="zh-CN"/>
        </w:rPr>
        <w:t>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636043AB">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二）</w:t>
      </w:r>
      <w:r>
        <w:rPr>
          <w:rFonts w:hint="eastAsia" w:ascii="仿宋_GB2312" w:eastAsia="仿宋_GB2312" w:cs="Times New Roman" w:hAnsiTheme="minorEastAsia"/>
          <w:sz w:val="20"/>
          <w:szCs w:val="20"/>
          <w:lang w:eastAsia="zh-CN"/>
        </w:rPr>
        <w:t>产品存续规模低于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313D86AF">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三</w:t>
      </w:r>
      <w:r>
        <w:rPr>
          <w:rFonts w:hint="eastAsia" w:ascii="仿宋_GB2312" w:eastAsia="仿宋_GB2312" w:cs="Times New Roman" w:hAnsiTheme="minorEastAsia"/>
          <w:sz w:val="20"/>
          <w:szCs w:val="20"/>
          <w:lang w:eastAsia="zh-CN"/>
        </w:rPr>
        <w:t xml:space="preserve">）因不可抗力原因导致理财产品无法继续运作；                                   </w:t>
      </w:r>
    </w:p>
    <w:p w14:paraId="004F0BA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四</w:t>
      </w:r>
      <w:r>
        <w:rPr>
          <w:rFonts w:hint="eastAsia" w:ascii="仿宋_GB2312" w:eastAsia="仿宋_GB2312" w:cs="Times New Roman" w:hAnsiTheme="minorEastAsia"/>
          <w:sz w:val="20"/>
          <w:szCs w:val="20"/>
          <w:lang w:eastAsia="zh-CN"/>
        </w:rPr>
        <w:t xml:space="preserve">）遇有市场剧烈波动、异常风险事件等情形导致理财产品净值出现大幅波动或严重影响理财产品的资产安全；                                                            </w:t>
      </w:r>
    </w:p>
    <w:p w14:paraId="13B15899">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五）</w:t>
      </w:r>
      <w:r>
        <w:rPr>
          <w:rFonts w:hint="eastAsia" w:ascii="仿宋_GB2312" w:eastAsia="仿宋_GB2312" w:cs="Times New Roman" w:hAnsiTheme="minorEastAsia"/>
          <w:sz w:val="20"/>
          <w:szCs w:val="20"/>
          <w:lang w:eastAsia="zh-CN"/>
        </w:rPr>
        <w:t>因投资者赎回导致理财产品剩余资产无法满足相关法律法规规定、所投资市场要求或与第三方签订的投资协议等相关法律文件约定，或者继续存续无法实现投资目标；</w:t>
      </w:r>
    </w:p>
    <w:p w14:paraId="32CF73D0">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六）</w:t>
      </w:r>
      <w:r>
        <w:rPr>
          <w:rFonts w:hint="eastAsia" w:ascii="仿宋_GB2312" w:eastAsia="仿宋_GB2312" w:cs="Times New Roman" w:hAnsiTheme="minorEastAsia"/>
          <w:sz w:val="20"/>
          <w:szCs w:val="20"/>
          <w:lang w:eastAsia="zh-CN"/>
        </w:rPr>
        <w:t>因相关投资管理机构解散、破产、撤销、被取消业务资格等原因无法继续履行相应职责导致产品无法继续运作；</w:t>
      </w:r>
    </w:p>
    <w:p w14:paraId="4BD6311F">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七）</w:t>
      </w:r>
      <w:r>
        <w:rPr>
          <w:rFonts w:hint="eastAsia" w:ascii="仿宋_GB2312" w:eastAsia="仿宋_GB2312" w:cs="Times New Roman" w:hAnsiTheme="minorEastAsia"/>
          <w:sz w:val="20"/>
          <w:szCs w:val="20"/>
          <w:lang w:eastAsia="zh-CN"/>
        </w:rPr>
        <w:t>相关投资管理机构或运用理财资金的第三方主体实施符合法律法规规定或与第三方签订的投资协议等相关法律文件约定的行为导致理财产品被动提前终止；</w:t>
      </w:r>
    </w:p>
    <w:p w14:paraId="6328E21F">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八）</w:t>
      </w:r>
      <w:r>
        <w:rPr>
          <w:rFonts w:hint="eastAsia" w:ascii="仿宋_GB2312" w:eastAsia="仿宋_GB2312" w:cs="Times New Roman" w:hAnsiTheme="minorEastAsia"/>
          <w:sz w:val="20"/>
          <w:szCs w:val="20"/>
          <w:lang w:eastAsia="zh-CN"/>
        </w:rPr>
        <w:t>因法律法规变化或国家金融政策调整、紧急措施出台影响产品继续正常运作；</w:t>
      </w:r>
    </w:p>
    <w:p w14:paraId="2E0CE83A">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九）</w:t>
      </w:r>
      <w:r>
        <w:rPr>
          <w:rFonts w:hint="eastAsia" w:ascii="仿宋_GB2312" w:eastAsia="仿宋_GB2312" w:cs="Times New Roman" w:hAnsiTheme="minorEastAsia"/>
          <w:sz w:val="20"/>
          <w:szCs w:val="20"/>
          <w:lang w:eastAsia="zh-CN"/>
        </w:rPr>
        <w:t>法律法规规定或监管部门认定的其他情形。</w:t>
      </w:r>
    </w:p>
    <w:p w14:paraId="098A9EE8">
      <w:pPr>
        <w:snapToGrid w:val="0"/>
        <w:spacing w:line="240" w:lineRule="exact"/>
        <w:ind w:firstLine="402" w:firstLineChars="200"/>
        <w:jc w:val="both"/>
        <w:rPr>
          <w:rFonts w:ascii="仿宋_GB2312" w:hAnsi="宋体" w:eastAsia="仿宋_GB2312"/>
          <w:b/>
          <w:bCs/>
          <w:sz w:val="20"/>
          <w:szCs w:val="20"/>
          <w:u w:val="single"/>
          <w:lang w:eastAsia="zh-CN"/>
        </w:rPr>
      </w:pPr>
      <w:r>
        <w:rPr>
          <w:rFonts w:hint="eastAsia" w:ascii="仿宋_GB2312" w:hAnsi="宋体" w:eastAsia="仿宋_GB2312"/>
          <w:b/>
          <w:bCs/>
          <w:sz w:val="20"/>
          <w:szCs w:val="20"/>
          <w:u w:val="single"/>
          <w:lang w:val="en-US" w:eastAsia="zh-CN"/>
        </w:rPr>
        <w:t>十</w:t>
      </w:r>
      <w:r>
        <w:rPr>
          <w:rFonts w:hint="eastAsia" w:ascii="仿宋_GB2312" w:hAnsi="宋体" w:eastAsia="仿宋_GB2312"/>
          <w:b/>
          <w:bCs/>
          <w:sz w:val="20"/>
          <w:szCs w:val="20"/>
          <w:u w:val="single"/>
          <w:lang w:eastAsia="zh-CN"/>
        </w:rPr>
        <w:t>、</w:t>
      </w:r>
      <w:r>
        <w:rPr>
          <w:rFonts w:hint="eastAsia" w:ascii="仿宋_GB2312" w:hAnsi="宋体" w:eastAsia="仿宋_GB2312"/>
          <w:b/>
          <w:bCs/>
          <w:sz w:val="20"/>
          <w:szCs w:val="20"/>
          <w:highlight w:val="none"/>
          <w:u w:val="single"/>
          <w:lang w:eastAsia="zh-CN"/>
        </w:rPr>
        <w:t>乙方单方提前终止本协议时，</w:t>
      </w:r>
      <w:r>
        <w:rPr>
          <w:rFonts w:hint="eastAsia" w:ascii="仿宋_GB2312" w:hAnsi="宋体" w:eastAsia="仿宋_GB2312"/>
          <w:b/>
          <w:bCs/>
          <w:sz w:val="20"/>
          <w:szCs w:val="20"/>
          <w:u w:val="single"/>
          <w:lang w:eastAsia="zh-CN"/>
        </w:rPr>
        <w:t>甲</w:t>
      </w:r>
      <w:r>
        <w:rPr>
          <w:rFonts w:hint="eastAsia" w:ascii="仿宋_GB2312" w:hAnsi="宋体" w:eastAsia="仿宋_GB2312"/>
          <w:b/>
          <w:bCs/>
          <w:sz w:val="20"/>
          <w:szCs w:val="20"/>
          <w:u w:val="single"/>
          <w:lang w:val="en-US" w:eastAsia="zh-CN"/>
        </w:rPr>
        <w:t>方</w:t>
      </w:r>
      <w:r>
        <w:rPr>
          <w:rFonts w:hint="eastAsia" w:ascii="仿宋_GB2312" w:hAnsi="宋体" w:eastAsia="仿宋_GB2312"/>
          <w:b/>
          <w:bCs/>
          <w:sz w:val="20"/>
          <w:szCs w:val="20"/>
          <w:u w:val="single"/>
          <w:lang w:eastAsia="zh-CN"/>
        </w:rPr>
        <w:t>同意乙方可采取任意一种或多种方式通知甲方，通知方式包括但不限于短信、电话、乙方网站公告、信函、</w:t>
      </w:r>
      <w:r>
        <w:rPr>
          <w:rFonts w:hint="eastAsia" w:ascii="仿宋_GB2312" w:hAnsi="宋体" w:eastAsia="仿宋_GB2312"/>
          <w:b/>
          <w:bCs/>
          <w:sz w:val="20"/>
          <w:szCs w:val="20"/>
          <w:u w:val="single"/>
          <w:lang w:val="en-US" w:eastAsia="zh-CN"/>
        </w:rPr>
        <w:t>营业网点等</w:t>
      </w:r>
      <w:r>
        <w:rPr>
          <w:rFonts w:hint="eastAsia" w:ascii="仿宋_GB2312" w:hAnsi="宋体" w:eastAsia="仿宋_GB2312"/>
          <w:b/>
          <w:bCs/>
          <w:sz w:val="20"/>
          <w:szCs w:val="20"/>
          <w:u w:val="single"/>
          <w:lang w:eastAsia="zh-CN"/>
        </w:rPr>
        <w:t>。无论乙方是否以前述方式通知甲方，甲方同意乙方将行使提前终止权的</w:t>
      </w:r>
      <w:r>
        <w:rPr>
          <w:rFonts w:hint="eastAsia" w:ascii="仿宋_GB2312" w:hAnsi="宋体" w:eastAsia="仿宋_GB2312"/>
          <w:b/>
          <w:bCs/>
          <w:sz w:val="20"/>
          <w:szCs w:val="20"/>
          <w:u w:val="single"/>
          <w:lang w:val="en-US" w:eastAsia="zh-CN"/>
        </w:rPr>
        <w:t>应兑付资金</w:t>
      </w:r>
      <w:r>
        <w:rPr>
          <w:rFonts w:hint="eastAsia" w:ascii="仿宋_GB2312" w:hAnsi="宋体" w:eastAsia="仿宋_GB2312"/>
          <w:b/>
          <w:bCs/>
          <w:sz w:val="20"/>
          <w:szCs w:val="20"/>
          <w:u w:val="single"/>
          <w:lang w:eastAsia="zh-CN"/>
        </w:rPr>
        <w:t>划入甲方</w:t>
      </w:r>
      <w:r>
        <w:rPr>
          <w:rFonts w:hint="eastAsia" w:ascii="仿宋_GB2312" w:hAnsi="宋体" w:eastAsia="仿宋_GB2312"/>
          <w:b/>
          <w:bCs/>
          <w:sz w:val="20"/>
          <w:szCs w:val="20"/>
          <w:u w:val="single"/>
          <w:lang w:val="en-US" w:eastAsia="zh-CN"/>
        </w:rPr>
        <w:t>认购/申购</w:t>
      </w:r>
      <w:r>
        <w:rPr>
          <w:rFonts w:hint="eastAsia" w:ascii="仿宋_GB2312" w:hAnsi="宋体" w:eastAsia="仿宋_GB2312"/>
          <w:b/>
          <w:bCs/>
          <w:sz w:val="20"/>
          <w:szCs w:val="20"/>
          <w:u w:val="single"/>
          <w:lang w:eastAsia="zh-CN"/>
        </w:rPr>
        <w:t>账户，即视同乙方已经通知甲方。甲方不得以未知晓乙方提前终止而向乙方提出任何损失赔偿。</w:t>
      </w:r>
    </w:p>
    <w:p w14:paraId="325EEDA4">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w:t>
      </w:r>
      <w:r>
        <w:rPr>
          <w:rFonts w:hint="eastAsia" w:ascii="仿宋_GB2312" w:hAnsi="宋体" w:eastAsia="仿宋_GB2312"/>
          <w:sz w:val="20"/>
          <w:szCs w:val="20"/>
          <w:lang w:val="en-US" w:eastAsia="zh-CN"/>
        </w:rPr>
        <w:t>一</w:t>
      </w:r>
      <w:r>
        <w:rPr>
          <w:rFonts w:hint="eastAsia" w:ascii="仿宋_GB2312" w:hAnsi="宋体" w:eastAsia="仿宋_GB2312"/>
          <w:sz w:val="20"/>
          <w:szCs w:val="20"/>
          <w:lang w:eastAsia="zh-CN"/>
        </w:rPr>
        <w:t>、未经乙方同意，甲方不得将本协议项下任何权利和义务向任何第三人转让。</w:t>
      </w:r>
    </w:p>
    <w:p w14:paraId="377D5688">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十二、理财产品存续期间内，乙方有权通过</w:t>
      </w:r>
      <w:r>
        <w:rPr>
          <w:rFonts w:hint="eastAsia" w:ascii="仿宋_GB2312" w:hAnsi="宋体" w:eastAsia="仿宋_GB2312"/>
          <w:sz w:val="20"/>
          <w:szCs w:val="20"/>
          <w:lang w:val="en-US" w:eastAsia="zh-CN"/>
        </w:rPr>
        <w:t>官方</w:t>
      </w:r>
      <w:r>
        <w:rPr>
          <w:rFonts w:hint="eastAsia" w:ascii="仿宋_GB2312" w:hAnsi="宋体" w:eastAsia="仿宋_GB2312"/>
          <w:sz w:val="20"/>
          <w:szCs w:val="20"/>
          <w:lang w:eastAsia="zh-CN"/>
        </w:rPr>
        <w:t>网站</w:t>
      </w:r>
      <w:r>
        <w:rPr>
          <w:rFonts w:hint="eastAsia" w:ascii="仿宋_GB2312" w:eastAsia="仿宋_GB2312" w:cs="Times New Roman" w:hAnsiTheme="minorEastAsia"/>
          <w:sz w:val="20"/>
          <w:szCs w:val="20"/>
          <w:lang w:val="en-US" w:eastAsia="zh-CN"/>
        </w:rPr>
        <w:t>等渠道</w:t>
      </w:r>
      <w:r>
        <w:rPr>
          <w:rFonts w:hint="eastAsia" w:ascii="仿宋_GB2312" w:hAnsi="宋体" w:eastAsia="仿宋_GB2312"/>
          <w:sz w:val="20"/>
          <w:szCs w:val="20"/>
          <w:lang w:eastAsia="zh-CN"/>
        </w:rPr>
        <w:t>发布对理财产品说明书条款进行</w:t>
      </w:r>
      <w:r>
        <w:rPr>
          <w:rFonts w:hint="eastAsia" w:ascii="仿宋_GB2312" w:hAnsi="宋体" w:eastAsia="仿宋_GB2312"/>
          <w:sz w:val="20"/>
          <w:szCs w:val="20"/>
          <w:lang w:val="en-US" w:eastAsia="zh-CN"/>
        </w:rPr>
        <w:t>的</w:t>
      </w:r>
      <w:r>
        <w:rPr>
          <w:rFonts w:hint="eastAsia" w:ascii="仿宋_GB2312" w:hAnsi="宋体" w:eastAsia="仿宋_GB2312"/>
          <w:sz w:val="20"/>
          <w:szCs w:val="20"/>
          <w:lang w:eastAsia="zh-CN"/>
        </w:rPr>
        <w:t>补充、说明和修改。甲方应定期通过上述相关渠道获知有关理财产品的相关信息。</w:t>
      </w:r>
    </w:p>
    <w:p w14:paraId="0DAAD55C">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十三、</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通过相关披露渠道进行信息披露，如果</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未及时查询，或由于</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通讯故障、系统故障以及其他不可抗力等因素的影响使得</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无法及时了解产品信息，可能导致</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产生风险，此类风险包括但不限于因</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未及时获知信息而错过资金使用和再投资的机会等，由此产生的风险及损失（如有）由</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自行承担。如甲方预留在乙方的有效联系方式变更的，应及时到</w:t>
      </w:r>
      <w:r>
        <w:rPr>
          <w:rFonts w:hint="eastAsia" w:ascii="仿宋_GB2312" w:hAnsi="宋体" w:eastAsia="仿宋_GB2312"/>
          <w:sz w:val="20"/>
          <w:szCs w:val="20"/>
          <w:lang w:val="en-US" w:eastAsia="zh-CN"/>
        </w:rPr>
        <w:t>原经办</w:t>
      </w:r>
      <w:r>
        <w:rPr>
          <w:rFonts w:hint="eastAsia" w:ascii="仿宋_GB2312" w:hAnsi="宋体" w:eastAsia="仿宋_GB2312"/>
          <w:sz w:val="20"/>
          <w:szCs w:val="20"/>
          <w:lang w:eastAsia="zh-CN"/>
        </w:rPr>
        <w:t>网点办理信息变更。如因甲方未及时变更导致乙方无法联系甲方，由此产生的责任、风险和损失由甲方自行承担。</w:t>
      </w:r>
    </w:p>
    <w:p w14:paraId="4E850D4A">
      <w:pPr>
        <w:snapToGrid w:val="0"/>
        <w:spacing w:line="240" w:lineRule="exact"/>
        <w:ind w:firstLine="402" w:firstLineChars="200"/>
        <w:jc w:val="both"/>
        <w:rPr>
          <w:rFonts w:ascii="仿宋_GB2312" w:hAnsi="宋体" w:eastAsia="仿宋_GB2312"/>
          <w:b/>
          <w:bCs/>
          <w:spacing w:val="-2"/>
          <w:sz w:val="20"/>
          <w:szCs w:val="20"/>
          <w:lang w:eastAsia="zh-CN"/>
        </w:rPr>
      </w:pPr>
      <w:r>
        <w:rPr>
          <w:rFonts w:hint="eastAsia" w:ascii="仿宋_GB2312" w:hAnsi="宋体" w:eastAsia="仿宋_GB2312"/>
          <w:b/>
          <w:bCs/>
          <w:sz w:val="20"/>
          <w:szCs w:val="20"/>
          <w:lang w:eastAsia="zh-CN"/>
        </w:rPr>
        <w:t>十四、</w:t>
      </w:r>
      <w:r>
        <w:rPr>
          <w:rFonts w:hint="eastAsia" w:ascii="仿宋_GB2312" w:hAnsi="宋体" w:eastAsia="仿宋_GB2312"/>
          <w:b/>
          <w:bCs/>
          <w:spacing w:val="-2"/>
          <w:sz w:val="20"/>
          <w:szCs w:val="20"/>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lang w:eastAsia="zh-CN"/>
        </w:rPr>
        <w:t>乙方所在地</w:t>
      </w:r>
      <w:r>
        <w:rPr>
          <w:rFonts w:hint="eastAsia" w:ascii="仿宋_GB2312" w:hAnsi="宋体" w:eastAsia="仿宋_GB2312"/>
          <w:b/>
          <w:bCs/>
          <w:spacing w:val="-2"/>
          <w:sz w:val="20"/>
          <w:szCs w:val="20"/>
          <w:lang w:eastAsia="zh-CN"/>
        </w:rPr>
        <w:t>人民法院诉讼解决。</w:t>
      </w:r>
    </w:p>
    <w:p w14:paraId="7ADF2988">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十五、乙方发现甲方有涉嫌洗钱、恶意逃避税收管理等违法违规行为的，将按照国家有关规定向相关部门报告，并按规定报送甲方的相关信息。</w:t>
      </w:r>
    </w:p>
    <w:p w14:paraId="3985833E">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十六、甲方保证理财购买资金的来源和用途合法，理财购买资金未使用贷款、发行债券等筹集的非自有资金。</w:t>
      </w:r>
    </w:p>
    <w:p w14:paraId="06E4DB12">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08572C87">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十八、本协议一式二份，甲乙双方各执一份，具有同等法律效力。</w:t>
      </w:r>
    </w:p>
    <w:p w14:paraId="36B60283">
      <w:pPr>
        <w:snapToGrid w:val="0"/>
        <w:spacing w:line="240" w:lineRule="exact"/>
        <w:ind w:firstLine="400" w:firstLineChars="200"/>
        <w:jc w:val="both"/>
        <w:rPr>
          <w:rFonts w:hint="eastAsia" w:ascii="仿宋_GB2312" w:hAnsi="宋体" w:eastAsia="仿宋_GB2312"/>
          <w:sz w:val="20"/>
          <w:szCs w:val="20"/>
          <w:lang w:eastAsia="zh-CN"/>
        </w:rPr>
      </w:pPr>
      <w:r>
        <w:rPr>
          <w:rFonts w:hint="eastAsia" w:ascii="仿宋_GB2312" w:hAnsi="宋体" w:eastAsia="仿宋_GB2312"/>
          <w:sz w:val="20"/>
          <w:szCs w:val="20"/>
          <w:lang w:eastAsia="zh-CN"/>
        </w:rPr>
        <w:t>十九、</w:t>
      </w:r>
      <w:r>
        <w:rPr>
          <w:rFonts w:hint="eastAsia" w:ascii="仿宋_GB2312" w:hAnsi="宋体" w:eastAsia="仿宋_GB2312"/>
          <w:sz w:val="20"/>
          <w:szCs w:val="20"/>
          <w:lang w:val="en-US" w:eastAsia="zh-CN"/>
        </w:rPr>
        <w:t>本协议</w:t>
      </w:r>
      <w:r>
        <w:rPr>
          <w:rFonts w:hint="eastAsia" w:ascii="仿宋_GB2312" w:hAnsi="宋体" w:eastAsia="仿宋_GB2312"/>
          <w:sz w:val="20"/>
          <w:szCs w:val="20"/>
          <w:lang w:eastAsia="zh-CN"/>
        </w:rPr>
        <w:t>为纸质的，自甲、乙双方签署之日起生效；</w:t>
      </w:r>
      <w:r>
        <w:rPr>
          <w:rFonts w:hint="eastAsia" w:ascii="仿宋_GB2312" w:hAnsi="宋体" w:eastAsia="仿宋_GB2312"/>
          <w:sz w:val="20"/>
          <w:szCs w:val="20"/>
          <w:lang w:val="en-US" w:eastAsia="zh-CN"/>
        </w:rPr>
        <w:t>如</w:t>
      </w:r>
      <w:r>
        <w:rPr>
          <w:rFonts w:hint="eastAsia" w:ascii="仿宋_GB2312" w:hAnsi="宋体" w:eastAsia="仿宋_GB2312"/>
          <w:sz w:val="20"/>
          <w:szCs w:val="20"/>
          <w:lang w:eastAsia="zh-CN"/>
        </w:rPr>
        <w:t>本</w:t>
      </w:r>
      <w:r>
        <w:rPr>
          <w:rFonts w:hint="eastAsia" w:ascii="仿宋_GB2312" w:hAnsi="宋体" w:eastAsia="仿宋_GB2312"/>
          <w:sz w:val="20"/>
          <w:szCs w:val="20"/>
          <w:lang w:val="en-US" w:eastAsia="zh-CN"/>
        </w:rPr>
        <w:t>协议</w:t>
      </w:r>
      <w:r>
        <w:rPr>
          <w:rFonts w:hint="eastAsia" w:ascii="仿宋_GB2312" w:hAnsi="宋体" w:eastAsia="仿宋_GB2312"/>
          <w:sz w:val="20"/>
          <w:szCs w:val="20"/>
          <w:lang w:eastAsia="zh-CN"/>
        </w:rPr>
        <w:t>为电子形式的，经</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在贵阳农商银行电子渠道页面上勾选确认后生效。双方权利义务履行完毕后终止。</w:t>
      </w:r>
    </w:p>
    <w:p w14:paraId="38EB77C5">
      <w:pPr>
        <w:snapToGrid w:val="0"/>
        <w:spacing w:line="240" w:lineRule="exact"/>
        <w:ind w:firstLine="360" w:firstLineChars="200"/>
        <w:rPr>
          <w:rFonts w:hint="eastAsia" w:ascii="仿宋_GB2312" w:hAnsi="宋体" w:eastAsia="仿宋_GB2312"/>
          <w:sz w:val="18"/>
          <w:szCs w:val="18"/>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56"/>
      </w:tblGrid>
      <w:tr w14:paraId="5FD10E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86" w:type="dxa"/>
            <w:noWrap w:val="0"/>
            <w:vAlign w:val="top"/>
          </w:tcPr>
          <w:p w14:paraId="713EE5F7">
            <w:pPr>
              <w:spacing w:line="500" w:lineRule="exact"/>
              <w:jc w:val="center"/>
              <w:rPr>
                <w:rFonts w:ascii="黑体" w:hAnsi="黑体" w:eastAsia="黑体"/>
                <w:b/>
                <w:color w:val="000000"/>
                <w:sz w:val="21"/>
                <w:szCs w:val="21"/>
              </w:rPr>
            </w:pPr>
            <w:r>
              <w:rPr>
                <w:rFonts w:hint="eastAsia" w:ascii="黑体" w:hAnsi="黑体" w:eastAsia="黑体"/>
                <w:b/>
                <w:color w:val="000000"/>
                <w:sz w:val="21"/>
                <w:szCs w:val="21"/>
              </w:rPr>
              <w:t>特别提示</w:t>
            </w:r>
          </w:p>
        </w:tc>
      </w:tr>
      <w:tr w14:paraId="36305A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9286" w:type="dxa"/>
            <w:noWrap w:val="0"/>
            <w:vAlign w:val="top"/>
          </w:tcPr>
          <w:p w14:paraId="58B9A192">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请您在理解并同意本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所有条款的情况下，再签署</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，对于不理解的内容，您有权向贵阳农商银行工作人员进行咨询并得到答复。</w:t>
            </w:r>
          </w:p>
          <w:p w14:paraId="2CFE7B92">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签署本提示，系建立在您已经认真阅读并理解本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全部条款的基础上，如您未阅读并</w:t>
            </w:r>
            <w:r>
              <w:rPr>
                <w:rFonts w:ascii="黑体" w:hAnsi="黑体" w:eastAsia="黑体"/>
                <w:b/>
                <w:color w:val="000000"/>
                <w:sz w:val="21"/>
                <w:szCs w:val="21"/>
              </w:rPr>
              <w:t>理解</w:t>
            </w:r>
            <w:r>
              <w:rPr>
                <w:rFonts w:hint="eastAsia" w:ascii="黑体" w:hAnsi="黑体" w:eastAsia="黑体"/>
                <w:b/>
                <w:color w:val="000000"/>
                <w:sz w:val="21"/>
                <w:szCs w:val="21"/>
              </w:rPr>
              <w:t>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全部条款，请您不要签署本提示及本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w:t>
            </w:r>
          </w:p>
          <w:p w14:paraId="4FD47249">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本提示为《贵阳农商银行理财产品协议》</w:t>
            </w:r>
            <w:r>
              <w:rPr>
                <w:rFonts w:hint="eastAsia" w:ascii="黑体" w:hAnsi="黑体" w:eastAsia="黑体"/>
                <w:b/>
                <w:color w:val="000000"/>
                <w:sz w:val="21"/>
                <w:szCs w:val="21"/>
                <w:lang w:val="en-US" w:eastAsia="zh-CN"/>
              </w:rPr>
              <w:t>及理财产品销售文件</w:t>
            </w:r>
            <w:r>
              <w:rPr>
                <w:rFonts w:hint="eastAsia" w:ascii="黑体" w:hAnsi="黑体" w:eastAsia="黑体"/>
                <w:b/>
                <w:color w:val="000000"/>
                <w:sz w:val="21"/>
                <w:szCs w:val="21"/>
              </w:rPr>
              <w:t>的重要组成部分，如您购买本理财产品，即视为您已阅读、理解理财产品销售文件，并同意接受理财产品销售文件所有内容的约束。</w:t>
            </w:r>
          </w:p>
          <w:p w14:paraId="64101876">
            <w:pPr>
              <w:spacing w:line="400" w:lineRule="exact"/>
              <w:ind w:firstLine="420" w:firstLineChars="200"/>
              <w:rPr>
                <w:rFonts w:hint="eastAsia" w:ascii="黑体" w:hAnsi="黑体" w:eastAsia="黑体"/>
                <w:color w:val="000000"/>
                <w:sz w:val="21"/>
                <w:szCs w:val="21"/>
              </w:rPr>
            </w:pPr>
            <w:r>
              <w:rPr>
                <w:rFonts w:hint="eastAsia" w:ascii="黑体" w:hAnsi="黑体" w:eastAsia="黑体"/>
                <w:color w:val="000000"/>
                <w:sz w:val="21"/>
                <w:szCs w:val="21"/>
              </w:rPr>
              <w:t>您是否已阅读并理解本</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项下全部条款。</w:t>
            </w:r>
          </w:p>
          <w:p w14:paraId="2F93C19B">
            <w:pPr>
              <w:spacing w:line="400" w:lineRule="exact"/>
              <w:ind w:firstLine="420" w:firstLineChars="200"/>
              <w:rPr>
                <w:rFonts w:hint="eastAsia"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2BBA440C">
            <w:pPr>
              <w:spacing w:line="400" w:lineRule="exact"/>
              <w:ind w:firstLine="420" w:firstLineChars="200"/>
              <w:rPr>
                <w:rFonts w:ascii="黑体" w:hAnsi="黑体" w:eastAsia="黑体"/>
                <w:color w:val="000000"/>
                <w:sz w:val="21"/>
                <w:szCs w:val="21"/>
              </w:rPr>
            </w:pPr>
            <w:r>
              <w:rPr>
                <w:rFonts w:hint="eastAsia" w:ascii="黑体" w:hAnsi="黑体" w:eastAsia="黑体"/>
                <w:color w:val="000000"/>
                <w:sz w:val="21"/>
                <w:szCs w:val="21"/>
              </w:rPr>
              <w:t>贵阳农商银行工作人员是否对</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相关条款进行了解释及说明。</w:t>
            </w:r>
          </w:p>
          <w:p w14:paraId="472F1650">
            <w:pPr>
              <w:spacing w:line="400" w:lineRule="exact"/>
              <w:ind w:firstLine="420" w:firstLineChars="200"/>
              <w:rPr>
                <w:rFonts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29D422E3">
            <w:pPr>
              <w:snapToGrid w:val="0"/>
              <w:spacing w:line="400" w:lineRule="exact"/>
              <w:ind w:firstLine="360" w:firstLineChars="200"/>
              <w:rPr>
                <w:rFonts w:ascii="仿宋_GB2312" w:hAnsi="宋体" w:eastAsia="仿宋_GB2312"/>
                <w:sz w:val="18"/>
                <w:szCs w:val="18"/>
                <w:lang w:eastAsia="zh-CN"/>
              </w:rPr>
            </w:pPr>
          </w:p>
          <w:p w14:paraId="1DA5B340">
            <w:pPr>
              <w:snapToGrid w:val="0"/>
              <w:spacing w:line="400" w:lineRule="exact"/>
              <w:ind w:firstLine="360" w:firstLineChars="200"/>
              <w:rPr>
                <w:rFonts w:ascii="仿宋_GB2312" w:hAnsi="宋体" w:eastAsia="仿宋_GB2312"/>
                <w:sz w:val="18"/>
                <w:szCs w:val="18"/>
                <w:lang w:eastAsia="zh-CN"/>
              </w:rPr>
            </w:pPr>
          </w:p>
          <w:p w14:paraId="23963D9C">
            <w:pPr>
              <w:snapToGrid w:val="0"/>
              <w:spacing w:line="400" w:lineRule="exact"/>
              <w:ind w:firstLine="360" w:firstLineChars="200"/>
              <w:rPr>
                <w:rFonts w:ascii="仿宋_GB2312" w:hAnsi="宋体" w:eastAsia="仿宋_GB2312"/>
                <w:sz w:val="18"/>
                <w:szCs w:val="18"/>
                <w:lang w:eastAsia="zh-CN"/>
              </w:rPr>
            </w:pPr>
          </w:p>
          <w:p w14:paraId="7A228881">
            <w:pPr>
              <w:spacing w:line="500" w:lineRule="exact"/>
              <w:ind w:firstLine="0" w:firstLineChars="0"/>
              <w:rPr>
                <w:rFonts w:ascii="黑体" w:hAnsi="黑体" w:eastAsia="黑体"/>
                <w:color w:val="000000"/>
                <w:sz w:val="21"/>
                <w:szCs w:val="21"/>
                <w:u w:val="single"/>
              </w:rPr>
            </w:pPr>
          </w:p>
          <w:p w14:paraId="1B8B7B48">
            <w:pPr>
              <w:spacing w:line="500" w:lineRule="exact"/>
              <w:ind w:firstLine="5040" w:firstLineChars="2400"/>
              <w:rPr>
                <w:rFonts w:hint="eastAsia" w:ascii="仿宋_GB2312" w:eastAsia="仿宋_GB2312"/>
                <w:color w:val="000000"/>
                <w:sz w:val="21"/>
                <w:szCs w:val="21"/>
                <w:u w:val="single"/>
              </w:rPr>
            </w:pPr>
            <w:r>
              <w:rPr>
                <w:rFonts w:ascii="仿宋_GB2312" w:eastAsia="仿宋_GB2312"/>
                <w:color w:val="000000"/>
                <w:sz w:val="21"/>
                <w:szCs w:val="21"/>
              </w:rPr>
              <w:t>签</w:t>
            </w:r>
            <w:r>
              <w:rPr>
                <w:rFonts w:hint="eastAsia" w:ascii="仿宋_GB2312" w:eastAsia="仿宋_GB2312"/>
                <w:color w:val="000000"/>
                <w:sz w:val="21"/>
                <w:szCs w:val="21"/>
              </w:rPr>
              <w:t>名</w:t>
            </w:r>
            <w:r>
              <w:rPr>
                <w:rFonts w:ascii="仿宋_GB2312" w:eastAsia="仿宋_GB2312"/>
                <w:color w:val="000000"/>
                <w:sz w:val="21"/>
                <w:szCs w:val="21"/>
              </w:rPr>
              <w:t>确认</w:t>
            </w:r>
            <w:r>
              <w:rPr>
                <w:rFonts w:hint="eastAsia" w:ascii="仿宋_GB2312" w:eastAsia="仿宋_GB2312"/>
                <w:color w:val="000000"/>
                <w:sz w:val="21"/>
                <w:szCs w:val="21"/>
              </w:rPr>
              <w:t>：</w:t>
            </w:r>
            <w:r>
              <w:rPr>
                <w:rFonts w:ascii="仿宋_GB2312" w:eastAsia="仿宋_GB2312"/>
                <w:color w:val="000000"/>
                <w:sz w:val="21"/>
                <w:szCs w:val="21"/>
                <w:u w:val="single"/>
              </w:rPr>
              <w:t xml:space="preserve">                  </w:t>
            </w:r>
          </w:p>
          <w:p w14:paraId="4DA56B7F">
            <w:pPr>
              <w:spacing w:line="500" w:lineRule="exact"/>
              <w:rPr>
                <w:rFonts w:hint="eastAsia" w:ascii="仿宋_GB2312" w:hAnsi="宋体" w:eastAsia="仿宋_GB2312"/>
                <w:color w:val="000000"/>
                <w:sz w:val="21"/>
                <w:szCs w:val="21"/>
              </w:rPr>
            </w:pPr>
          </w:p>
        </w:tc>
      </w:tr>
    </w:tbl>
    <w:p w14:paraId="00E01308">
      <w:pPr>
        <w:snapToGrid w:val="0"/>
        <w:spacing w:line="240" w:lineRule="exact"/>
        <w:ind w:firstLine="360" w:firstLineChars="200"/>
        <w:rPr>
          <w:rFonts w:hint="eastAsia" w:ascii="仿宋_GB2312" w:hAnsi="宋体" w:eastAsia="仿宋_GB2312"/>
          <w:sz w:val="18"/>
          <w:szCs w:val="18"/>
          <w:lang w:eastAsia="zh-CN"/>
        </w:rPr>
      </w:pPr>
    </w:p>
    <w:p w14:paraId="16A9C5B0">
      <w:pPr>
        <w:rPr>
          <w:rFonts w:ascii="仿宋_GB2312" w:hAnsi="宋体" w:eastAsia="仿宋_GB2312"/>
          <w:sz w:val="18"/>
          <w:szCs w:val="18"/>
          <w:lang w:eastAsia="zh-CN"/>
        </w:rPr>
      </w:pPr>
      <w:r>
        <w:rPr>
          <w:rFonts w:ascii="仿宋_GB2312" w:hAnsi="宋体" w:eastAsia="仿宋_GB2312"/>
          <w:sz w:val="18"/>
          <w:szCs w:val="18"/>
          <w:lang w:eastAsia="zh-CN"/>
        </w:rPr>
        <w:br w:type="page"/>
      </w:r>
    </w:p>
    <w:p w14:paraId="5F7DA2EC">
      <w:pPr>
        <w:widowControl/>
        <w:rPr>
          <w:rFonts w:ascii="仿宋_GB2312" w:hAnsi="宋体" w:eastAsia="仿宋_GB2312"/>
          <w:sz w:val="20"/>
          <w:szCs w:val="18"/>
          <w:lang w:eastAsia="zh-CN"/>
        </w:rPr>
      </w:pPr>
    </w:p>
    <w:p w14:paraId="270F90ED">
      <w:pPr>
        <w:snapToGrid w:val="0"/>
        <w:spacing w:line="360" w:lineRule="auto"/>
        <w:ind w:firstLine="720" w:firstLineChars="20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2336" behindDoc="0" locked="0" layoutInCell="1" allowOverlap="1">
            <wp:simplePos x="0" y="0"/>
            <wp:positionH relativeFrom="column">
              <wp:posOffset>22860</wp:posOffset>
            </wp:positionH>
            <wp:positionV relativeFrom="paragraph">
              <wp:posOffset>-307340</wp:posOffset>
            </wp:positionV>
            <wp:extent cx="581660" cy="805180"/>
            <wp:effectExtent l="0" t="0" r="8890" b="13970"/>
            <wp:wrapNone/>
            <wp:docPr id="4"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lang w:eastAsia="zh-CN"/>
        </w:rPr>
        <w:t>贵阳农商银行理财产品投资者权益须知</w:t>
      </w:r>
    </w:p>
    <w:p w14:paraId="5615624D">
      <w:pPr>
        <w:snapToGrid w:val="0"/>
        <w:rPr>
          <w:rFonts w:ascii="仿宋_GB2312" w:hAnsi="仿宋_GB2312" w:eastAsia="仿宋_GB2312" w:cs="仿宋_GB2312"/>
          <w:sz w:val="20"/>
          <w:szCs w:val="20"/>
          <w:lang w:eastAsia="zh-CN"/>
        </w:rPr>
      </w:pPr>
      <w:r>
        <w:rPr>
          <w:rFonts w:hint="eastAsia" w:ascii="仿宋_GB2312" w:hAnsi="仿宋_GB2312" w:eastAsia="仿宋_GB2312" w:cs="仿宋_GB2312"/>
          <w:b/>
          <w:sz w:val="20"/>
          <w:szCs w:val="20"/>
          <w:lang w:eastAsia="zh-CN"/>
        </w:rPr>
        <w:t>尊敬的投资者：</w:t>
      </w:r>
    </w:p>
    <w:p w14:paraId="4B4C2001">
      <w:pPr>
        <w:snapToGrid w:val="0"/>
        <w:ind w:firstLine="402" w:firstLineChars="200"/>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lang w:val="en-US" w:eastAsia="zh-CN"/>
        </w:rPr>
        <w:t>如</w:t>
      </w:r>
      <w:r>
        <w:rPr>
          <w:rFonts w:hint="eastAsia" w:ascii="仿宋_GB2312" w:eastAsia="仿宋_GB2312" w:cs="Times New Roman" w:hAnsiTheme="minorEastAsia"/>
          <w:b/>
          <w:bCs/>
          <w:sz w:val="20"/>
          <w:lang w:eastAsia="zh-CN"/>
        </w:rPr>
        <w:t>您</w:t>
      </w:r>
      <w:r>
        <w:rPr>
          <w:rFonts w:hint="eastAsia" w:ascii="仿宋_GB2312" w:eastAsia="仿宋_GB2312" w:cs="Times New Roman" w:hAnsiTheme="minorEastAsia"/>
          <w:b/>
          <w:bCs/>
          <w:sz w:val="20"/>
          <w:lang w:val="en-US" w:eastAsia="zh-CN"/>
        </w:rPr>
        <w:t>在本行营业网点</w:t>
      </w:r>
      <w:r>
        <w:rPr>
          <w:rFonts w:hint="eastAsia" w:ascii="仿宋_GB2312" w:eastAsia="仿宋_GB2312" w:cs="Times New Roman" w:hAnsiTheme="minorEastAsia"/>
          <w:b/>
          <w:bCs/>
          <w:sz w:val="20"/>
          <w:lang w:eastAsia="zh-CN"/>
        </w:rPr>
        <w:t>购买理财产品，</w:t>
      </w:r>
      <w:r>
        <w:rPr>
          <w:rFonts w:hint="eastAsia" w:ascii="仿宋_GB2312" w:eastAsia="仿宋_GB2312" w:cs="Times New Roman" w:hAnsiTheme="minorEastAsia"/>
          <w:b/>
          <w:bCs/>
          <w:sz w:val="20"/>
          <w:lang w:val="en-US" w:eastAsia="zh-CN"/>
        </w:rPr>
        <w:t>本行</w:t>
      </w:r>
      <w:r>
        <w:rPr>
          <w:rFonts w:hint="eastAsia" w:ascii="仿宋_GB2312" w:eastAsia="仿宋_GB2312" w:cs="Times New Roman" w:hAnsiTheme="minorEastAsia"/>
          <w:b/>
          <w:bCs/>
          <w:sz w:val="20"/>
          <w:lang w:eastAsia="zh-CN"/>
        </w:rPr>
        <w:t>将在征求您的同意后对销售过程进行录音录像，感谢您的配合。请在购买理财产品前认真阅读以下内容：</w:t>
      </w:r>
    </w:p>
    <w:p w14:paraId="087F8BDD">
      <w:pPr>
        <w:snapToGrid w:val="0"/>
        <w:ind w:firstLine="431" w:firstLineChars="196"/>
        <w:rPr>
          <w:rFonts w:ascii="黑体" w:hAnsi="黑体" w:eastAsia="黑体" w:cs="Times New Roman"/>
          <w:lang w:eastAsia="zh-CN"/>
        </w:rPr>
      </w:pPr>
      <w:r>
        <w:rPr>
          <w:rFonts w:ascii="黑体" w:hAnsi="黑体" w:eastAsia="黑体" w:cs="Times New Roman"/>
          <w:lang w:eastAsia="zh-CN"/>
        </w:rPr>
        <w:t>一、购买理财产品流程</w:t>
      </w:r>
    </w:p>
    <w:p w14:paraId="6CF3C239">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（一）投资者填写《风险评估问卷》进行风险评估，阅读《风险揭示书》，依据自身的投资经验、目标、财务状况、承担风险能力等自行决定是否购买本产品。</w:t>
      </w:r>
    </w:p>
    <w:p w14:paraId="6A935B6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（二）投资者可通过</w:t>
      </w:r>
      <w:permStart w:id="3" w:edGrp="everyone"/>
      <w:r>
        <w:rPr>
          <w:rFonts w:hint="eastAsia" w:ascii="仿宋_GB2312" w:eastAsia="仿宋_GB2312" w:cs="Times New Roman" w:hAnsiTheme="minorEastAsia"/>
          <w:sz w:val="20"/>
          <w:lang w:eastAsia="zh-CN"/>
        </w:rPr>
        <w:t>营业网点</w:t>
      </w:r>
      <w:r>
        <w:rPr>
          <w:rFonts w:hint="eastAsia" w:ascii="仿宋_GB2312" w:eastAsia="仿宋_GB2312" w:cs="Times New Roman" w:hAnsiTheme="minorEastAsia"/>
          <w:sz w:val="20"/>
          <w:lang w:val="en-US" w:eastAsia="zh-CN"/>
        </w:rPr>
        <w:t>和</w:t>
      </w:r>
      <w:r>
        <w:rPr>
          <w:rFonts w:hint="eastAsia" w:ascii="仿宋_GB2312" w:eastAsia="仿宋_GB2312" w:cs="Times New Roman" w:hAnsiTheme="minorEastAsia"/>
          <w:sz w:val="20"/>
          <w:lang w:eastAsia="zh-CN"/>
        </w:rPr>
        <w:t>手机银行等电子渠道</w:t>
      </w:r>
      <w:permEnd w:id="3"/>
      <w:r>
        <w:rPr>
          <w:rFonts w:hint="eastAsia" w:ascii="仿宋_GB2312" w:eastAsia="仿宋_GB2312" w:cs="Times New Roman" w:hAnsiTheme="minorEastAsia"/>
          <w:sz w:val="20"/>
          <w:lang w:eastAsia="zh-CN"/>
        </w:rPr>
        <w:t>办理理财业务，具体办理时间以贵阳农商银行发布的信息为准。</w:t>
      </w:r>
    </w:p>
    <w:p w14:paraId="3FF2B0AC">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（三）投资者已在我行开立个人结算账户，并存入足额资金。</w:t>
      </w:r>
    </w:p>
    <w:p w14:paraId="0C2BB6DE">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（四）投资者阅读理财销售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，详细了解本期理财产品情况。</w:t>
      </w:r>
    </w:p>
    <w:p w14:paraId="1CC61DA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（五）购买意向无误，个人投资者本人</w:t>
      </w:r>
      <w:r>
        <w:rPr>
          <w:rFonts w:hint="eastAsia" w:ascii="仿宋_GB2312" w:eastAsia="仿宋_GB2312" w:cs="Times New Roman" w:hAnsiTheme="minorEastAsia"/>
          <w:sz w:val="20"/>
          <w:lang w:val="en-US" w:eastAsia="zh-CN"/>
        </w:rPr>
        <w:t>持</w:t>
      </w:r>
      <w:r>
        <w:rPr>
          <w:rFonts w:hint="eastAsia" w:ascii="仿宋_GB2312" w:eastAsia="仿宋_GB2312" w:cs="Times New Roman" w:hAnsiTheme="minorEastAsia"/>
          <w:sz w:val="20"/>
          <w:lang w:eastAsia="zh-CN"/>
        </w:rPr>
        <w:t>身份证件，签订理财销售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w:t>
      </w:r>
    </w:p>
    <w:p w14:paraId="5D65B557">
      <w:pPr>
        <w:snapToGrid w:val="0"/>
        <w:ind w:firstLine="440" w:firstLineChars="200"/>
        <w:rPr>
          <w:rFonts w:ascii="黑体" w:hAnsi="黑体" w:eastAsia="黑体" w:cs="Times New Roman"/>
          <w:sz w:val="20"/>
          <w:lang w:eastAsia="zh-CN"/>
        </w:rPr>
      </w:pPr>
      <w:r>
        <w:rPr>
          <w:rFonts w:ascii="黑体" w:hAnsi="黑体" w:eastAsia="黑体" w:cs="Times New Roman"/>
          <w:lang w:eastAsia="zh-CN"/>
        </w:rPr>
        <w:t>二、</w:t>
      </w:r>
      <w:r>
        <w:rPr>
          <w:rFonts w:hint="eastAsia" w:ascii="黑体" w:hAnsi="黑体" w:eastAsia="黑体" w:cs="Times New Roman"/>
          <w:lang w:eastAsia="zh-CN"/>
        </w:rPr>
        <w:t>投资者</w:t>
      </w:r>
      <w:r>
        <w:rPr>
          <w:rFonts w:ascii="黑体" w:hAnsi="黑体" w:eastAsia="黑体" w:cs="Times New Roman"/>
          <w:lang w:eastAsia="zh-CN"/>
        </w:rPr>
        <w:t>风险承受能力评估流程</w:t>
      </w:r>
    </w:p>
    <w:p w14:paraId="6005F66F">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lang w:eastAsia="zh-CN"/>
        </w:rPr>
        <w:t>风险评估问卷</w:t>
      </w:r>
      <w:r>
        <w:rPr>
          <w:rFonts w:hint="eastAsia" w:ascii="仿宋_GB2312" w:eastAsia="仿宋_GB2312" w:cs="Times New Roman" w:hAnsiTheme="minorEastAsia"/>
          <w:bCs/>
          <w:sz w:val="20"/>
          <w:lang w:eastAsia="zh-CN"/>
        </w:rPr>
        <w:t>》确认评估结果。</w:t>
      </w:r>
    </w:p>
    <w:p w14:paraId="3F66A7DC">
      <w:pPr>
        <w:snapToGrid w:val="0"/>
        <w:ind w:firstLine="402" w:firstLineChars="200"/>
        <w:rPr>
          <w:rFonts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（二）投资者风险评估超过一年或发生可能影响自身风险承受能力情况的，再次购买理财产品时，必须通过贵阳农商银行营业网点或电子渠道重新完成风险承受能力持续评估。</w:t>
      </w:r>
    </w:p>
    <w:p w14:paraId="512F59CF">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（三）按照</w:t>
      </w:r>
      <w:r>
        <w:rPr>
          <w:rFonts w:hint="eastAsia" w:ascii="仿宋_GB2312" w:eastAsia="仿宋_GB2312" w:cs="Times New Roman" w:hAnsiTheme="minorEastAsia"/>
          <w:sz w:val="20"/>
          <w:lang w:val="en-US" w:eastAsia="zh-CN"/>
        </w:rPr>
        <w:t>国家金融监督管理总局</w:t>
      </w:r>
      <w:r>
        <w:rPr>
          <w:rFonts w:hint="eastAsia" w:ascii="仿宋_GB2312" w:eastAsia="仿宋_GB2312" w:cs="Times New Roman" w:hAnsiTheme="minorEastAsia"/>
          <w:bCs/>
          <w:sz w:val="20"/>
          <w:lang w:eastAsia="zh-CN"/>
        </w:rPr>
        <w:t>相关规定，投资者只能</w:t>
      </w:r>
      <w:r>
        <w:rPr>
          <w:rFonts w:hint="eastAsia" w:ascii="仿宋_GB2312" w:eastAsia="仿宋_GB2312" w:cs="Times New Roman" w:hAnsiTheme="minorEastAsia"/>
          <w:b w:val="0"/>
          <w:bCs/>
          <w:sz w:val="20"/>
          <w:lang w:val="en-US" w:eastAsia="zh-CN"/>
        </w:rPr>
        <w:t>认购/申购</w:t>
      </w:r>
      <w:r>
        <w:rPr>
          <w:rFonts w:hint="eastAsia" w:ascii="仿宋_GB2312" w:eastAsia="仿宋_GB2312" w:cs="Times New Roman" w:hAnsiTheme="minorEastAsia"/>
          <w:bCs/>
          <w:sz w:val="20"/>
          <w:lang w:eastAsia="zh-CN"/>
        </w:rPr>
        <w:t>理财产品风险等级与自身风险承受能力相匹配的理财产品，贵阳农商银行投资者评级与产品风险评级均分为五级，根据产品风险程度的不同，适合的投资者类型也不同。</w:t>
      </w:r>
    </w:p>
    <w:tbl>
      <w:tblPr>
        <w:tblStyle w:val="5"/>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73EA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3F5D6B5D">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产品风险等级</w:t>
            </w:r>
          </w:p>
        </w:tc>
        <w:tc>
          <w:tcPr>
            <w:tcW w:w="1290" w:type="dxa"/>
            <w:tcBorders>
              <w:top w:val="single" w:color="000000" w:sz="12" w:space="0"/>
            </w:tcBorders>
          </w:tcPr>
          <w:p w14:paraId="5D7AC81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风险程度</w:t>
            </w:r>
          </w:p>
        </w:tc>
        <w:tc>
          <w:tcPr>
            <w:tcW w:w="3543" w:type="dxa"/>
            <w:tcBorders>
              <w:top w:val="single" w:color="000000" w:sz="12" w:space="0"/>
            </w:tcBorders>
          </w:tcPr>
          <w:p w14:paraId="7036124C">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适合的投资者</w:t>
            </w:r>
          </w:p>
        </w:tc>
        <w:tc>
          <w:tcPr>
            <w:tcW w:w="1560" w:type="dxa"/>
            <w:tcBorders>
              <w:top w:val="single" w:color="000000" w:sz="12" w:space="0"/>
              <w:right w:val="single" w:color="000000" w:sz="12" w:space="0"/>
            </w:tcBorders>
          </w:tcPr>
          <w:p w14:paraId="46C843B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适合投资策略</w:t>
            </w:r>
          </w:p>
        </w:tc>
      </w:tr>
      <w:tr w14:paraId="2703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410F7B15">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一级</w:t>
            </w:r>
          </w:p>
        </w:tc>
        <w:tc>
          <w:tcPr>
            <w:tcW w:w="1290" w:type="dxa"/>
            <w:tcMar>
              <w:left w:w="170" w:type="dxa"/>
              <w:right w:w="170" w:type="dxa"/>
            </w:tcMar>
          </w:tcPr>
          <w:p w14:paraId="309EFECE">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低</w:t>
            </w:r>
          </w:p>
        </w:tc>
        <w:tc>
          <w:tcPr>
            <w:tcW w:w="3543" w:type="dxa"/>
          </w:tcPr>
          <w:p w14:paraId="5BB43796">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保守、稳健、平衡、成长、进取型</w:t>
            </w:r>
          </w:p>
        </w:tc>
        <w:tc>
          <w:tcPr>
            <w:tcW w:w="1560" w:type="dxa"/>
            <w:tcBorders>
              <w:right w:val="single" w:color="000000" w:sz="12" w:space="0"/>
            </w:tcBorders>
            <w:tcMar>
              <w:left w:w="170" w:type="dxa"/>
              <w:right w:w="170" w:type="dxa"/>
            </w:tcMar>
          </w:tcPr>
          <w:p w14:paraId="0E0EC5D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风险控制</w:t>
            </w:r>
          </w:p>
        </w:tc>
      </w:tr>
      <w:tr w14:paraId="0D29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36ADC714">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二级</w:t>
            </w:r>
          </w:p>
        </w:tc>
        <w:tc>
          <w:tcPr>
            <w:tcW w:w="1290" w:type="dxa"/>
            <w:tcMar>
              <w:left w:w="170" w:type="dxa"/>
              <w:right w:w="170" w:type="dxa"/>
            </w:tcMar>
          </w:tcPr>
          <w:p w14:paraId="057BC6D2">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较低</w:t>
            </w:r>
          </w:p>
        </w:tc>
        <w:tc>
          <w:tcPr>
            <w:tcW w:w="3543" w:type="dxa"/>
          </w:tcPr>
          <w:p w14:paraId="7B6565AC">
            <w:pPr>
              <w:pStyle w:val="11"/>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稳健、平衡、成长、进取型</w:t>
            </w:r>
          </w:p>
        </w:tc>
        <w:tc>
          <w:tcPr>
            <w:tcW w:w="1560" w:type="dxa"/>
            <w:tcBorders>
              <w:right w:val="single" w:color="000000" w:sz="12" w:space="0"/>
            </w:tcBorders>
            <w:tcMar>
              <w:left w:w="170" w:type="dxa"/>
              <w:right w:w="170" w:type="dxa"/>
            </w:tcMar>
          </w:tcPr>
          <w:p w14:paraId="2848A4C5">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稳健发展</w:t>
            </w:r>
          </w:p>
        </w:tc>
      </w:tr>
      <w:tr w14:paraId="3EDF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0C8DFF4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三级</w:t>
            </w:r>
          </w:p>
        </w:tc>
        <w:tc>
          <w:tcPr>
            <w:tcW w:w="1290" w:type="dxa"/>
            <w:tcMar>
              <w:left w:w="170" w:type="dxa"/>
              <w:right w:w="170" w:type="dxa"/>
            </w:tcMar>
          </w:tcPr>
          <w:p w14:paraId="4C99F19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中</w:t>
            </w:r>
          </w:p>
        </w:tc>
        <w:tc>
          <w:tcPr>
            <w:tcW w:w="3543" w:type="dxa"/>
          </w:tcPr>
          <w:p w14:paraId="3CF8AA63">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平衡、成长、进取型</w:t>
            </w:r>
          </w:p>
        </w:tc>
        <w:tc>
          <w:tcPr>
            <w:tcW w:w="1560" w:type="dxa"/>
            <w:tcBorders>
              <w:right w:val="single" w:color="000000" w:sz="12" w:space="0"/>
            </w:tcBorders>
            <w:tcMar>
              <w:left w:w="170" w:type="dxa"/>
              <w:right w:w="170" w:type="dxa"/>
            </w:tcMar>
          </w:tcPr>
          <w:p w14:paraId="4C116213">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均衡成长</w:t>
            </w:r>
          </w:p>
        </w:tc>
      </w:tr>
      <w:tr w14:paraId="011FE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6801099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四级</w:t>
            </w:r>
          </w:p>
        </w:tc>
        <w:tc>
          <w:tcPr>
            <w:tcW w:w="1290" w:type="dxa"/>
            <w:tcMar>
              <w:left w:w="170" w:type="dxa"/>
              <w:right w:w="170" w:type="dxa"/>
            </w:tcMar>
          </w:tcPr>
          <w:p w14:paraId="408F043F">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较高</w:t>
            </w:r>
          </w:p>
        </w:tc>
        <w:tc>
          <w:tcPr>
            <w:tcW w:w="3543" w:type="dxa"/>
          </w:tcPr>
          <w:p w14:paraId="354B0A09">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成长、进取型</w:t>
            </w:r>
          </w:p>
        </w:tc>
        <w:tc>
          <w:tcPr>
            <w:tcW w:w="1560" w:type="dxa"/>
            <w:tcBorders>
              <w:right w:val="single" w:color="000000" w:sz="12" w:space="0"/>
            </w:tcBorders>
            <w:tcMar>
              <w:left w:w="170" w:type="dxa"/>
              <w:right w:w="170" w:type="dxa"/>
            </w:tcMar>
          </w:tcPr>
          <w:p w14:paraId="6A2DF86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积极进取</w:t>
            </w:r>
          </w:p>
        </w:tc>
      </w:tr>
      <w:tr w14:paraId="7325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0840E03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五级</w:t>
            </w:r>
          </w:p>
        </w:tc>
        <w:tc>
          <w:tcPr>
            <w:tcW w:w="1290" w:type="dxa"/>
            <w:tcBorders>
              <w:bottom w:val="single" w:color="000000" w:sz="12" w:space="0"/>
            </w:tcBorders>
            <w:tcMar>
              <w:left w:w="170" w:type="dxa"/>
              <w:right w:w="170" w:type="dxa"/>
            </w:tcMar>
          </w:tcPr>
          <w:p w14:paraId="1EA7456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高</w:t>
            </w:r>
          </w:p>
        </w:tc>
        <w:tc>
          <w:tcPr>
            <w:tcW w:w="3543" w:type="dxa"/>
            <w:tcBorders>
              <w:bottom w:val="single" w:color="000000" w:sz="12" w:space="0"/>
            </w:tcBorders>
          </w:tcPr>
          <w:p w14:paraId="614AEEFE">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进取型</w:t>
            </w:r>
          </w:p>
        </w:tc>
        <w:tc>
          <w:tcPr>
            <w:tcW w:w="1560" w:type="dxa"/>
            <w:tcBorders>
              <w:bottom w:val="single" w:color="000000" w:sz="12" w:space="0"/>
              <w:right w:val="single" w:color="000000" w:sz="12" w:space="0"/>
            </w:tcBorders>
            <w:tcMar>
              <w:left w:w="170" w:type="dxa"/>
              <w:right w:w="170" w:type="dxa"/>
            </w:tcMar>
          </w:tcPr>
          <w:p w14:paraId="6A2EE15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风险承受</w:t>
            </w:r>
          </w:p>
        </w:tc>
      </w:tr>
    </w:tbl>
    <w:p w14:paraId="458EF234">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三、信息披露</w:t>
      </w:r>
    </w:p>
    <w:p w14:paraId="5665DFE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50E8F789">
      <w:pPr>
        <w:pStyle w:val="3"/>
        <w:keepNext w:val="0"/>
        <w:keepLines w:val="0"/>
        <w:pageBreakBefore w:val="0"/>
        <w:widowControl w:val="0"/>
        <w:kinsoku/>
        <w:wordWrap w:val="0"/>
        <w:overflowPunct/>
        <w:topLinePunct w:val="0"/>
        <w:autoSpaceDE/>
        <w:autoSpaceDN/>
        <w:bidi w:val="0"/>
        <w:adjustRightInd/>
        <w:snapToGrid/>
        <w:spacing w:before="0" w:line="240" w:lineRule="auto"/>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eastAsia="仿宋_GB2312" w:cs="Times New Roman" w:hAnsiTheme="minorEastAsia"/>
          <w:sz w:val="20"/>
          <w:lang w:val="en-US" w:eastAsia="zh-CN"/>
        </w:rPr>
        <w:t xml:space="preserve"> </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3210D20D">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4DBA0DA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58A6594F">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02D4E08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016C499A">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6F46441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50A90397">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63E8526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7404BB6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353D65F9">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27DBDECA">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四、投诉及咨询电话</w:t>
      </w:r>
    </w:p>
    <w:p w14:paraId="69D86CEE">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若您在理财产品办理中有</w:t>
      </w:r>
      <w:r>
        <w:rPr>
          <w:rFonts w:hint="eastAsia" w:ascii="仿宋_GB2312" w:eastAsia="仿宋_GB2312" w:cs="Times New Roman" w:hAnsiTheme="minorEastAsia"/>
          <w:bCs/>
          <w:sz w:val="20"/>
          <w:lang w:val="en-US" w:eastAsia="zh-CN"/>
        </w:rPr>
        <w:t>任何</w:t>
      </w:r>
      <w:r>
        <w:rPr>
          <w:rFonts w:hint="eastAsia" w:ascii="仿宋_GB2312" w:eastAsia="仿宋_GB2312" w:cs="Times New Roman" w:hAnsiTheme="minorEastAsia"/>
          <w:bCs/>
          <w:sz w:val="20"/>
          <w:lang w:eastAsia="zh-CN"/>
        </w:rPr>
        <w:t>疑问或者投诉，可拨打我行客服电话</w:t>
      </w:r>
      <w:r>
        <w:rPr>
          <w:rFonts w:hint="eastAsia" w:ascii="仿宋_GB2312" w:eastAsia="仿宋_GB2312" w:cs="Times New Roman" w:hAnsiTheme="minorEastAsia"/>
          <w:b/>
          <w:bCs w:val="0"/>
          <w:sz w:val="20"/>
          <w:lang w:eastAsia="zh-CN"/>
        </w:rPr>
        <w:t>0851-</w:t>
      </w:r>
      <w:r>
        <w:rPr>
          <w:rFonts w:hint="eastAsia" w:ascii="仿宋_GB2312" w:eastAsia="仿宋_GB2312" w:cs="Times New Roman" w:hAnsiTheme="minorEastAsia"/>
          <w:b/>
          <w:bCs w:val="0"/>
          <w:sz w:val="20"/>
          <w:lang w:val="en-US" w:eastAsia="zh-CN"/>
        </w:rPr>
        <w:t>96688</w:t>
      </w:r>
      <w:r>
        <w:rPr>
          <w:rFonts w:hint="eastAsia" w:ascii="仿宋_GB2312" w:eastAsia="仿宋_GB2312" w:cs="Times New Roman" w:hAnsiTheme="minorEastAsia"/>
          <w:bCs/>
          <w:sz w:val="20"/>
          <w:lang w:eastAsia="zh-CN"/>
        </w:rPr>
        <w:t>，或到贵阳农商银行营业网点进行咨询</w:t>
      </w:r>
      <w:r>
        <w:rPr>
          <w:rFonts w:hint="eastAsia" w:ascii="仿宋_GB2312" w:hAnsi="宋体" w:eastAsia="仿宋_GB2312" w:cs="Times New Roman"/>
          <w:bCs/>
          <w:color w:val="auto"/>
          <w:sz w:val="20"/>
          <w:highlight w:val="none"/>
          <w:lang w:eastAsia="zh-CN"/>
        </w:rPr>
        <w:t>，</w:t>
      </w:r>
      <w:r>
        <w:rPr>
          <w:rFonts w:hint="eastAsia" w:ascii="仿宋_GB2312" w:hAnsi="宋体" w:eastAsia="仿宋_GB2312" w:cs="Times New Roman"/>
          <w:bCs/>
          <w:color w:val="auto"/>
          <w:sz w:val="20"/>
          <w:highlight w:val="none"/>
          <w:lang w:val="en-US" w:eastAsia="zh-CN"/>
        </w:rPr>
        <w:t>贵阳农商银行工作人员将竭诚为您服务</w:t>
      </w:r>
      <w:r>
        <w:rPr>
          <w:rFonts w:hint="eastAsia" w:ascii="仿宋_GB2312" w:hAnsi="宋体" w:eastAsia="仿宋_GB2312" w:cs="Times New Roman"/>
          <w:bCs/>
          <w:color w:val="auto"/>
          <w:sz w:val="20"/>
          <w:highlight w:val="none"/>
          <w:lang w:eastAsia="zh-CN"/>
        </w:rPr>
        <w:t>。</w:t>
      </w:r>
    </w:p>
    <w:p w14:paraId="0B12A15C">
      <w:pPr>
        <w:snapToGrid w:val="0"/>
        <w:ind w:firstLine="402" w:firstLineChars="200"/>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lang w:eastAsia="zh-CN"/>
        </w:rPr>
        <w:t>投诉流程：1.拨打0851-96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
          <w:bCs w:val="0"/>
          <w:sz w:val="20"/>
          <w:lang w:eastAsia="zh-CN"/>
        </w:rPr>
        <w:t>投诉；</w:t>
      </w:r>
      <w:r>
        <w:rPr>
          <w:rFonts w:hint="eastAsia" w:ascii="仿宋_GB2312" w:eastAsia="仿宋_GB2312" w:cs="Times New Roman" w:hAnsiTheme="minorEastAsia"/>
          <w:b/>
          <w:bCs w:val="0"/>
          <w:sz w:val="20"/>
          <w:highlight w:val="none"/>
          <w:lang w:eastAsia="zh-CN"/>
        </w:rPr>
        <w:t xml:space="preserve">2. </w:t>
      </w:r>
      <w:r>
        <w:rPr>
          <w:rFonts w:hint="eastAsia" w:ascii="仿宋_GB2312" w:hAnsi="宋体" w:eastAsia="仿宋_GB2312" w:cs="Times New Roman"/>
          <w:b/>
          <w:bCs w:val="0"/>
          <w:color w:val="auto"/>
          <w:sz w:val="20"/>
          <w:highlight w:val="none"/>
          <w:lang w:eastAsia="zh-CN"/>
        </w:rPr>
        <w:t>客服中心</w:t>
      </w:r>
      <w:r>
        <w:rPr>
          <w:rFonts w:hint="eastAsia" w:ascii="仿宋_GB2312" w:hAnsi="宋体" w:eastAsia="仿宋_GB2312" w:cs="Times New Roman"/>
          <w:b/>
          <w:bCs w:val="0"/>
          <w:color w:val="auto"/>
          <w:sz w:val="20"/>
          <w:highlight w:val="none"/>
          <w:lang w:val="en-US" w:eastAsia="zh-CN"/>
        </w:rPr>
        <w:t>初步核实相应情况并</w:t>
      </w:r>
      <w:r>
        <w:rPr>
          <w:rFonts w:hint="eastAsia" w:ascii="仿宋_GB2312" w:hAnsi="宋体" w:eastAsia="仿宋_GB2312" w:cs="Times New Roman"/>
          <w:b/>
          <w:bCs w:val="0"/>
          <w:color w:val="auto"/>
          <w:sz w:val="20"/>
          <w:highlight w:val="none"/>
          <w:lang w:eastAsia="zh-CN"/>
        </w:rPr>
        <w:t>记录投诉内容</w:t>
      </w:r>
      <w:r>
        <w:rPr>
          <w:rFonts w:hint="eastAsia" w:ascii="仿宋_GB2312" w:eastAsia="仿宋_GB2312" w:cs="Times New Roman" w:hAnsiTheme="minorEastAsia"/>
          <w:b/>
          <w:bCs w:val="0"/>
          <w:sz w:val="20"/>
          <w:highlight w:val="none"/>
          <w:lang w:eastAsia="zh-CN"/>
        </w:rPr>
        <w:t>；3.</w:t>
      </w:r>
      <w:r>
        <w:rPr>
          <w:rFonts w:hint="eastAsia" w:ascii="仿宋_GB2312" w:hAnsi="宋体" w:eastAsia="仿宋_GB2312" w:cs="Times New Roman"/>
          <w:b/>
          <w:bCs w:val="0"/>
          <w:color w:val="auto"/>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w:t>
      </w:r>
      <w:r>
        <w:rPr>
          <w:rFonts w:hint="eastAsia" w:ascii="仿宋_GB2312" w:hAnsi="宋体" w:eastAsia="仿宋_GB2312" w:cs="Times New Roman"/>
          <w:b/>
          <w:bCs w:val="0"/>
          <w:color w:val="auto"/>
          <w:sz w:val="20"/>
          <w:highlight w:val="none"/>
          <w:lang w:eastAsia="zh-CN"/>
        </w:rPr>
        <w:t>4.</w:t>
      </w:r>
      <w:r>
        <w:rPr>
          <w:rFonts w:hint="eastAsia" w:ascii="仿宋_GB2312" w:hAnsi="宋体" w:eastAsia="仿宋_GB2312" w:cs="Times New Roman"/>
          <w:b/>
          <w:bCs w:val="0"/>
          <w:color w:val="auto"/>
          <w:sz w:val="20"/>
          <w:highlight w:val="none"/>
          <w:lang w:val="en-US" w:eastAsia="zh-CN"/>
        </w:rPr>
        <w:t>投诉处理；</w:t>
      </w:r>
      <w:r>
        <w:rPr>
          <w:rFonts w:hint="eastAsia" w:ascii="仿宋_GB2312" w:eastAsia="仿宋_GB2312" w:cs="Times New Roman" w:hAnsiTheme="minorEastAsia"/>
          <w:b/>
          <w:bCs w:val="0"/>
          <w:sz w:val="20"/>
          <w:highlight w:val="none"/>
          <w:lang w:val="en-US" w:eastAsia="zh-CN"/>
        </w:rPr>
        <w:t>5</w:t>
      </w:r>
      <w:r>
        <w:rPr>
          <w:rFonts w:hint="eastAsia" w:ascii="仿宋_GB2312" w:eastAsia="仿宋_GB2312" w:cs="Times New Roman" w:hAnsiTheme="minorEastAsia"/>
          <w:b/>
          <w:bCs w:val="0"/>
          <w:sz w:val="20"/>
          <w:highlight w:val="none"/>
          <w:lang w:eastAsia="zh-CN"/>
        </w:rPr>
        <w:t>.客服中心向您反馈处理结果。</w:t>
      </w:r>
    </w:p>
    <w:p w14:paraId="6802EFE8">
      <w:pPr>
        <w:rPr>
          <w:rFonts w:ascii="Times New Roman" w:hAnsi="Times New Roman" w:eastAsia="方正小标宋简体" w:cs="Times New Roman"/>
          <w:spacing w:val="1"/>
          <w:lang w:eastAsia="zh-CN"/>
        </w:rPr>
      </w:pPr>
      <w:r>
        <w:rPr>
          <w:rFonts w:ascii="Times New Roman" w:hAnsi="Times New Roman" w:eastAsia="方正小标宋简体" w:cs="Times New Roman"/>
          <w:spacing w:val="1"/>
          <w:lang w:eastAsia="zh-CN"/>
        </w:rPr>
        <w:br w:type="page"/>
      </w:r>
    </w:p>
    <w:p w14:paraId="3C6F4F04">
      <w:pPr>
        <w:rPr>
          <w:rFonts w:ascii="Times New Roman" w:hAnsi="Times New Roman" w:eastAsia="方正小标宋简体" w:cs="Times New Roman"/>
          <w:spacing w:val="1"/>
          <w:lang w:eastAsia="zh-CN"/>
        </w:rPr>
      </w:pPr>
    </w:p>
    <w:p w14:paraId="1282D46E">
      <w:pPr>
        <w:pStyle w:val="13"/>
        <w:ind w:right="271"/>
        <w:jc w:val="center"/>
        <w:rPr>
          <w:rFonts w:hint="eastAsia" w:ascii="方正小标宋_GBK" w:hAnsi="方正小标宋_GBK" w:eastAsia="方正小标宋_GBK" w:cs="方正小标宋_GBK"/>
          <w:spacing w:val="1"/>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-244475</wp:posOffset>
            </wp:positionV>
            <wp:extent cx="581660" cy="805180"/>
            <wp:effectExtent l="0" t="0" r="8890" b="13970"/>
            <wp:wrapNone/>
            <wp:docPr id="6"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lang w:eastAsia="zh-CN"/>
        </w:rPr>
        <w:t>贵阳农商银行</w:t>
      </w:r>
      <w:r>
        <w:rPr>
          <w:rFonts w:hint="eastAsia" w:ascii="方正小标宋_GBK" w:hAnsi="方正小标宋_GBK" w:eastAsia="方正小标宋_GBK" w:cs="方正小标宋_GBK"/>
          <w:sz w:val="36"/>
          <w:szCs w:val="36"/>
          <w:lang w:eastAsia="zh-CN"/>
        </w:rPr>
        <w:t>理财产品风险揭示书</w:t>
      </w:r>
    </w:p>
    <w:p w14:paraId="49EEE516">
      <w:pPr>
        <w:jc w:val="center"/>
        <w:rPr>
          <w:rFonts w:ascii="Times New Roman" w:hAnsi="黑体" w:eastAsia="黑体" w:cs="Times New Roman"/>
          <w:b/>
          <w:sz w:val="18"/>
          <w:szCs w:val="13"/>
          <w:lang w:eastAsia="zh-CN"/>
        </w:rPr>
      </w:pPr>
      <w:r>
        <w:rPr>
          <w:rFonts w:ascii="Times New Roman" w:hAnsi="黑体" w:eastAsia="黑体" w:cs="Times New Roman"/>
          <w:b/>
          <w:sz w:val="18"/>
          <w:szCs w:val="13"/>
          <w:lang w:eastAsia="zh-CN"/>
        </w:rPr>
        <w:t>理财非存款、产品有风险、投资须谨慎</w:t>
      </w:r>
    </w:p>
    <w:p w14:paraId="7841FF7B">
      <w:pPr>
        <w:jc w:val="center"/>
        <w:rPr>
          <w:rFonts w:ascii="Times New Roman" w:hAnsi="黑体" w:eastAsia="黑体" w:cs="Times New Roman"/>
          <w:b/>
          <w:sz w:val="18"/>
          <w:szCs w:val="13"/>
          <w:lang w:eastAsia="zh-CN"/>
        </w:rPr>
      </w:pPr>
      <w:r>
        <w:rPr>
          <w:rFonts w:hint="eastAsia" w:ascii="Times New Roman" w:hAnsi="黑体" w:eastAsia="黑体" w:cs="Times New Roman"/>
          <w:b/>
          <w:sz w:val="18"/>
          <w:szCs w:val="13"/>
          <w:lang w:eastAsia="zh-CN"/>
        </w:rPr>
        <w:t>理财产品过往业绩不代表其未来表现，不等于理财产品实际收益，投资须谨慎</w:t>
      </w:r>
    </w:p>
    <w:p w14:paraId="4DA43F75">
      <w:pPr>
        <w:ind w:left="140"/>
        <w:rPr>
          <w:rFonts w:ascii="仿宋_GB2312" w:hAnsi="Times New Roman" w:eastAsia="仿宋_GB2312" w:cs="Times New Roman"/>
          <w:b/>
          <w:sz w:val="20"/>
          <w:szCs w:val="20"/>
          <w:lang w:eastAsia="zh-CN"/>
        </w:rPr>
      </w:pPr>
      <w:r>
        <w:rPr>
          <w:rFonts w:ascii="仿宋_GB2312" w:hAnsi="黑体" w:eastAsia="仿宋_GB2312" w:cs="Times New Roman"/>
          <w:b/>
          <w:sz w:val="20"/>
          <w:szCs w:val="20"/>
          <w:lang w:eastAsia="zh-CN"/>
        </w:rPr>
        <w:t>尊敬的</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w:t>
      </w:r>
    </w:p>
    <w:p w14:paraId="4CB19717">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理财产品管理</w:t>
      </w:r>
      <w:r>
        <w:rPr>
          <w:rFonts w:hint="eastAsia" w:ascii="仿宋_GB2312" w:hAnsi="黑体" w:eastAsia="仿宋_GB2312" w:cs="Times New Roman"/>
          <w:spacing w:val="2"/>
          <w:sz w:val="20"/>
          <w:szCs w:val="20"/>
          <w:lang w:val="en-US" w:eastAsia="zh-CN"/>
        </w:rPr>
        <w:t>运行</w:t>
      </w:r>
      <w:r>
        <w:rPr>
          <w:rFonts w:ascii="仿宋_GB2312" w:hAnsi="黑体" w:eastAsia="仿宋_GB2312" w:cs="Times New Roman"/>
          <w:spacing w:val="2"/>
          <w:sz w:val="20"/>
          <w:szCs w:val="20"/>
          <w:lang w:eastAsia="zh-CN"/>
        </w:rPr>
        <w:t>过程</w:t>
      </w:r>
      <w:r>
        <w:rPr>
          <w:rFonts w:hint="eastAsia" w:ascii="仿宋_GB2312" w:hAnsi="黑体" w:eastAsia="仿宋_GB2312" w:cs="Times New Roman"/>
          <w:spacing w:val="2"/>
          <w:sz w:val="20"/>
          <w:szCs w:val="20"/>
          <w:lang w:val="en-US" w:eastAsia="zh-CN"/>
        </w:rPr>
        <w:t>中</w:t>
      </w:r>
      <w:r>
        <w:rPr>
          <w:rFonts w:ascii="仿宋_GB2312" w:hAnsi="黑体" w:eastAsia="仿宋_GB2312" w:cs="Times New Roman"/>
          <w:spacing w:val="2"/>
          <w:sz w:val="20"/>
          <w:szCs w:val="20"/>
          <w:lang w:eastAsia="zh-CN"/>
        </w:rPr>
        <w:t>，可能会面临多种风险因素。因此，根据相关监管规定的要求，贵阳农商</w:t>
      </w:r>
      <w:r>
        <w:rPr>
          <w:rFonts w:ascii="仿宋_GB2312" w:hAnsi="黑体" w:eastAsia="仿宋_GB2312" w:cs="Times New Roman"/>
          <w:sz w:val="20"/>
          <w:szCs w:val="20"/>
          <w:lang w:eastAsia="zh-CN"/>
        </w:rPr>
        <w:t>银行（理财产品管理人）郑重提示：</w:t>
      </w:r>
    </w:p>
    <w:p w14:paraId="3E00445C">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本期产品为</w:t>
      </w:r>
      <w:r>
        <w:rPr>
          <w:rFonts w:ascii="仿宋_GB2312" w:hAnsi="黑体" w:eastAsia="仿宋_GB2312" w:cs="Times New Roman"/>
          <w:b/>
          <w:spacing w:val="2"/>
          <w:sz w:val="20"/>
          <w:szCs w:val="20"/>
          <w:lang w:eastAsia="zh-CN"/>
        </w:rPr>
        <w:t>非保本浮动收益型理财产品，不保证本金和收益</w:t>
      </w:r>
      <w:r>
        <w:rPr>
          <w:rFonts w:ascii="仿宋_GB2312" w:hAnsi="黑体" w:eastAsia="仿宋_GB2312" w:cs="Times New Roman"/>
          <w:spacing w:val="2"/>
          <w:sz w:val="20"/>
          <w:szCs w:val="20"/>
          <w:lang w:eastAsia="zh-CN"/>
        </w:rPr>
        <w:t>，请您充分认识投资风险，谨慎投资。本产品任何业绩比较基准、预计收益、测算收益或类似表述</w:t>
      </w:r>
      <w:r>
        <w:rPr>
          <w:rFonts w:ascii="仿宋_GB2312" w:hAnsi="黑体" w:eastAsia="仿宋_GB2312" w:cs="Times New Roman"/>
          <w:sz w:val="20"/>
          <w:szCs w:val="20"/>
          <w:lang w:eastAsia="zh-CN"/>
        </w:rPr>
        <w:t>不代表</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可能获得的实际收益，亦不构成贵阳农商银行对本产品的任何收益承诺。</w:t>
      </w:r>
    </w:p>
    <w:p w14:paraId="7AE3286A">
      <w:pPr>
        <w:ind w:left="140" w:right="154" w:firstLine="400"/>
        <w:jc w:val="both"/>
        <w:rPr>
          <w:rFonts w:ascii="仿宋_GB2312" w:hAnsi="黑体" w:eastAsia="仿宋_GB2312" w:cs="Times New Roman"/>
          <w:b/>
          <w:bCs/>
          <w:sz w:val="20"/>
          <w:szCs w:val="20"/>
          <w:lang w:eastAsia="zh-CN"/>
        </w:rPr>
      </w:pPr>
      <w:r>
        <w:rPr>
          <w:rFonts w:ascii="仿宋_GB2312" w:hAnsi="黑体" w:eastAsia="仿宋_GB2312" w:cs="Times New Roman"/>
          <w:b/>
          <w:bCs/>
          <w:sz w:val="20"/>
          <w:szCs w:val="20"/>
          <w:lang w:eastAsia="zh-CN"/>
        </w:rPr>
        <w:t>本期产品期限</w:t>
      </w:r>
      <w:r>
        <w:rPr>
          <w:rFonts w:hint="eastAsia" w:ascii="仿宋_GB2312" w:hAnsi="黑体" w:eastAsia="仿宋_GB2312" w:cs="Times New Roman"/>
          <w:b/>
          <w:bCs/>
          <w:sz w:val="20"/>
          <w:szCs w:val="20"/>
          <w:u w:val="none"/>
          <w:lang w:val="en-US" w:eastAsia="zh-CN"/>
        </w:rPr>
        <w:t>20</w:t>
      </w:r>
      <w:r>
        <w:rPr>
          <w:rFonts w:hint="eastAsia" w:ascii="仿宋_GB2312" w:hAnsi="黑体" w:eastAsia="仿宋_GB2312" w:cs="Times New Roman"/>
          <w:b/>
          <w:bCs/>
          <w:sz w:val="20"/>
          <w:szCs w:val="20"/>
          <w:lang w:val="en-US" w:eastAsia="zh-CN"/>
        </w:rPr>
        <w:t>年</w:t>
      </w:r>
      <w:r>
        <w:rPr>
          <w:rFonts w:hint="eastAsia" w:ascii="仿宋_GB2312" w:hAnsi="黑体" w:eastAsia="仿宋_GB2312" w:cs="Times New Roman"/>
          <w:b/>
          <w:bCs/>
          <w:sz w:val="20"/>
          <w:szCs w:val="20"/>
          <w:lang w:eastAsia="zh-CN"/>
        </w:rPr>
        <w:t>，</w:t>
      </w:r>
      <w:r>
        <w:rPr>
          <w:rFonts w:ascii="仿宋_GB2312" w:hAnsi="黑体" w:eastAsia="仿宋_GB2312" w:cs="Times New Roman"/>
          <w:b/>
          <w:bCs/>
          <w:spacing w:val="-3"/>
          <w:sz w:val="20"/>
          <w:szCs w:val="20"/>
          <w:lang w:eastAsia="zh-CN"/>
        </w:rPr>
        <w:t>贵阳农商银行有权对本期产品进行展期和提前终止，封闭期内产品</w:t>
      </w:r>
      <w:r>
        <w:rPr>
          <w:rFonts w:ascii="仿宋_GB2312" w:hAnsi="黑体" w:eastAsia="仿宋_GB2312" w:cs="Times New Roman"/>
          <w:b/>
          <w:bCs/>
          <w:sz w:val="20"/>
          <w:szCs w:val="20"/>
          <w:lang w:eastAsia="zh-CN"/>
        </w:rPr>
        <w:t>不</w:t>
      </w:r>
      <w:r>
        <w:rPr>
          <w:rFonts w:hint="eastAsia" w:ascii="仿宋_GB2312" w:hAnsi="黑体" w:eastAsia="仿宋_GB2312" w:cs="Times New Roman"/>
          <w:b/>
          <w:bCs/>
          <w:sz w:val="20"/>
          <w:szCs w:val="20"/>
          <w:lang w:val="en-US" w:eastAsia="zh-CN"/>
        </w:rPr>
        <w:t>开放</w:t>
      </w:r>
      <w:r>
        <w:rPr>
          <w:rFonts w:ascii="仿宋_GB2312" w:hAnsi="黑体" w:eastAsia="仿宋_GB2312" w:cs="Times New Roman"/>
          <w:b/>
          <w:bCs/>
          <w:sz w:val="20"/>
          <w:szCs w:val="20"/>
          <w:lang w:eastAsia="zh-CN"/>
        </w:rPr>
        <w:t>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赎回申请，开放期内接受申购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w:t>
      </w:r>
      <w:r>
        <w:rPr>
          <w:rFonts w:hint="eastAsia" w:ascii="仿宋_GB2312" w:hAnsi="黑体" w:eastAsia="仿宋_GB2312" w:cs="Times New Roman"/>
          <w:b/>
          <w:bCs/>
          <w:sz w:val="20"/>
          <w:szCs w:val="20"/>
          <w:lang w:eastAsia="zh-CN"/>
        </w:rPr>
        <w:t>，</w:t>
      </w:r>
      <w:r>
        <w:rPr>
          <w:rFonts w:hint="eastAsia" w:ascii="仿宋_GB2312" w:hAnsi="黑体" w:eastAsia="仿宋_GB2312" w:cs="Times New Roman"/>
          <w:b/>
          <w:bCs/>
          <w:sz w:val="20"/>
          <w:szCs w:val="20"/>
          <w:lang w:val="en-US" w:eastAsia="zh-CN"/>
        </w:rPr>
        <w:t>赎回宽限期内仅接受赎回申请</w:t>
      </w:r>
      <w:r>
        <w:rPr>
          <w:rFonts w:ascii="仿宋_GB2312" w:hAnsi="黑体" w:eastAsia="仿宋_GB2312" w:cs="Times New Roman"/>
          <w:b/>
          <w:bCs/>
          <w:sz w:val="20"/>
          <w:szCs w:val="20"/>
          <w:lang w:eastAsia="zh-CN"/>
        </w:rPr>
        <w:t>。</w:t>
      </w:r>
    </w:p>
    <w:p w14:paraId="16757409">
      <w:pPr>
        <w:ind w:left="140" w:right="154" w:firstLine="400"/>
        <w:jc w:val="both"/>
        <w:rPr>
          <w:rFonts w:ascii="仿宋_GB2312" w:hAnsi="黑体" w:eastAsia="仿宋_GB2312" w:cs="Times New Roman"/>
          <w:spacing w:val="2"/>
          <w:sz w:val="20"/>
          <w:szCs w:val="20"/>
          <w:lang w:eastAsia="zh-CN"/>
        </w:rPr>
      </w:pPr>
      <w:r>
        <w:rPr>
          <w:rFonts w:ascii="仿宋_GB2312" w:hAnsi="黑体" w:eastAsia="仿宋_GB2312" w:cs="Times New Roman"/>
          <w:sz w:val="20"/>
          <w:szCs w:val="20"/>
          <w:lang w:eastAsia="zh-CN"/>
        </w:rPr>
        <w:t>产品风险</w:t>
      </w:r>
      <w:r>
        <w:rPr>
          <w:rFonts w:ascii="仿宋_GB2312" w:hAnsi="黑体" w:eastAsia="仿宋_GB2312" w:cs="Times New Roman"/>
          <w:spacing w:val="-2"/>
          <w:sz w:val="20"/>
          <w:szCs w:val="20"/>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b/>
          <w:bCs/>
          <w:spacing w:val="-2"/>
          <w:sz w:val="20"/>
          <w:szCs w:val="20"/>
          <w:lang w:eastAsia="zh-CN"/>
        </w:rPr>
        <w:t>风险</w:t>
      </w:r>
      <w:r>
        <w:rPr>
          <w:rFonts w:hint="eastAsia" w:ascii="仿宋_GB2312" w:hAnsi="黑体" w:eastAsia="仿宋_GB2312" w:cs="Times New Roman"/>
          <w:spacing w:val="-2"/>
          <w:sz w:val="20"/>
          <w:szCs w:val="20"/>
          <w:lang w:eastAsia="zh-CN"/>
        </w:rPr>
        <w:t>。</w:t>
      </w:r>
      <w:r>
        <w:rPr>
          <w:rFonts w:ascii="仿宋_GB2312" w:hAnsi="黑体" w:eastAsia="仿宋_GB2312" w:cs="Times New Roman"/>
          <w:spacing w:val="-2"/>
          <w:sz w:val="20"/>
          <w:szCs w:val="20"/>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lang w:eastAsia="zh-CN"/>
        </w:rPr>
        <w:t>，风险适用于稳健型、平衡型、成长型和进取型</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。最不利情况下，</w:t>
      </w:r>
      <w:r>
        <w:rPr>
          <w:rFonts w:ascii="仿宋_GB2312" w:hAnsi="黑体" w:eastAsia="仿宋_GB2312" w:cs="Times New Roman"/>
          <w:spacing w:val="2"/>
          <w:sz w:val="20"/>
          <w:szCs w:val="20"/>
          <w:lang w:eastAsia="zh-CN"/>
        </w:rPr>
        <w:t>资产组合无法回收任何本金和净收益，</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将损失全部本金。</w:t>
      </w:r>
    </w:p>
    <w:p w14:paraId="14585ADE">
      <w:pPr>
        <w:ind w:left="140" w:right="154" w:firstLine="400"/>
        <w:jc w:val="both"/>
        <w:rPr>
          <w:rFonts w:ascii="仿宋_GB2312" w:hAnsi="Times New Roman" w:eastAsia="仿宋_GB2312" w:cs="Times New Roman"/>
          <w:b/>
          <w:bCs/>
          <w:sz w:val="20"/>
          <w:szCs w:val="20"/>
          <w:lang w:eastAsia="zh-CN"/>
        </w:rPr>
      </w:pPr>
      <w:r>
        <w:rPr>
          <w:rFonts w:ascii="仿宋_GB2312" w:hAnsi="黑体" w:eastAsia="仿宋_GB2312" w:cs="Times New Roman"/>
          <w:b/>
          <w:bCs/>
          <w:spacing w:val="2"/>
          <w:sz w:val="20"/>
          <w:szCs w:val="20"/>
          <w:lang w:eastAsia="zh-CN"/>
        </w:rPr>
        <w:t>投资者不得使用贷款、发行债券等筹集的非自有资金投资本产品。</w:t>
      </w:r>
    </w:p>
    <w:p w14:paraId="3E194ABD">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示例：若投资者持有理财产品份额100,000.00份，开放期内投资者赎回全部持有的份额，赎回时</w:t>
      </w:r>
      <w:r>
        <w:rPr>
          <w:rFonts w:hint="eastAsia" w:ascii="仿宋_GB2312" w:hAnsi="黑体" w:eastAsia="仿宋_GB2312" w:cs="Times New Roman"/>
          <w:spacing w:val="-2"/>
          <w:sz w:val="20"/>
          <w:szCs w:val="20"/>
          <w:lang w:val="en-US" w:eastAsia="zh-CN"/>
        </w:rPr>
        <w:t>理财</w:t>
      </w:r>
      <w:r>
        <w:rPr>
          <w:rFonts w:hint="eastAsia" w:ascii="仿宋_GB2312" w:hAnsi="黑体" w:eastAsia="仿宋_GB2312" w:cs="Times New Roman"/>
          <w:spacing w:val="-2"/>
          <w:sz w:val="20"/>
          <w:szCs w:val="20"/>
          <w:lang w:eastAsia="zh-CN"/>
        </w:rPr>
        <w:t>产品</w:t>
      </w:r>
      <w:r>
        <w:rPr>
          <w:rFonts w:hint="eastAsia" w:ascii="仿宋_GB2312" w:hAnsi="黑体" w:eastAsia="仿宋_GB2312" w:cs="Times New Roman"/>
          <w:spacing w:val="-2"/>
          <w:sz w:val="20"/>
          <w:szCs w:val="20"/>
          <w:lang w:val="en-US" w:eastAsia="zh-CN"/>
        </w:rPr>
        <w:t>单位</w:t>
      </w:r>
      <w:r>
        <w:rPr>
          <w:rFonts w:hint="eastAsia" w:ascii="仿宋_GB2312" w:hAnsi="黑体" w:eastAsia="仿宋_GB2312" w:cs="Times New Roman"/>
          <w:spacing w:val="-2"/>
          <w:sz w:val="20"/>
          <w:szCs w:val="20"/>
          <w:lang w:eastAsia="zh-CN"/>
        </w:rPr>
        <w:t>净值为1.0630</w:t>
      </w:r>
      <w:r>
        <w:rPr>
          <w:rFonts w:hint="eastAsia" w:ascii="仿宋_GB2312" w:hAnsi="黑体" w:eastAsia="仿宋_GB2312" w:cs="Times New Roman"/>
          <w:spacing w:val="-2"/>
          <w:sz w:val="20"/>
          <w:szCs w:val="20"/>
          <w:lang w:val="en-US" w:eastAsia="zh-CN"/>
        </w:rPr>
        <w:t>元/份</w:t>
      </w:r>
      <w:r>
        <w:rPr>
          <w:rFonts w:ascii="仿宋_GB2312" w:hAnsi="黑体" w:eastAsia="仿宋_GB2312" w:cs="Times New Roman"/>
          <w:spacing w:val="-2"/>
          <w:sz w:val="20"/>
          <w:szCs w:val="20"/>
          <w:lang w:eastAsia="zh-CN"/>
        </w:rPr>
        <w:t>，除本金外，</w:t>
      </w:r>
      <w:r>
        <w:rPr>
          <w:rFonts w:hint="eastAsia" w:ascii="仿宋_GB2312" w:hAnsi="黑体" w:eastAsia="仿宋_GB2312" w:cs="Times New Roman"/>
          <w:spacing w:val="-2"/>
          <w:sz w:val="20"/>
          <w:szCs w:val="20"/>
          <w:lang w:val="en-US" w:eastAsia="zh-CN"/>
        </w:rPr>
        <w:t>投资者收益</w:t>
      </w:r>
      <w:r>
        <w:rPr>
          <w:rFonts w:ascii="仿宋_GB2312" w:hAnsi="黑体" w:eastAsia="仿宋_GB2312" w:cs="Times New Roman"/>
          <w:spacing w:val="-2"/>
          <w:sz w:val="20"/>
          <w:szCs w:val="20"/>
          <w:lang w:eastAsia="zh-CN"/>
        </w:rPr>
        <w:t>为：</w:t>
      </w:r>
      <w:r>
        <w:rPr>
          <w:rFonts w:hint="eastAsia" w:ascii="仿宋_GB2312" w:hAnsi="黑体" w:eastAsia="仿宋_GB2312" w:cs="Times New Roman"/>
          <w:spacing w:val="-2"/>
          <w:sz w:val="20"/>
          <w:szCs w:val="20"/>
          <w:lang w:eastAsia="zh-CN"/>
        </w:rPr>
        <w:t>10</w:t>
      </w:r>
      <w:r>
        <w:rPr>
          <w:rFonts w:ascii="仿宋_GB2312" w:hAnsi="黑体" w:eastAsia="仿宋_GB2312" w:cs="Times New Roman"/>
          <w:spacing w:val="-2"/>
          <w:sz w:val="20"/>
          <w:szCs w:val="20"/>
          <w:lang w:eastAsia="zh-CN"/>
        </w:rPr>
        <w:t>0,000</w:t>
      </w:r>
      <w:r>
        <w:rPr>
          <w:rFonts w:hint="eastAsia" w:ascii="仿宋_GB2312" w:hAnsi="黑体" w:eastAsia="仿宋_GB2312" w:cs="Times New Roman"/>
          <w:spacing w:val="-2"/>
          <w:sz w:val="20"/>
          <w:szCs w:val="20"/>
          <w:lang w:val="en-US" w:eastAsia="zh-CN"/>
        </w:rPr>
        <w:t>.00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1.0630-10</w:t>
      </w:r>
      <w:r>
        <w:rPr>
          <w:rFonts w:hint="eastAsia" w:ascii="仿宋_GB2312" w:hAnsi="黑体" w:eastAsia="仿宋_GB2312" w:cs="Times New Roman"/>
          <w:spacing w:val="-2"/>
          <w:sz w:val="20"/>
          <w:szCs w:val="20"/>
          <w:lang w:val="en-US" w:eastAsia="zh-CN"/>
        </w:rPr>
        <w:t>0</w:t>
      </w:r>
      <w:r>
        <w:rPr>
          <w:rFonts w:hint="eastAsia" w:ascii="仿宋_GB2312" w:hAnsi="黑体" w:eastAsia="仿宋_GB2312" w:cs="Times New Roman"/>
          <w:spacing w:val="-2"/>
          <w:sz w:val="20"/>
          <w:szCs w:val="20"/>
          <w:lang w:eastAsia="zh-CN"/>
        </w:rPr>
        <w:t>,000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6</w:t>
      </w:r>
      <w:r>
        <w:rPr>
          <w:rFonts w:hint="eastAsia" w:ascii="仿宋_GB2312" w:hAnsi="黑体" w:eastAsia="仿宋_GB2312" w:cs="Times New Roman"/>
          <w:spacing w:val="-2"/>
          <w:sz w:val="20"/>
          <w:szCs w:val="20"/>
          <w:lang w:val="en-US" w:eastAsia="zh-CN"/>
        </w:rPr>
        <w:t>3</w:t>
      </w:r>
      <w:r>
        <w:rPr>
          <w:rFonts w:hint="eastAsia" w:ascii="仿宋_GB2312" w:hAnsi="黑体" w:eastAsia="仿宋_GB2312" w:cs="Times New Roman"/>
          <w:spacing w:val="-2"/>
          <w:sz w:val="20"/>
          <w:szCs w:val="20"/>
          <w:lang w:eastAsia="zh-CN"/>
        </w:rPr>
        <w:t>00.00</w:t>
      </w:r>
      <w:r>
        <w:rPr>
          <w:rFonts w:ascii="仿宋_GB2312" w:hAnsi="黑体" w:eastAsia="仿宋_GB2312" w:cs="Times New Roman"/>
          <w:spacing w:val="-2"/>
          <w:sz w:val="20"/>
          <w:szCs w:val="20"/>
          <w:lang w:eastAsia="zh-CN"/>
        </w:rPr>
        <w:t>（元），产品收益计算过程中</w:t>
      </w:r>
      <w:r>
        <w:rPr>
          <w:rFonts w:hint="eastAsia" w:ascii="仿宋_GB2312" w:hAnsi="黑体" w:eastAsia="仿宋_GB2312" w:cs="Times New Roman"/>
          <w:spacing w:val="-2"/>
          <w:sz w:val="20"/>
          <w:szCs w:val="20"/>
          <w:lang w:val="en-US" w:eastAsia="zh-CN"/>
        </w:rPr>
        <w:t>产品单位净值按四舍五入原则保留至小数点后4位</w:t>
      </w:r>
      <w:r>
        <w:rPr>
          <w:rFonts w:ascii="仿宋_GB2312" w:hAnsi="黑体" w:eastAsia="仿宋_GB2312" w:cs="Times New Roman"/>
          <w:spacing w:val="-2"/>
          <w:sz w:val="20"/>
          <w:szCs w:val="20"/>
          <w:lang w:eastAsia="zh-CN"/>
        </w:rPr>
        <w:t>,存在尾差可能。</w:t>
      </w:r>
      <w:r>
        <w:rPr>
          <w:rFonts w:hint="eastAsia" w:ascii="仿宋_GB2312" w:hAnsi="黑体" w:eastAsia="仿宋_GB2312" w:cs="Times New Roman"/>
          <w:spacing w:val="-2"/>
          <w:sz w:val="20"/>
          <w:szCs w:val="20"/>
          <w:lang w:eastAsia="zh-CN"/>
        </w:rPr>
        <w:t>在</w:t>
      </w:r>
      <w:r>
        <w:rPr>
          <w:rFonts w:ascii="仿宋_GB2312" w:hAnsi="黑体" w:eastAsia="仿宋_GB2312" w:cs="Times New Roman"/>
          <w:spacing w:val="-2"/>
          <w:sz w:val="20"/>
          <w:szCs w:val="20"/>
          <w:lang w:eastAsia="zh-CN"/>
        </w:rPr>
        <w:t>最不利情况下，资产组合无法回收任何本金和净收益</w:t>
      </w:r>
      <w:r>
        <w:rPr>
          <w:rFonts w:hint="eastAsia" w:ascii="仿宋_GB2312" w:hAnsi="黑体" w:eastAsia="仿宋_GB2312" w:cs="Times New Roman"/>
          <w:spacing w:val="-2"/>
          <w:sz w:val="20"/>
          <w:szCs w:val="20"/>
          <w:lang w:eastAsia="zh-CN"/>
        </w:rPr>
        <w:t>，理财产品10万元本金将全部损失。</w:t>
      </w:r>
    </w:p>
    <w:p w14:paraId="652754DE">
      <w:pPr>
        <w:ind w:left="139" w:firstLine="398"/>
        <w:jc w:val="both"/>
        <w:rPr>
          <w:rFonts w:ascii="仿宋_GB2312" w:hAnsi="Times New Roman" w:eastAsia="仿宋_GB2312" w:cs="Times New Roman"/>
          <w:sz w:val="20"/>
          <w:szCs w:val="20"/>
          <w:lang w:eastAsia="zh-CN"/>
        </w:rPr>
      </w:pPr>
      <w:r>
        <w:rPr>
          <w:rFonts w:ascii="仿宋_GB2312" w:hAnsi="黑体" w:eastAsia="仿宋_GB2312" w:cs="Times New Roman"/>
          <w:b/>
          <w:sz w:val="20"/>
          <w:szCs w:val="20"/>
          <w:lang w:eastAsia="zh-CN"/>
        </w:rPr>
        <w:t>如影响您风险承受能力的因素发生变化</w:t>
      </w:r>
      <w:r>
        <w:rPr>
          <w:rFonts w:hint="eastAsia" w:ascii="仿宋_GB2312" w:hAnsi="黑体" w:eastAsia="仿宋_GB2312" w:cs="Times New Roman"/>
          <w:b/>
          <w:sz w:val="20"/>
          <w:szCs w:val="20"/>
          <w:lang w:eastAsia="zh-CN"/>
        </w:rPr>
        <w:t>或风险承受能力评估超过一年</w:t>
      </w:r>
      <w:r>
        <w:rPr>
          <w:rFonts w:ascii="仿宋_GB2312" w:hAnsi="黑体" w:eastAsia="仿宋_GB2312" w:cs="Times New Roman"/>
          <w:b/>
          <w:sz w:val="20"/>
          <w:szCs w:val="20"/>
          <w:lang w:eastAsia="zh-CN"/>
        </w:rPr>
        <w:t>，请及时完成风险承受能力评估。</w:t>
      </w:r>
    </w:p>
    <w:p w14:paraId="7CCEC5FB">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贵阳农商银行理财产品内部风险评级说明如下：</w:t>
      </w:r>
    </w:p>
    <w:tbl>
      <w:tblPr>
        <w:tblStyle w:val="5"/>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5035"/>
        <w:gridCol w:w="2444"/>
      </w:tblGrid>
      <w:tr w14:paraId="3AEC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0918CB29">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风险评级</w:t>
            </w:r>
          </w:p>
        </w:tc>
        <w:tc>
          <w:tcPr>
            <w:tcW w:w="5035" w:type="dxa"/>
            <w:tcBorders>
              <w:top w:val="single" w:color="000000" w:sz="12" w:space="0"/>
            </w:tcBorders>
            <w:vAlign w:val="center"/>
          </w:tcPr>
          <w:p w14:paraId="50BF5844">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评级说明</w:t>
            </w:r>
          </w:p>
        </w:tc>
        <w:tc>
          <w:tcPr>
            <w:tcW w:w="2444" w:type="dxa"/>
            <w:tcBorders>
              <w:top w:val="single" w:color="000000" w:sz="12" w:space="0"/>
              <w:right w:val="single" w:color="000000" w:sz="12" w:space="0"/>
            </w:tcBorders>
            <w:vAlign w:val="center"/>
          </w:tcPr>
          <w:p w14:paraId="6558A3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适合投资者</w:t>
            </w:r>
          </w:p>
        </w:tc>
      </w:tr>
      <w:tr w14:paraId="3687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76F390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低风险级别</w:t>
            </w:r>
          </w:p>
          <w:p w14:paraId="1310DB3A">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一级</w:t>
            </w:r>
            <w:r>
              <w:rPr>
                <w:rFonts w:hint="eastAsia" w:ascii="Times New Roman" w:hAnsi="Times New Roman" w:eastAsia="仿宋_GB2312" w:cs="Times New Roman"/>
                <w:sz w:val="18"/>
                <w:szCs w:val="21"/>
              </w:rPr>
              <w:t>）</w:t>
            </w:r>
          </w:p>
        </w:tc>
        <w:tc>
          <w:tcPr>
            <w:tcW w:w="5035" w:type="dxa"/>
            <w:tcMar>
              <w:left w:w="170" w:type="dxa"/>
              <w:right w:w="170" w:type="dxa"/>
            </w:tcMar>
            <w:vAlign w:val="center"/>
          </w:tcPr>
          <w:p w14:paraId="33956A0C">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产品不保障本金，风险因素对本金及收益的影响极小</w:t>
            </w:r>
          </w:p>
        </w:tc>
        <w:tc>
          <w:tcPr>
            <w:tcW w:w="2444" w:type="dxa"/>
            <w:tcBorders>
              <w:right w:val="single" w:color="000000" w:sz="12" w:space="0"/>
            </w:tcBorders>
            <w:tcMar>
              <w:left w:w="170" w:type="dxa"/>
              <w:right w:w="170" w:type="dxa"/>
            </w:tcMar>
            <w:vAlign w:val="center"/>
          </w:tcPr>
          <w:p w14:paraId="610EB6D7">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保守型、稳健型、平衡型、成长型、进取型</w:t>
            </w:r>
          </w:p>
        </w:tc>
      </w:tr>
      <w:tr w14:paraId="504A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37F326A4">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较低风险级别</w:t>
            </w:r>
          </w:p>
          <w:p w14:paraId="7A48B3F6">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（二级）</w:t>
            </w:r>
          </w:p>
        </w:tc>
        <w:tc>
          <w:tcPr>
            <w:tcW w:w="5035" w:type="dxa"/>
            <w:tcMar>
              <w:left w:w="170" w:type="dxa"/>
              <w:right w:w="170" w:type="dxa"/>
            </w:tcMar>
            <w:vAlign w:val="center"/>
          </w:tcPr>
          <w:p w14:paraId="3F4EC30D">
            <w:pPr>
              <w:snapToGrid w:val="0"/>
              <w:ind w:firstLine="361" w:firstLineChars="200"/>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产品不保障本金，风险因素对本金及收益的影响较小</w:t>
            </w:r>
          </w:p>
        </w:tc>
        <w:tc>
          <w:tcPr>
            <w:tcW w:w="2444" w:type="dxa"/>
            <w:tcBorders>
              <w:right w:val="single" w:color="000000" w:sz="12" w:space="0"/>
            </w:tcBorders>
            <w:tcMar>
              <w:left w:w="170" w:type="dxa"/>
              <w:right w:w="170" w:type="dxa"/>
            </w:tcMar>
            <w:vAlign w:val="center"/>
          </w:tcPr>
          <w:p w14:paraId="1BAD6CE2">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稳健型、平衡型、成长型、进取型</w:t>
            </w:r>
          </w:p>
        </w:tc>
      </w:tr>
      <w:tr w14:paraId="13D8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3451317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中等风险级别</w:t>
            </w:r>
          </w:p>
          <w:p w14:paraId="0D7EE60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（三级）</w:t>
            </w:r>
          </w:p>
        </w:tc>
        <w:tc>
          <w:tcPr>
            <w:tcW w:w="5035" w:type="dxa"/>
            <w:tcMar>
              <w:left w:w="170" w:type="dxa"/>
              <w:right w:w="170" w:type="dxa"/>
            </w:tcMar>
            <w:vAlign w:val="center"/>
          </w:tcPr>
          <w:p w14:paraId="57744E4D">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产品不保障本金，风险因素可能对本金和收益产生一定影响</w:t>
            </w:r>
          </w:p>
        </w:tc>
        <w:tc>
          <w:tcPr>
            <w:tcW w:w="2444" w:type="dxa"/>
            <w:tcBorders>
              <w:right w:val="single" w:color="000000" w:sz="12" w:space="0"/>
            </w:tcBorders>
            <w:tcMar>
              <w:left w:w="170" w:type="dxa"/>
              <w:right w:w="170" w:type="dxa"/>
            </w:tcMar>
            <w:vAlign w:val="center"/>
          </w:tcPr>
          <w:p w14:paraId="167E00E7">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平衡型、成长型、进取型</w:t>
            </w:r>
          </w:p>
        </w:tc>
      </w:tr>
      <w:tr w14:paraId="732D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0FCDBC06">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较高风险级别</w:t>
            </w:r>
          </w:p>
          <w:p w14:paraId="6469942D">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（四级）</w:t>
            </w:r>
          </w:p>
        </w:tc>
        <w:tc>
          <w:tcPr>
            <w:tcW w:w="5035" w:type="dxa"/>
            <w:tcMar>
              <w:left w:w="170" w:type="dxa"/>
              <w:right w:w="170" w:type="dxa"/>
            </w:tcMar>
            <w:vAlign w:val="center"/>
          </w:tcPr>
          <w:p w14:paraId="5A316F90">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产品不保障本金，风险因素可能对本金产生较大影响，产品结构存在一定复杂性</w:t>
            </w:r>
          </w:p>
        </w:tc>
        <w:tc>
          <w:tcPr>
            <w:tcW w:w="2444" w:type="dxa"/>
            <w:tcBorders>
              <w:right w:val="single" w:color="000000" w:sz="12" w:space="0"/>
            </w:tcBorders>
            <w:tcMar>
              <w:left w:w="170" w:type="dxa"/>
              <w:right w:w="170" w:type="dxa"/>
            </w:tcMar>
            <w:vAlign w:val="center"/>
          </w:tcPr>
          <w:p w14:paraId="24C39AE8">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成长型、进取型</w:t>
            </w:r>
          </w:p>
        </w:tc>
      </w:tr>
      <w:tr w14:paraId="4B12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48" w:type="dxa"/>
            <w:tcBorders>
              <w:left w:val="single" w:color="000000" w:sz="12" w:space="0"/>
              <w:bottom w:val="single" w:color="000000" w:sz="12" w:space="0"/>
            </w:tcBorders>
            <w:vAlign w:val="center"/>
          </w:tcPr>
          <w:p w14:paraId="07D4B46D">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高风险级别</w:t>
            </w:r>
          </w:p>
          <w:p w14:paraId="198A5C65">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五级</w:t>
            </w:r>
            <w:r>
              <w:rPr>
                <w:rFonts w:hint="eastAsia" w:ascii="Times New Roman" w:hAnsi="Times New Roman" w:eastAsia="仿宋_GB2312" w:cs="Times New Roman"/>
                <w:sz w:val="18"/>
                <w:szCs w:val="21"/>
              </w:rPr>
              <w:t>）</w:t>
            </w:r>
          </w:p>
        </w:tc>
        <w:tc>
          <w:tcPr>
            <w:tcW w:w="5035" w:type="dxa"/>
            <w:tcBorders>
              <w:bottom w:val="single" w:color="000000" w:sz="12" w:space="0"/>
            </w:tcBorders>
            <w:tcMar>
              <w:left w:w="170" w:type="dxa"/>
              <w:right w:w="170" w:type="dxa"/>
            </w:tcMar>
            <w:vAlign w:val="center"/>
          </w:tcPr>
          <w:p w14:paraId="0B8C81B1">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产品不保障本金，风险因素可能对本金造成重大损失，产品结构较为复杂</w:t>
            </w:r>
          </w:p>
        </w:tc>
        <w:tc>
          <w:tcPr>
            <w:tcW w:w="2444" w:type="dxa"/>
            <w:tcBorders>
              <w:bottom w:val="single" w:color="000000" w:sz="12" w:space="0"/>
              <w:right w:val="single" w:color="000000" w:sz="12" w:space="0"/>
            </w:tcBorders>
            <w:tcMar>
              <w:left w:w="170" w:type="dxa"/>
              <w:right w:w="170" w:type="dxa"/>
            </w:tcMar>
            <w:vAlign w:val="center"/>
          </w:tcPr>
          <w:p w14:paraId="1443FDE2">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进取型</w:t>
            </w:r>
          </w:p>
        </w:tc>
      </w:tr>
    </w:tbl>
    <w:p w14:paraId="3029B631">
      <w:pPr>
        <w:ind w:left="538" w:right="271"/>
        <w:rPr>
          <w:rFonts w:ascii="仿宋_GB2312" w:hAnsi="黑体" w:eastAsia="仿宋_GB2312" w:cs="Times New Roman"/>
          <w:spacing w:val="2"/>
          <w:sz w:val="20"/>
          <w:szCs w:val="20"/>
          <w:lang w:eastAsia="zh-CN"/>
        </w:rPr>
      </w:pPr>
      <w:r>
        <w:rPr>
          <w:rFonts w:ascii="仿宋_GB2312" w:hAnsi="黑体" w:eastAsia="仿宋_GB2312" w:cs="Times New Roman"/>
          <w:b/>
          <w:sz w:val="20"/>
          <w:szCs w:val="20"/>
          <w:lang w:eastAsia="zh-CN"/>
        </w:rPr>
        <w:t>注：本风险评级为贵阳农商银行内部评级结果，该评级仅供参考，不具备法律效力。</w:t>
      </w:r>
    </w:p>
    <w:p w14:paraId="1E29C063">
      <w:pPr>
        <w:ind w:left="140" w:right="154" w:firstLine="398"/>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充分了解风险，自主选择购买</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lang w:eastAsia="zh-CN"/>
        </w:rPr>
        <w:t>关信息。</w:t>
      </w:r>
      <w:r>
        <w:rPr>
          <w:rFonts w:hint="eastAsia" w:ascii="仿宋_GB2312" w:hAnsi="黑体" w:eastAsia="仿宋_GB2312" w:cs="Times New Roman"/>
          <w:sz w:val="20"/>
          <w:szCs w:val="20"/>
          <w:lang w:eastAsia="zh-CN"/>
        </w:rPr>
        <w:t>本期理财产品可能面临的风险主要包括但不限于以下风险</w:t>
      </w:r>
      <w:r>
        <w:rPr>
          <w:rFonts w:ascii="仿宋_GB2312" w:hAnsi="黑体" w:eastAsia="仿宋_GB2312" w:cs="Times New Roman"/>
          <w:sz w:val="20"/>
          <w:szCs w:val="20"/>
          <w:lang w:eastAsia="zh-CN"/>
        </w:rPr>
        <w:t>：</w:t>
      </w:r>
    </w:p>
    <w:p w14:paraId="22895C7C">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1.</w:t>
      </w:r>
      <w:r>
        <w:rPr>
          <w:rFonts w:ascii="仿宋_GB2312" w:hAnsi="黑体" w:eastAsia="仿宋_GB2312" w:cs="Times New Roman"/>
          <w:b/>
          <w:sz w:val="20"/>
          <w:szCs w:val="20"/>
          <w:lang w:eastAsia="zh-CN"/>
        </w:rPr>
        <w:t>政策风险：</w:t>
      </w:r>
      <w:r>
        <w:rPr>
          <w:rFonts w:ascii="仿宋_GB2312" w:hAnsi="黑体" w:eastAsia="仿宋_GB2312" w:cs="Times New Roman"/>
          <w:sz w:val="20"/>
          <w:szCs w:val="20"/>
          <w:lang w:eastAsia="zh-CN"/>
        </w:rPr>
        <w:t>本期产品是依照当前的法律法规、相关监管规定和政策设计的。如国家</w:t>
      </w:r>
      <w:r>
        <w:rPr>
          <w:rFonts w:ascii="仿宋_GB2312" w:hAnsi="黑体" w:eastAsia="仿宋_GB2312" w:cs="Times New Roman"/>
          <w:spacing w:val="-4"/>
          <w:sz w:val="20"/>
          <w:szCs w:val="20"/>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lang w:eastAsia="zh-CN"/>
        </w:rPr>
        <w:t>与</w:t>
      </w:r>
      <w:r>
        <w:rPr>
          <w:rFonts w:ascii="仿宋_GB2312" w:hAnsi="黑体" w:eastAsia="仿宋_GB2312" w:cs="Times New Roman"/>
          <w:spacing w:val="-4"/>
          <w:sz w:val="20"/>
          <w:szCs w:val="20"/>
          <w:lang w:eastAsia="zh-CN"/>
        </w:rPr>
        <w:t>国家法律、法规</w:t>
      </w:r>
      <w:r>
        <w:rPr>
          <w:rFonts w:hint="eastAsia" w:ascii="仿宋_GB2312" w:hAnsi="黑体" w:eastAsia="仿宋_GB2312" w:cs="Times New Roman"/>
          <w:spacing w:val="-4"/>
          <w:sz w:val="20"/>
          <w:szCs w:val="20"/>
          <w:lang w:eastAsia="zh-CN"/>
        </w:rPr>
        <w:t>等</w:t>
      </w:r>
      <w:r>
        <w:rPr>
          <w:rFonts w:ascii="仿宋_GB2312" w:hAnsi="黑体" w:eastAsia="仿宋_GB2312" w:cs="Times New Roman"/>
          <w:spacing w:val="-4"/>
          <w:sz w:val="20"/>
          <w:szCs w:val="20"/>
          <w:lang w:eastAsia="zh-CN"/>
        </w:rPr>
        <w:t>有关规定冲突，进而导致本期产品被宣告无效、撤销、解除或提前</w:t>
      </w:r>
      <w:r>
        <w:rPr>
          <w:rFonts w:ascii="仿宋_GB2312" w:hAnsi="黑体" w:eastAsia="仿宋_GB2312" w:cs="Times New Roman"/>
          <w:sz w:val="20"/>
          <w:szCs w:val="20"/>
          <w:lang w:eastAsia="zh-CN"/>
        </w:rPr>
        <w:t>终止等。</w:t>
      </w:r>
    </w:p>
    <w:p w14:paraId="45423C86">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2.</w:t>
      </w:r>
      <w:r>
        <w:rPr>
          <w:rFonts w:ascii="仿宋_GB2312" w:hAnsi="黑体" w:eastAsia="仿宋_GB2312" w:cs="Times New Roman"/>
          <w:b/>
          <w:sz w:val="20"/>
          <w:szCs w:val="20"/>
          <w:lang w:eastAsia="zh-CN"/>
        </w:rPr>
        <w:t>信用风险：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可能面临利益损失、本金部分损</w:t>
      </w:r>
      <w:r>
        <w:rPr>
          <w:rFonts w:ascii="仿宋_GB2312" w:hAnsi="黑体" w:eastAsia="仿宋_GB2312" w:cs="Times New Roman"/>
          <w:sz w:val="20"/>
          <w:szCs w:val="20"/>
          <w:lang w:eastAsia="zh-CN"/>
        </w:rPr>
        <w:t>失、甚至本金全部损失的风险。</w:t>
      </w:r>
    </w:p>
    <w:p w14:paraId="01D8AA58">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lang w:val="en-US" w:eastAsia="zh-CN"/>
        </w:rPr>
      </w:pPr>
      <w:r>
        <w:rPr>
          <w:rFonts w:ascii="仿宋_GB2312" w:hAnsi="黑体" w:eastAsia="仿宋_GB2312" w:cs="Times New Roman"/>
          <w:b/>
          <w:bCs/>
          <w:spacing w:val="-4"/>
          <w:sz w:val="20"/>
          <w:szCs w:val="20"/>
          <w:lang w:eastAsia="zh-CN"/>
        </w:rPr>
        <w:t>3.流动性风险：</w:t>
      </w:r>
      <w:r>
        <w:rPr>
          <w:rFonts w:hint="default" w:ascii="仿宋_GB2312" w:hAnsi="黑体" w:eastAsia="仿宋_GB2312" w:cs="Times New Roman"/>
          <w:b/>
          <w:bCs/>
          <w:spacing w:val="-4"/>
          <w:sz w:val="20"/>
          <w:szCs w:val="20"/>
          <w:lang w:val="en-US" w:eastAsia="zh-CN"/>
        </w:rPr>
        <w:t>投资者不能随时提前终止本产品</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在本产品存续期内的非开放日，投资者不能赎回</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开放日，可能因达到本说明书中约定的限制赎回情况，导致投资者在需要资金时无法随时变现，并可能导致客户丧失其他投资机会。本产品投资资产的流动性风险情况为：本理财产品投资范围为债权类资产，具体品种包括：现金、存款、大额存单、同业存单、货币基金、质押式回购和其他货币市场类资产，以及国债、地方政府债券、中央银行票据、政府机构债券、金融债券、公司信用类债券、在银行间市场和证券交易所市场发行的资产支持证券、非公开定向债务融资工具、债券型证券投资基金、其他固定收益类资产等，上述投资标的中存款、质押式回购及其他交投不活跃品种存在不能提前支取或者不能提前到期的情形，所投资产一般情况下具有良好的流动性，但在特殊情况下，也存在部分品种</w:t>
      </w:r>
      <w:r>
        <w:rPr>
          <w:rFonts w:hint="eastAsia" w:ascii="仿宋_GB2312" w:hAnsi="黑体" w:eastAsia="仿宋_GB2312" w:cs="Times New Roman"/>
          <w:b/>
          <w:bCs/>
          <w:spacing w:val="-4"/>
          <w:sz w:val="20"/>
          <w:szCs w:val="20"/>
          <w:lang w:val="en-US" w:eastAsia="zh-CN"/>
        </w:rPr>
        <w:t>交易</w:t>
      </w:r>
      <w:r>
        <w:rPr>
          <w:rFonts w:hint="default" w:ascii="仿宋_GB2312" w:hAnsi="黑体" w:eastAsia="仿宋_GB2312" w:cs="Times New Roman"/>
          <w:b/>
          <w:bCs/>
          <w:spacing w:val="-4"/>
          <w:sz w:val="20"/>
          <w:szCs w:val="20"/>
          <w:lang w:val="en-US" w:eastAsia="zh-CN"/>
        </w:rPr>
        <w:t>不活跃、成交量不足的情形，如果理财产品赎回量较大，可能会影响产品流动性管理。</w:t>
      </w:r>
    </w:p>
    <w:p w14:paraId="17CD4AF1">
      <w:pPr>
        <w:ind w:left="139" w:right="146" w:firstLine="420"/>
        <w:jc w:val="both"/>
        <w:rPr>
          <w:rFonts w:ascii="仿宋_GB2312" w:hAnsi="黑体" w:eastAsia="仿宋_GB2312" w:cs="Times New Roman"/>
          <w:b/>
          <w:bCs/>
          <w:spacing w:val="-4"/>
          <w:sz w:val="20"/>
          <w:szCs w:val="20"/>
          <w:lang w:eastAsia="zh-CN"/>
        </w:rPr>
      </w:pPr>
      <w:r>
        <w:rPr>
          <w:rFonts w:hint="default" w:ascii="仿宋_GB2312" w:hAnsi="黑体" w:eastAsia="仿宋_GB2312" w:cs="Times New Roman"/>
          <w:b/>
          <w:bCs/>
          <w:spacing w:val="-4"/>
          <w:sz w:val="20"/>
          <w:szCs w:val="20"/>
          <w:lang w:val="en-US" w:eastAsia="zh-CN"/>
        </w:rPr>
        <w:t>为应对流动性风险，保护投资者利益，管理人可以综合运用以下理财产品流动性风险应对措施：（</w:t>
      </w:r>
      <w:r>
        <w:rPr>
          <w:rFonts w:hint="eastAsia" w:ascii="仿宋_GB2312" w:hAnsi="黑体" w:eastAsia="仿宋_GB2312" w:cs="Times New Roman"/>
          <w:b/>
          <w:bCs/>
          <w:spacing w:val="-4"/>
          <w:sz w:val="20"/>
          <w:szCs w:val="20"/>
          <w:lang w:val="en-US" w:eastAsia="zh-CN"/>
        </w:rPr>
        <w:t>1</w:t>
      </w:r>
      <w:r>
        <w:rPr>
          <w:rFonts w:hint="default" w:ascii="仿宋_GB2312" w:hAnsi="黑体" w:eastAsia="仿宋_GB2312" w:cs="Times New Roman"/>
          <w:b/>
          <w:bCs/>
          <w:spacing w:val="-4"/>
          <w:sz w:val="20"/>
          <w:szCs w:val="20"/>
          <w:lang w:val="en-US" w:eastAsia="zh-CN"/>
        </w:rPr>
        <w:t>）认购风险应对措施，包括：设定单一投资者认购金额上限、设定理财产品单日净认购比例上限、拒绝大额认购、暂停认购，以及国务院银行业监督管理机构规定的其他措施。</w:t>
      </w:r>
      <w:r>
        <w:rPr>
          <w:rFonts w:hint="eastAsia" w:ascii="仿宋_GB2312" w:hAnsi="黑体" w:eastAsia="仿宋_GB2312" w:cs="Times New Roman"/>
          <w:b/>
          <w:bCs/>
          <w:spacing w:val="-4"/>
          <w:sz w:val="20"/>
          <w:szCs w:val="20"/>
          <w:lang w:val="en-US" w:eastAsia="zh-CN"/>
        </w:rPr>
        <w:t>（2</w:t>
      </w:r>
      <w:r>
        <w:rPr>
          <w:rFonts w:hint="default" w:ascii="仿宋_GB2312" w:hAnsi="黑体" w:eastAsia="仿宋_GB2312" w:cs="Times New Roman"/>
          <w:b/>
          <w:bCs/>
          <w:spacing w:val="-4"/>
          <w:sz w:val="20"/>
          <w:szCs w:val="20"/>
          <w:lang w:val="en-US" w:eastAsia="zh-CN"/>
        </w:rPr>
        <w:t>）赎回风险应对措施，包括：设置赎回上限、延期办理巨额赎回申请、暂停接受赎回申请、延缓支付赎回款项、暂停理财产品估值，以及国务院银行业监督管理机构规定的其他措施。</w:t>
      </w:r>
    </w:p>
    <w:p w14:paraId="2C08FBF0">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4.</w:t>
      </w:r>
      <w:r>
        <w:rPr>
          <w:rFonts w:ascii="仿宋_GB2312" w:hAnsi="黑体" w:eastAsia="仿宋_GB2312" w:cs="Times New Roman"/>
          <w:b/>
          <w:sz w:val="20"/>
          <w:szCs w:val="20"/>
          <w:lang w:eastAsia="zh-CN"/>
        </w:rPr>
        <w:t>市场风险：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定收益类资产价值受未来市场的不确定影响可能出现波动，从而导致</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收益波动、收益为</w:t>
      </w:r>
      <w:r>
        <w:rPr>
          <w:rFonts w:ascii="仿宋_GB2312" w:hAnsi="黑体" w:eastAsia="仿宋_GB2312" w:cs="Times New Roman"/>
          <w:sz w:val="20"/>
          <w:szCs w:val="20"/>
          <w:lang w:eastAsia="zh-CN"/>
        </w:rPr>
        <w:t>零甚至本产品单位净值跌破面值、本金损失的情况。</w:t>
      </w:r>
    </w:p>
    <w:p w14:paraId="00D56CC1">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5.</w:t>
      </w:r>
      <w:r>
        <w:rPr>
          <w:rFonts w:ascii="仿宋_GB2312" w:hAnsi="黑体" w:eastAsia="仿宋_GB2312" w:cs="Times New Roman"/>
          <w:b/>
          <w:sz w:val="20"/>
          <w:szCs w:val="20"/>
          <w:lang w:eastAsia="zh-CN"/>
        </w:rPr>
        <w:t>管理风险：</w:t>
      </w:r>
      <w:r>
        <w:rPr>
          <w:rFonts w:ascii="仿宋_GB2312" w:hAnsi="黑体" w:eastAsia="仿宋_GB2312" w:cs="Times New Roman"/>
          <w:sz w:val="20"/>
          <w:szCs w:val="20"/>
          <w:lang w:eastAsia="zh-CN"/>
        </w:rPr>
        <w:t>因管理人（包括本理财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的投资管理人、所投资的信托计划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lang w:val="en-US" w:eastAsia="zh-CN"/>
        </w:rPr>
        <w:t>产品项</w:t>
      </w:r>
      <w:r>
        <w:rPr>
          <w:rFonts w:ascii="仿宋_GB2312" w:hAnsi="黑体" w:eastAsia="仿宋_GB2312" w:cs="Times New Roman"/>
          <w:sz w:val="20"/>
          <w:szCs w:val="20"/>
          <w:lang w:eastAsia="zh-CN"/>
        </w:rPr>
        <w:t>下的理财资金遭受损失。如因信托计划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基金产品的受托人和相关投资顾问违背相关协议约定、处理事务不当，可能导致本理财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项下理财资金遭受损失。</w:t>
      </w:r>
    </w:p>
    <w:p w14:paraId="6D931A49">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6.</w:t>
      </w:r>
      <w:r>
        <w:rPr>
          <w:rFonts w:ascii="仿宋_GB2312" w:hAnsi="黑体" w:eastAsia="仿宋_GB2312" w:cs="Times New Roman"/>
          <w:b/>
          <w:sz w:val="20"/>
          <w:szCs w:val="20"/>
          <w:lang w:eastAsia="zh-CN"/>
        </w:rPr>
        <w:t>利率及通货膨胀风险：</w:t>
      </w:r>
      <w:r>
        <w:rPr>
          <w:rFonts w:ascii="仿宋_GB2312" w:hAnsi="黑体" w:eastAsia="仿宋_GB2312" w:cs="Times New Roman"/>
          <w:sz w:val="20"/>
          <w:szCs w:val="20"/>
          <w:lang w:eastAsia="zh-CN"/>
        </w:rPr>
        <w:t>在本产品存续期限内，利率、汇率的波动会导致所投资的存</w:t>
      </w:r>
      <w:r>
        <w:rPr>
          <w:rFonts w:ascii="仿宋_GB2312" w:hAnsi="黑体" w:eastAsia="仿宋_GB2312" w:cs="Times New Roman"/>
          <w:spacing w:val="-4"/>
          <w:sz w:val="20"/>
          <w:szCs w:val="20"/>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lang w:eastAsia="zh-CN"/>
        </w:rPr>
        <w:t>可能低于通货膨胀率，从而导致</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实际收益为负的风险。</w:t>
      </w:r>
    </w:p>
    <w:p w14:paraId="20B33DD8">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7.</w:t>
      </w:r>
      <w:r>
        <w:rPr>
          <w:rFonts w:ascii="仿宋_GB2312" w:hAnsi="黑体" w:eastAsia="仿宋_GB2312" w:cs="Times New Roman"/>
          <w:b/>
          <w:sz w:val="20"/>
          <w:szCs w:val="20"/>
          <w:lang w:eastAsia="zh-CN"/>
        </w:rPr>
        <w:t>信息传递风险：</w:t>
      </w:r>
      <w:r>
        <w:rPr>
          <w:rFonts w:ascii="仿宋_GB2312" w:hAnsi="黑体" w:eastAsia="仿宋_GB2312" w:cs="Times New Roman"/>
          <w:sz w:val="20"/>
          <w:szCs w:val="20"/>
          <w:lang w:eastAsia="zh-CN"/>
        </w:rPr>
        <w:t>贵阳农商银行将按照本</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说明书有关</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信息披露</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的约定进行产品信</w:t>
      </w:r>
      <w:r>
        <w:rPr>
          <w:rFonts w:ascii="仿宋_GB2312" w:hAnsi="黑体" w:eastAsia="仿宋_GB2312" w:cs="Times New Roman"/>
          <w:spacing w:val="-4"/>
          <w:sz w:val="20"/>
          <w:szCs w:val="20"/>
          <w:lang w:eastAsia="zh-CN"/>
        </w:rPr>
        <w:t>息披露。</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应根据</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信息披露</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的约定及时进行查询。如果</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无法及时了解产品信息，并由此影响</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的投资决策，因此而产生的责任和风险由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自行承担。另外，</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预留在贵阳农商</w:t>
      </w:r>
      <w:r>
        <w:rPr>
          <w:rFonts w:ascii="仿宋_GB2312" w:hAnsi="黑体" w:eastAsia="仿宋_GB2312" w:cs="Times New Roman"/>
          <w:spacing w:val="-7"/>
          <w:sz w:val="20"/>
          <w:szCs w:val="20"/>
          <w:lang w:eastAsia="zh-CN"/>
        </w:rPr>
        <w:t>银行的有效联系方式发生变更，应及时到银行柜面申请变更，如</w:t>
      </w:r>
      <w:r>
        <w:rPr>
          <w:rFonts w:hint="eastAsia" w:ascii="仿宋_GB2312" w:hAnsi="黑体" w:eastAsia="仿宋_GB2312" w:cs="Times New Roman"/>
          <w:spacing w:val="-7"/>
          <w:sz w:val="20"/>
          <w:szCs w:val="20"/>
          <w:lang w:eastAsia="zh-CN"/>
        </w:rPr>
        <w:t>投资者</w:t>
      </w:r>
      <w:r>
        <w:rPr>
          <w:rFonts w:ascii="仿宋_GB2312" w:hAnsi="黑体" w:eastAsia="仿宋_GB2312" w:cs="Times New Roman"/>
          <w:spacing w:val="-7"/>
          <w:sz w:val="20"/>
          <w:szCs w:val="20"/>
          <w:lang w:eastAsia="zh-CN"/>
        </w:rPr>
        <w:t>未及时变更联系方式，</w:t>
      </w:r>
      <w:r>
        <w:rPr>
          <w:rFonts w:ascii="仿宋_GB2312" w:hAnsi="黑体" w:eastAsia="仿宋_GB2312" w:cs="Times New Roman"/>
          <w:sz w:val="20"/>
          <w:szCs w:val="20"/>
          <w:lang w:eastAsia="zh-CN"/>
        </w:rPr>
        <w:t>由此而产生的责任和风险由</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自行承担。</w:t>
      </w:r>
    </w:p>
    <w:p w14:paraId="7195CCA2">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8.</w:t>
      </w:r>
      <w:r>
        <w:rPr>
          <w:rFonts w:ascii="仿宋_GB2312" w:hAnsi="黑体" w:eastAsia="仿宋_GB2312" w:cs="Times New Roman"/>
          <w:b/>
          <w:sz w:val="20"/>
          <w:szCs w:val="20"/>
          <w:lang w:eastAsia="zh-CN"/>
        </w:rPr>
        <w:t>产品不成立风险：</w:t>
      </w:r>
      <w:r>
        <w:rPr>
          <w:rFonts w:ascii="仿宋_GB2312" w:hAnsi="黑体" w:eastAsia="仿宋_GB2312" w:cs="Times New Roman"/>
          <w:sz w:val="20"/>
          <w:szCs w:val="20"/>
          <w:lang w:eastAsia="zh-CN"/>
        </w:rPr>
        <w:t>如本产品募集期届满，认购总金额未达到产品规模下限（如有约</w:t>
      </w:r>
      <w:r>
        <w:rPr>
          <w:rFonts w:ascii="仿宋_GB2312" w:hAnsi="黑体" w:eastAsia="仿宋_GB2312" w:cs="Times New Roman"/>
          <w:spacing w:val="-4"/>
          <w:sz w:val="20"/>
          <w:szCs w:val="20"/>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提供本期产品的，贵阳农商银行有权宣布产品</w:t>
      </w:r>
      <w:r>
        <w:rPr>
          <w:rFonts w:ascii="仿宋_GB2312" w:hAnsi="黑体" w:eastAsia="仿宋_GB2312" w:cs="Times New Roman"/>
          <w:sz w:val="20"/>
          <w:szCs w:val="20"/>
          <w:lang w:eastAsia="zh-CN"/>
        </w:rPr>
        <w:t>不成立。</w:t>
      </w:r>
    </w:p>
    <w:p w14:paraId="0E39CAE2">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9.</w:t>
      </w:r>
      <w:r>
        <w:rPr>
          <w:rFonts w:ascii="仿宋_GB2312" w:hAnsi="黑体" w:eastAsia="仿宋_GB2312" w:cs="Times New Roman"/>
          <w:b/>
          <w:spacing w:val="-5"/>
          <w:sz w:val="20"/>
          <w:szCs w:val="20"/>
          <w:lang w:eastAsia="zh-CN"/>
        </w:rPr>
        <w:t>提前终止风险：</w:t>
      </w:r>
      <w:r>
        <w:rPr>
          <w:rFonts w:ascii="仿宋_GB2312" w:hAnsi="黑体" w:eastAsia="仿宋_GB2312" w:cs="Times New Roman"/>
          <w:spacing w:val="-5"/>
          <w:sz w:val="20"/>
          <w:szCs w:val="20"/>
          <w:lang w:eastAsia="zh-CN"/>
        </w:rPr>
        <w:t>产品存续期内，若市场发生重大变动或突发性事件，或发生贵阳农商</w:t>
      </w:r>
      <w:r>
        <w:rPr>
          <w:rFonts w:ascii="仿宋_GB2312" w:hAnsi="黑体" w:eastAsia="仿宋_GB2312" w:cs="Times New Roman"/>
          <w:spacing w:val="-4"/>
          <w:sz w:val="20"/>
          <w:szCs w:val="20"/>
          <w:lang w:eastAsia="zh-CN"/>
        </w:rPr>
        <w:t>银行认为需要提前终止本期产品的其他情形时，贵阳农商银行有权提前终止产品，在提前</w:t>
      </w:r>
      <w:r>
        <w:rPr>
          <w:rFonts w:ascii="仿宋_GB2312" w:hAnsi="黑体" w:eastAsia="仿宋_GB2312" w:cs="Times New Roman"/>
          <w:sz w:val="20"/>
          <w:szCs w:val="20"/>
          <w:lang w:eastAsia="zh-CN"/>
        </w:rPr>
        <w:t>终止情形下，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17AE1A93">
      <w:pPr>
        <w:ind w:left="120" w:right="206" w:firstLine="420"/>
        <w:jc w:val="both"/>
        <w:rPr>
          <w:rFonts w:ascii="仿宋_GB2312" w:hAnsi="黑体" w:eastAsia="仿宋_GB2312" w:cs="Times New Roman"/>
          <w:sz w:val="20"/>
          <w:szCs w:val="20"/>
          <w:lang w:eastAsia="zh-CN"/>
        </w:rPr>
      </w:pPr>
      <w:r>
        <w:rPr>
          <w:rFonts w:ascii="仿宋_GB2312" w:hAnsi="Times New Roman" w:eastAsia="仿宋_GB2312" w:cs="Times New Roman"/>
          <w:b/>
          <w:sz w:val="20"/>
          <w:szCs w:val="20"/>
          <w:lang w:eastAsia="zh-CN"/>
        </w:rPr>
        <w:t>10.</w:t>
      </w:r>
      <w:r>
        <w:rPr>
          <w:rFonts w:ascii="仿宋_GB2312" w:hAnsi="黑体" w:eastAsia="仿宋_GB2312" w:cs="Times New Roman"/>
          <w:b/>
          <w:spacing w:val="-4"/>
          <w:sz w:val="20"/>
          <w:szCs w:val="20"/>
          <w:lang w:eastAsia="zh-CN"/>
        </w:rPr>
        <w:t>延期风险：</w:t>
      </w:r>
      <w:r>
        <w:rPr>
          <w:rFonts w:ascii="仿宋_GB2312" w:hAnsi="黑体" w:eastAsia="仿宋_GB2312" w:cs="Times New Roman"/>
          <w:spacing w:val="-4"/>
          <w:sz w:val="20"/>
          <w:szCs w:val="20"/>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lang w:eastAsia="zh-CN"/>
        </w:rPr>
        <w:t>期情形下，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6A196063">
      <w:pPr>
        <w:ind w:left="120" w:right="206" w:firstLine="420"/>
        <w:jc w:val="both"/>
        <w:rPr>
          <w:rFonts w:hint="default" w:ascii="仿宋_GB2312" w:hAnsi="黑体" w:eastAsia="仿宋_GB2312" w:cs="Times New Roman"/>
          <w:sz w:val="20"/>
          <w:szCs w:val="20"/>
          <w:lang w:val="en-US" w:eastAsia="zh-CN"/>
        </w:rPr>
      </w:pPr>
      <w:r>
        <w:rPr>
          <w:rFonts w:hint="eastAsia" w:ascii="仿宋_GB2312" w:hAnsi="黑体" w:eastAsia="仿宋_GB2312" w:cs="Times New Roman"/>
          <w:b/>
          <w:bCs/>
          <w:sz w:val="20"/>
          <w:szCs w:val="20"/>
          <w:lang w:val="en-US" w:eastAsia="zh-CN"/>
        </w:rPr>
        <w:t>11.</w:t>
      </w:r>
      <w:r>
        <w:rPr>
          <w:rFonts w:hint="eastAsia" w:ascii="仿宋_GB2312" w:hAnsi="仿宋_GB2312" w:eastAsia="仿宋_GB2312" w:cs="仿宋_GB2312"/>
          <w:b/>
          <w:bCs/>
          <w:color w:val="auto"/>
          <w:sz w:val="20"/>
          <w:szCs w:val="20"/>
          <w:highlight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2DACB227">
      <w:pPr>
        <w:ind w:left="120" w:firstLine="420"/>
        <w:rPr>
          <w:rFonts w:ascii="仿宋_GB2312" w:hAnsi="黑体" w:eastAsia="仿宋_GB2312" w:cs="Times New Roman"/>
          <w:spacing w:val="-4"/>
          <w:sz w:val="20"/>
          <w:szCs w:val="20"/>
          <w:lang w:eastAsia="zh-CN"/>
        </w:rPr>
      </w:pPr>
      <w:r>
        <w:rPr>
          <w:rFonts w:ascii="仿宋_GB2312" w:hAnsi="Times New Roman" w:eastAsia="仿宋_GB2312" w:cs="Times New Roman"/>
          <w:b/>
          <w:sz w:val="20"/>
          <w:szCs w:val="20"/>
          <w:lang w:eastAsia="zh-CN"/>
        </w:rPr>
        <w:t>1</w:t>
      </w:r>
      <w:r>
        <w:rPr>
          <w:rFonts w:hint="eastAsia" w:ascii="仿宋_GB2312" w:hAnsi="Times New Roman" w:eastAsia="仿宋_GB2312" w:cs="Times New Roman"/>
          <w:b/>
          <w:sz w:val="20"/>
          <w:szCs w:val="20"/>
          <w:lang w:val="en-US" w:eastAsia="zh-CN"/>
        </w:rPr>
        <w:t>2</w:t>
      </w:r>
      <w:r>
        <w:rPr>
          <w:rFonts w:ascii="仿宋_GB2312" w:hAnsi="Times New Roman" w:eastAsia="仿宋_GB2312" w:cs="Times New Roman"/>
          <w:b/>
          <w:sz w:val="20"/>
          <w:szCs w:val="20"/>
          <w:lang w:eastAsia="zh-CN"/>
        </w:rPr>
        <w:t>.</w:t>
      </w:r>
      <w:r>
        <w:rPr>
          <w:rFonts w:ascii="仿宋_GB2312" w:hAnsi="黑体" w:eastAsia="仿宋_GB2312" w:cs="Times New Roman"/>
          <w:b/>
          <w:spacing w:val="-5"/>
          <w:sz w:val="20"/>
          <w:szCs w:val="20"/>
          <w:lang w:eastAsia="zh-CN"/>
        </w:rPr>
        <w:t>不可抗力及意外事件风险：</w:t>
      </w:r>
      <w:r>
        <w:rPr>
          <w:rFonts w:ascii="仿宋_GB2312" w:hAnsi="黑体" w:eastAsia="仿宋_GB2312" w:cs="Times New Roman"/>
          <w:spacing w:val="-4"/>
          <w:sz w:val="20"/>
          <w:szCs w:val="20"/>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lang w:val="en-US" w:eastAsia="zh-CN"/>
        </w:rPr>
        <w:t>甚至本金损失</w:t>
      </w:r>
      <w:r>
        <w:rPr>
          <w:rFonts w:ascii="仿宋_GB2312" w:hAnsi="黑体" w:eastAsia="仿宋_GB2312" w:cs="Times New Roman"/>
          <w:spacing w:val="-4"/>
          <w:sz w:val="20"/>
          <w:szCs w:val="20"/>
          <w:lang w:eastAsia="zh-CN"/>
        </w:rPr>
        <w:t>。对于由于不可抗力及意外事件风险导致的任何损失，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须自行承担，贵阳农商银行对此不承担任何责任。</w:t>
      </w:r>
    </w:p>
    <w:p w14:paraId="6EF34A11">
      <w:pPr>
        <w:ind w:left="120" w:firstLine="420"/>
        <w:rPr>
          <w:rFonts w:ascii="仿宋_GB2312" w:hAnsi="黑体" w:eastAsia="仿宋_GB2312" w:cs="Times New Roman"/>
          <w:spacing w:val="-4"/>
          <w:sz w:val="20"/>
          <w:szCs w:val="20"/>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46B57713">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您在签署《理财产品协议》前，应当仔细阅读</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》《投资者</w:t>
      </w:r>
      <w:r>
        <w:rPr>
          <w:rFonts w:ascii="仿宋_GB2312" w:hAnsi="黑体" w:eastAsia="仿宋_GB2312" w:cs="Times New Roman"/>
          <w:b/>
          <w:spacing w:val="-3"/>
          <w:sz w:val="20"/>
          <w:szCs w:val="20"/>
          <w:lang w:eastAsia="zh-CN"/>
        </w:rPr>
        <w:t>权</w:t>
      </w:r>
      <w:r>
        <w:rPr>
          <w:rFonts w:ascii="仿宋_GB2312" w:hAnsi="黑体" w:eastAsia="仿宋_GB2312" w:cs="Times New Roman"/>
          <w:b/>
          <w:spacing w:val="-4"/>
          <w:sz w:val="20"/>
          <w:szCs w:val="20"/>
          <w:lang w:eastAsia="zh-CN"/>
        </w:rPr>
        <w:t>益须知</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及本期产品的</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的全部内容，同时向贵阳农商银行了解本期</w:t>
      </w:r>
      <w:r>
        <w:rPr>
          <w:rFonts w:ascii="仿宋_GB2312" w:hAnsi="黑体" w:eastAsia="仿宋_GB2312" w:cs="Times New Roman"/>
          <w:b/>
          <w:sz w:val="20"/>
          <w:szCs w:val="20"/>
          <w:lang w:eastAsia="zh-CN"/>
        </w:rPr>
        <w:t>产品的其他相关信息，并独立做出是否购买本期产品的决定。</w:t>
      </w:r>
    </w:p>
    <w:p w14:paraId="59918AF3">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w:t>
      </w:r>
      <w:r>
        <w:rPr>
          <w:rFonts w:hint="eastAsia" w:ascii="仿宋_GB2312" w:hAnsi="黑体" w:eastAsia="仿宋_GB2312" w:cs="Times New Roman"/>
          <w:b/>
          <w:spacing w:val="-3"/>
          <w:sz w:val="20"/>
          <w:szCs w:val="20"/>
          <w:lang w:eastAsia="zh-CN"/>
        </w:rPr>
        <w:t>签字或勾选同意</w:t>
      </w:r>
      <w:r>
        <w:rPr>
          <w:rFonts w:ascii="仿宋_GB2312" w:hAnsi="黑体" w:eastAsia="仿宋_GB2312" w:cs="Times New Roman"/>
          <w:b/>
          <w:spacing w:val="-3"/>
          <w:sz w:val="20"/>
          <w:szCs w:val="20"/>
          <w:lang w:eastAsia="zh-CN"/>
        </w:rPr>
        <w:t>本</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风险揭示书</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，并将资金委托给贵阳农商银行运作是您真实的意思</w:t>
      </w:r>
      <w:r>
        <w:rPr>
          <w:rFonts w:ascii="仿宋_GB2312" w:hAnsi="黑体" w:eastAsia="仿宋_GB2312" w:cs="Times New Roman"/>
          <w:b/>
          <w:spacing w:val="-4"/>
          <w:sz w:val="20"/>
          <w:szCs w:val="20"/>
          <w:lang w:eastAsia="zh-CN"/>
        </w:rPr>
        <w:t>表示。本</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及相应的</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《投资者</w:t>
      </w:r>
      <w:r>
        <w:rPr>
          <w:rFonts w:ascii="仿宋_GB2312" w:hAnsi="黑体" w:eastAsia="仿宋_GB2312" w:cs="Times New Roman"/>
          <w:b/>
          <w:spacing w:val="-4"/>
          <w:sz w:val="20"/>
          <w:szCs w:val="20"/>
          <w:lang w:eastAsia="zh-CN"/>
        </w:rPr>
        <w:t>权益须知</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将共同构成</w:t>
      </w:r>
      <w:r>
        <w:rPr>
          <w:rFonts w:ascii="仿宋_GB2312" w:hAnsi="黑体" w:eastAsia="仿宋_GB2312" w:cs="Times New Roman"/>
          <w:b/>
          <w:sz w:val="20"/>
          <w:szCs w:val="20"/>
          <w:lang w:eastAsia="zh-CN"/>
        </w:rPr>
        <w:t>理财</w:t>
      </w:r>
      <w:r>
        <w:rPr>
          <w:rFonts w:hint="eastAsia" w:ascii="仿宋_GB2312" w:hAnsi="黑体" w:eastAsia="仿宋_GB2312" w:cs="Times New Roman"/>
          <w:b/>
          <w:sz w:val="20"/>
          <w:szCs w:val="20"/>
          <w:lang w:val="en-US" w:eastAsia="zh-CN"/>
        </w:rPr>
        <w:t>销售文件</w:t>
      </w:r>
      <w:r>
        <w:rPr>
          <w:rFonts w:ascii="仿宋_GB2312" w:hAnsi="黑体" w:eastAsia="仿宋_GB2312" w:cs="Times New Roman"/>
          <w:b/>
          <w:sz w:val="20"/>
          <w:szCs w:val="20"/>
          <w:lang w:eastAsia="zh-CN"/>
        </w:rPr>
        <w:t>的有效组成部分。</w:t>
      </w:r>
    </w:p>
    <w:p w14:paraId="39D80974">
      <w:pPr>
        <w:ind w:right="211"/>
        <w:jc w:val="right"/>
        <w:rPr>
          <w:rFonts w:hint="default" w:ascii="仿宋_GB2312" w:hAnsi="Times New Roman" w:eastAsia="仿宋_GB2312" w:cs="Times New Roman"/>
          <w:b/>
          <w:spacing w:val="-1"/>
          <w:sz w:val="20"/>
          <w:szCs w:val="20"/>
          <w:lang w:val="en-US" w:eastAsia="zh-CN"/>
        </w:rPr>
      </w:pPr>
      <w:r>
        <w:rPr>
          <w:rFonts w:ascii="仿宋_GB2312" w:hAnsi="黑体" w:eastAsia="仿宋_GB2312" w:cs="Times New Roman"/>
          <w:b/>
          <w:spacing w:val="-1"/>
          <w:sz w:val="20"/>
          <w:szCs w:val="20"/>
          <w:lang w:eastAsia="zh-CN"/>
        </w:rPr>
        <w:t>风险揭示方：贵阳农</w:t>
      </w:r>
      <w:r>
        <w:rPr>
          <w:rFonts w:hint="eastAsia" w:ascii="仿宋_GB2312" w:hAnsi="黑体" w:eastAsia="仿宋_GB2312" w:cs="Times New Roman"/>
          <w:b/>
          <w:spacing w:val="-1"/>
          <w:sz w:val="20"/>
          <w:szCs w:val="20"/>
          <w:lang w:val="en-US" w:eastAsia="zh-CN"/>
        </w:rPr>
        <w:t>村</w:t>
      </w:r>
      <w:r>
        <w:rPr>
          <w:rFonts w:ascii="仿宋_GB2312" w:hAnsi="黑体" w:eastAsia="仿宋_GB2312" w:cs="Times New Roman"/>
          <w:b/>
          <w:spacing w:val="-1"/>
          <w:sz w:val="20"/>
          <w:szCs w:val="20"/>
          <w:lang w:eastAsia="zh-CN"/>
        </w:rPr>
        <w:t>商</w:t>
      </w:r>
      <w:r>
        <w:rPr>
          <w:rFonts w:hint="eastAsia" w:ascii="仿宋_GB2312" w:hAnsi="黑体" w:eastAsia="仿宋_GB2312" w:cs="Times New Roman"/>
          <w:b/>
          <w:spacing w:val="-1"/>
          <w:sz w:val="20"/>
          <w:szCs w:val="20"/>
          <w:lang w:val="en-US" w:eastAsia="zh-CN"/>
        </w:rPr>
        <w:t>业</w:t>
      </w:r>
      <w:r>
        <w:rPr>
          <w:rFonts w:ascii="仿宋_GB2312" w:hAnsi="黑体" w:eastAsia="仿宋_GB2312" w:cs="Times New Roman"/>
          <w:b/>
          <w:spacing w:val="-1"/>
          <w:sz w:val="20"/>
          <w:szCs w:val="20"/>
          <w:lang w:eastAsia="zh-CN"/>
        </w:rPr>
        <w:t>银行</w:t>
      </w:r>
      <w:r>
        <w:rPr>
          <w:rFonts w:hint="eastAsia" w:ascii="仿宋_GB2312" w:hAnsi="黑体" w:eastAsia="仿宋_GB2312" w:cs="Times New Roman"/>
          <w:b/>
          <w:spacing w:val="-1"/>
          <w:sz w:val="20"/>
          <w:szCs w:val="20"/>
          <w:lang w:val="en-US" w:eastAsia="zh-CN"/>
        </w:rPr>
        <w:t>股份有限公司</w:t>
      </w:r>
    </w:p>
    <w:p w14:paraId="38205354">
      <w:pPr>
        <w:ind w:left="120"/>
        <w:rPr>
          <w:rFonts w:ascii="仿宋_GB2312" w:hAnsi="Times New Roman" w:eastAsia="仿宋_GB2312" w:cs="Times New Roman"/>
          <w:b/>
          <w:sz w:val="20"/>
          <w:szCs w:val="20"/>
          <w:lang w:eastAsia="zh-CN"/>
        </w:rPr>
      </w:pPr>
      <w:r>
        <w:rPr>
          <w:rFonts w:ascii="仿宋_GB2312" w:hAnsi="Times New Roman" w:eastAsia="仿宋_GB2312" w:cs="Times New Roman"/>
          <w:b/>
          <w:sz w:val="20"/>
          <w:szCs w:val="20"/>
          <w:lang w:eastAsia="zh-CN"/>
        </w:rPr>
        <w:t>(</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签字与签章见下一页</w:t>
      </w:r>
      <w:r>
        <w:rPr>
          <w:rFonts w:ascii="仿宋_GB2312" w:hAnsi="Times New Roman" w:eastAsia="仿宋_GB2312" w:cs="Times New Roman"/>
          <w:b/>
          <w:sz w:val="20"/>
          <w:szCs w:val="20"/>
          <w:lang w:eastAsia="zh-CN"/>
        </w:rPr>
        <w:t>)</w:t>
      </w:r>
    </w:p>
    <w:p w14:paraId="3AD32846">
      <w:pPr>
        <w:rPr>
          <w:rFonts w:ascii="Times New Roman" w:hAnsi="Times New Roman" w:eastAsia="MingLiU_HKSCS" w:cs="Times New Roman"/>
          <w:sz w:val="21"/>
          <w:szCs w:val="21"/>
          <w:lang w:eastAsia="zh-CN"/>
        </w:rPr>
        <w:sectPr>
          <w:footerReference r:id="rId3" w:type="default"/>
          <w:pgSz w:w="11900" w:h="16840"/>
          <w:pgMar w:top="1135" w:right="1580" w:bottom="1180" w:left="1680" w:header="0" w:footer="981" w:gutter="0"/>
          <w:pgNumType w:start="1"/>
          <w:cols w:space="720" w:num="1"/>
        </w:sectPr>
      </w:pPr>
    </w:p>
    <w:p w14:paraId="7216FBB9">
      <w:pPr>
        <w:ind w:right="1502"/>
        <w:rPr>
          <w:rFonts w:ascii="黑体" w:hAnsi="黑体" w:eastAsia="黑体" w:cs="Times New Roman"/>
          <w:sz w:val="21"/>
          <w:szCs w:val="21"/>
          <w:lang w:eastAsia="zh-CN"/>
        </w:rPr>
      </w:pPr>
      <w:r>
        <w:rPr>
          <w:rFonts w:ascii="黑体" w:hAnsi="黑体" w:eastAsia="黑体" w:cs="Times New Roman"/>
          <w:sz w:val="21"/>
          <w:szCs w:val="21"/>
          <w:lang w:eastAsia="zh-CN"/>
        </w:rPr>
        <w:t>签字与签章</w:t>
      </w:r>
    </w:p>
    <w:p w14:paraId="1BC2A3B5">
      <w:pPr>
        <w:ind w:right="1502"/>
        <w:rPr>
          <w:rFonts w:ascii="仿宋_GB2312" w:hAnsi="宋体" w:eastAsia="仿宋_GB2312" w:cs="Times New Roman"/>
          <w:spacing w:val="-2"/>
          <w:sz w:val="21"/>
          <w:szCs w:val="21"/>
          <w:lang w:eastAsia="zh-CN"/>
        </w:rPr>
      </w:pPr>
      <w:r>
        <w:rPr>
          <w:rFonts w:hint="eastAsia" w:ascii="仿宋_GB2312" w:hAnsi="宋体" w:eastAsia="仿宋_GB2312" w:cs="Times New Roman"/>
          <w:spacing w:val="-2"/>
          <w:sz w:val="21"/>
          <w:szCs w:val="21"/>
          <w:lang w:eastAsia="zh-CN"/>
        </w:rPr>
        <w:t>个人投资者请在下面填写您的风险承受能力评级、抄录风险揭示语句并签字：</w:t>
      </w:r>
    </w:p>
    <w:tbl>
      <w:tblPr>
        <w:tblStyle w:val="6"/>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32D9B4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4D491BFC">
            <w:pPr>
              <w:rPr>
                <w:rFonts w:ascii="仿宋_GB2312" w:hAnsi="宋体" w:eastAsia="仿宋_GB2312" w:cs="宋体"/>
                <w:sz w:val="21"/>
                <w:szCs w:val="21"/>
                <w:lang w:eastAsia="zh-CN"/>
              </w:rPr>
            </w:pPr>
          </w:p>
          <w:p w14:paraId="42519ED1">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声</w:t>
            </w:r>
            <w:r>
              <w:rPr>
                <w:rFonts w:hint="eastAsia" w:ascii="仿宋_GB2312" w:hAnsi="宋体" w:eastAsia="仿宋_GB2312" w:cs="宋体"/>
                <w:sz w:val="21"/>
                <w:szCs w:val="21"/>
                <w:lang w:eastAsia="zh-CN"/>
              </w:rPr>
              <w:t>明</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本</w:t>
            </w:r>
            <w:r>
              <w:rPr>
                <w:rFonts w:hint="eastAsia" w:ascii="仿宋_GB2312" w:hAnsi="宋体" w:eastAsia="仿宋_GB2312" w:cs="宋体"/>
                <w:spacing w:val="-3"/>
                <w:sz w:val="21"/>
                <w:szCs w:val="21"/>
                <w:lang w:eastAsia="zh-CN"/>
              </w:rPr>
              <w:t>人</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购</w:t>
            </w:r>
            <w:r>
              <w:rPr>
                <w:rFonts w:hint="eastAsia" w:ascii="仿宋_GB2312" w:hAnsi="宋体" w:eastAsia="仿宋_GB2312" w:cs="宋体"/>
                <w:sz w:val="21"/>
                <w:szCs w:val="21"/>
                <w:lang w:eastAsia="zh-CN"/>
              </w:rPr>
              <w:t>买</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期产</w:t>
            </w:r>
            <w:r>
              <w:rPr>
                <w:rFonts w:hint="eastAsia" w:ascii="仿宋_GB2312" w:hAnsi="宋体" w:eastAsia="仿宋_GB2312" w:cs="宋体"/>
                <w:spacing w:val="-3"/>
                <w:sz w:val="21"/>
                <w:szCs w:val="21"/>
                <w:lang w:eastAsia="zh-CN"/>
              </w:rPr>
              <w:t>品</w:t>
            </w:r>
            <w:r>
              <w:rPr>
                <w:rFonts w:hint="eastAsia" w:ascii="仿宋_GB2312" w:hAnsi="宋体" w:eastAsia="仿宋_GB2312" w:cs="宋体"/>
                <w:sz w:val="21"/>
                <w:szCs w:val="21"/>
                <w:lang w:eastAsia="zh-CN"/>
              </w:rPr>
              <w:t>前</w:t>
            </w:r>
            <w:r>
              <w:rPr>
                <w:rFonts w:hint="eastAsia" w:ascii="仿宋_GB2312" w:hAnsi="宋体" w:eastAsia="仿宋_GB2312" w:cs="宋体"/>
                <w:spacing w:val="-3"/>
                <w:sz w:val="21"/>
                <w:szCs w:val="21"/>
                <w:lang w:eastAsia="zh-CN"/>
              </w:rPr>
              <w:t>已</w:t>
            </w:r>
            <w:r>
              <w:rPr>
                <w:rFonts w:hint="eastAsia" w:ascii="仿宋_GB2312" w:hAnsi="宋体" w:eastAsia="仿宋_GB2312" w:cs="宋体"/>
                <w:sz w:val="21"/>
                <w:szCs w:val="21"/>
                <w:lang w:eastAsia="zh-CN"/>
              </w:rPr>
              <w:t>完</w:t>
            </w:r>
            <w:r>
              <w:rPr>
                <w:rFonts w:hint="eastAsia" w:ascii="仿宋_GB2312" w:hAnsi="宋体" w:eastAsia="仿宋_GB2312" w:cs="宋体"/>
                <w:spacing w:val="-3"/>
                <w:sz w:val="21"/>
                <w:szCs w:val="21"/>
                <w:lang w:eastAsia="zh-CN"/>
              </w:rPr>
              <w:t>成</w:t>
            </w:r>
            <w:r>
              <w:rPr>
                <w:rFonts w:hint="eastAsia" w:ascii="仿宋_GB2312" w:hAnsi="宋体" w:eastAsia="仿宋_GB2312" w:cs="宋体"/>
                <w:sz w:val="21"/>
                <w:szCs w:val="21"/>
                <w:lang w:eastAsia="zh-CN"/>
              </w:rPr>
              <w:t>风</w:t>
            </w:r>
            <w:r>
              <w:rPr>
                <w:rFonts w:hint="eastAsia" w:ascii="仿宋_GB2312" w:hAnsi="宋体" w:eastAsia="仿宋_GB2312" w:cs="宋体"/>
                <w:spacing w:val="-3"/>
                <w:sz w:val="21"/>
                <w:szCs w:val="21"/>
                <w:lang w:eastAsia="zh-CN"/>
              </w:rPr>
              <w:t>险</w:t>
            </w:r>
            <w:r>
              <w:rPr>
                <w:rFonts w:hint="eastAsia" w:ascii="仿宋_GB2312" w:hAnsi="宋体" w:eastAsia="仿宋_GB2312" w:cs="宋体"/>
                <w:sz w:val="21"/>
                <w:szCs w:val="21"/>
                <w:lang w:eastAsia="zh-CN"/>
              </w:rPr>
              <w:t>承</w:t>
            </w:r>
            <w:r>
              <w:rPr>
                <w:rFonts w:hint="eastAsia" w:ascii="仿宋_GB2312" w:hAnsi="宋体" w:eastAsia="仿宋_GB2312" w:cs="宋体"/>
                <w:spacing w:val="-3"/>
                <w:sz w:val="21"/>
                <w:szCs w:val="21"/>
                <w:lang w:eastAsia="zh-CN"/>
              </w:rPr>
              <w:t>受</w:t>
            </w:r>
            <w:r>
              <w:rPr>
                <w:rFonts w:hint="eastAsia" w:ascii="仿宋_GB2312" w:hAnsi="宋体" w:eastAsia="仿宋_GB2312" w:cs="宋体"/>
                <w:sz w:val="21"/>
                <w:szCs w:val="21"/>
                <w:lang w:eastAsia="zh-CN"/>
              </w:rPr>
              <w:t>能力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估</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且</w:t>
            </w:r>
            <w:r>
              <w:rPr>
                <w:rFonts w:hint="eastAsia" w:ascii="仿宋_GB2312" w:hAnsi="宋体" w:eastAsia="仿宋_GB2312" w:cs="宋体"/>
                <w:spacing w:val="-3"/>
                <w:sz w:val="21"/>
                <w:szCs w:val="21"/>
                <w:lang w:eastAsia="zh-CN"/>
              </w:rPr>
              <w:t>该</w:t>
            </w:r>
            <w:r>
              <w:rPr>
                <w:rFonts w:hint="eastAsia" w:ascii="仿宋_GB2312" w:hAnsi="宋体" w:eastAsia="仿宋_GB2312" w:cs="宋体"/>
                <w:sz w:val="21"/>
                <w:szCs w:val="21"/>
                <w:lang w:eastAsia="zh-CN"/>
              </w:rPr>
              <w:t>评</w:t>
            </w:r>
            <w:r>
              <w:rPr>
                <w:rFonts w:hint="eastAsia" w:ascii="仿宋_GB2312" w:hAnsi="宋体" w:eastAsia="仿宋_GB2312" w:cs="宋体"/>
                <w:spacing w:val="-3"/>
                <w:sz w:val="21"/>
                <w:szCs w:val="21"/>
                <w:lang w:eastAsia="zh-CN"/>
              </w:rPr>
              <w:t>估</w:t>
            </w:r>
            <w:r>
              <w:rPr>
                <w:rFonts w:hint="eastAsia" w:ascii="仿宋_GB2312" w:hAnsi="宋体" w:eastAsia="仿宋_GB2312" w:cs="宋体"/>
                <w:sz w:val="21"/>
                <w:szCs w:val="21"/>
                <w:lang w:eastAsia="zh-CN"/>
              </w:rPr>
              <w:t>结</w:t>
            </w:r>
            <w:r>
              <w:rPr>
                <w:rFonts w:hint="eastAsia" w:ascii="仿宋_GB2312" w:hAnsi="宋体" w:eastAsia="仿宋_GB2312" w:cs="宋体"/>
                <w:spacing w:val="-3"/>
                <w:sz w:val="21"/>
                <w:szCs w:val="21"/>
                <w:lang w:eastAsia="zh-CN"/>
              </w:rPr>
              <w:t>果</w:t>
            </w:r>
            <w:r>
              <w:rPr>
                <w:rFonts w:hint="eastAsia" w:ascii="仿宋_GB2312" w:hAnsi="宋体" w:eastAsia="仿宋_GB2312" w:cs="宋体"/>
                <w:sz w:val="21"/>
                <w:szCs w:val="21"/>
                <w:lang w:eastAsia="zh-CN"/>
              </w:rPr>
              <w:t>具有</w:t>
            </w:r>
            <w:r>
              <w:rPr>
                <w:rFonts w:hint="eastAsia" w:ascii="仿宋_GB2312" w:hAnsi="宋体" w:eastAsia="仿宋_GB2312" w:cs="宋体"/>
                <w:spacing w:val="-3"/>
                <w:sz w:val="21"/>
                <w:szCs w:val="21"/>
                <w:lang w:eastAsia="zh-CN"/>
              </w:rPr>
              <w:t>效</w:t>
            </w:r>
            <w:r>
              <w:rPr>
                <w:rFonts w:hint="eastAsia" w:ascii="仿宋_GB2312" w:hAnsi="宋体" w:eastAsia="仿宋_GB2312" w:cs="宋体"/>
                <w:sz w:val="21"/>
                <w:szCs w:val="21"/>
                <w:lang w:eastAsia="zh-CN"/>
              </w:rPr>
              <w:t>力。</w:t>
            </w:r>
          </w:p>
          <w:p w14:paraId="7EE493E6">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本人</w:t>
            </w:r>
            <w:r>
              <w:rPr>
                <w:rFonts w:hint="eastAsia" w:ascii="仿宋_GB2312" w:hAnsi="宋体" w:eastAsia="仿宋_GB2312" w:cs="宋体"/>
                <w:spacing w:val="-3"/>
                <w:sz w:val="21"/>
                <w:szCs w:val="21"/>
                <w:lang w:eastAsia="zh-CN"/>
              </w:rPr>
              <w:t>风</w:t>
            </w:r>
            <w:r>
              <w:rPr>
                <w:rFonts w:hint="eastAsia" w:ascii="仿宋_GB2312" w:hAnsi="宋体" w:eastAsia="仿宋_GB2312" w:cs="宋体"/>
                <w:sz w:val="21"/>
                <w:szCs w:val="21"/>
                <w:lang w:eastAsia="zh-CN"/>
              </w:rPr>
              <w:t>险</w:t>
            </w:r>
            <w:r>
              <w:rPr>
                <w:rFonts w:hint="eastAsia" w:ascii="仿宋_GB2312" w:hAnsi="宋体" w:eastAsia="仿宋_GB2312" w:cs="宋体"/>
                <w:spacing w:val="-3"/>
                <w:sz w:val="21"/>
                <w:szCs w:val="21"/>
                <w:lang w:eastAsia="zh-CN"/>
              </w:rPr>
              <w:t>承</w:t>
            </w:r>
            <w:r>
              <w:rPr>
                <w:rFonts w:hint="eastAsia" w:ascii="仿宋_GB2312" w:hAnsi="宋体" w:eastAsia="仿宋_GB2312" w:cs="宋体"/>
                <w:sz w:val="21"/>
                <w:szCs w:val="21"/>
                <w:lang w:eastAsia="zh-CN"/>
              </w:rPr>
              <w:t>受</w:t>
            </w:r>
            <w:r>
              <w:rPr>
                <w:rFonts w:hint="eastAsia" w:ascii="仿宋_GB2312" w:hAnsi="宋体" w:eastAsia="仿宋_GB2312" w:cs="宋体"/>
                <w:spacing w:val="-3"/>
                <w:sz w:val="21"/>
                <w:szCs w:val="21"/>
                <w:lang w:eastAsia="zh-CN"/>
              </w:rPr>
              <w:t>能</w:t>
            </w:r>
            <w:r>
              <w:rPr>
                <w:rFonts w:hint="eastAsia" w:ascii="仿宋_GB2312" w:hAnsi="宋体" w:eastAsia="仿宋_GB2312" w:cs="宋体"/>
                <w:sz w:val="21"/>
                <w:szCs w:val="21"/>
                <w:lang w:eastAsia="zh-CN"/>
              </w:rPr>
              <w:t>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级：</w:t>
            </w:r>
            <w:r>
              <w:rPr>
                <w:rFonts w:hint="eastAsia" w:ascii="仿宋_GB2312" w:hAnsi="宋体" w:eastAsia="仿宋_GB2312" w:cs="宋体"/>
                <w:sz w:val="21"/>
                <w:szCs w:val="21"/>
                <w:lang w:eastAsia="zh-CN"/>
              </w:rPr>
              <w:tab/>
            </w:r>
            <w:r>
              <w:rPr>
                <w:rFonts w:hint="eastAsia" w:ascii="仿宋_GB2312" w:hAnsi="宋体" w:eastAsia="仿宋_GB2312" w:cs="宋体"/>
                <w:sz w:val="21"/>
                <w:szCs w:val="21"/>
                <w:lang w:eastAsia="zh-CN"/>
              </w:rPr>
              <w:t>（由</w:t>
            </w:r>
            <w:r>
              <w:rPr>
                <w:rFonts w:hint="eastAsia" w:ascii="仿宋_GB2312" w:hAnsi="宋体" w:eastAsia="仿宋_GB2312" w:cs="宋体"/>
                <w:spacing w:val="-3"/>
                <w:sz w:val="21"/>
                <w:szCs w:val="21"/>
                <w:lang w:eastAsia="zh-CN"/>
              </w:rPr>
              <w:t>投资者</w:t>
            </w:r>
            <w:r>
              <w:rPr>
                <w:rFonts w:hint="eastAsia" w:ascii="仿宋_GB2312" w:hAnsi="宋体" w:eastAsia="仿宋_GB2312" w:cs="宋体"/>
                <w:sz w:val="21"/>
                <w:szCs w:val="21"/>
                <w:lang w:eastAsia="zh-CN"/>
              </w:rPr>
              <w:t>自行</w:t>
            </w:r>
            <w:r>
              <w:rPr>
                <w:rFonts w:hint="eastAsia" w:ascii="仿宋_GB2312" w:hAnsi="宋体" w:eastAsia="仿宋_GB2312" w:cs="宋体"/>
                <w:spacing w:val="-3"/>
                <w:sz w:val="21"/>
                <w:szCs w:val="21"/>
                <w:lang w:eastAsia="zh-CN"/>
              </w:rPr>
              <w:t>填</w:t>
            </w:r>
            <w:r>
              <w:rPr>
                <w:rFonts w:hint="eastAsia" w:ascii="仿宋_GB2312" w:hAnsi="宋体" w:eastAsia="仿宋_GB2312" w:cs="宋体"/>
                <w:sz w:val="21"/>
                <w:szCs w:val="21"/>
                <w:lang w:eastAsia="zh-CN"/>
              </w:rPr>
              <w:t>写）</w:t>
            </w:r>
          </w:p>
          <w:p w14:paraId="0D78BBDE">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根据</w:t>
            </w:r>
            <w:r>
              <w:rPr>
                <w:rFonts w:hint="eastAsia" w:ascii="仿宋_GB2312" w:hAnsi="宋体" w:eastAsia="仿宋_GB2312" w:cs="宋体"/>
                <w:spacing w:val="-3"/>
                <w:sz w:val="21"/>
                <w:szCs w:val="21"/>
                <w:lang w:eastAsia="zh-CN"/>
              </w:rPr>
              <w:t>监</w:t>
            </w:r>
            <w:r>
              <w:rPr>
                <w:rFonts w:hint="eastAsia" w:ascii="仿宋_GB2312" w:hAnsi="宋体" w:eastAsia="仿宋_GB2312" w:cs="宋体"/>
                <w:sz w:val="21"/>
                <w:szCs w:val="21"/>
                <w:lang w:eastAsia="zh-CN"/>
              </w:rPr>
              <w:t>管</w:t>
            </w:r>
            <w:r>
              <w:rPr>
                <w:rFonts w:hint="eastAsia" w:ascii="仿宋_GB2312" w:hAnsi="宋体" w:eastAsia="仿宋_GB2312" w:cs="宋体"/>
                <w:spacing w:val="-3"/>
                <w:sz w:val="21"/>
                <w:szCs w:val="21"/>
                <w:lang w:eastAsia="zh-CN"/>
              </w:rPr>
              <w:t>部</w:t>
            </w:r>
            <w:r>
              <w:rPr>
                <w:rFonts w:hint="eastAsia" w:ascii="仿宋_GB2312" w:hAnsi="宋体" w:eastAsia="仿宋_GB2312" w:cs="宋体"/>
                <w:sz w:val="21"/>
                <w:szCs w:val="21"/>
                <w:lang w:eastAsia="zh-CN"/>
              </w:rPr>
              <w:t>门</w:t>
            </w:r>
            <w:r>
              <w:rPr>
                <w:rFonts w:hint="eastAsia" w:ascii="仿宋_GB2312" w:hAnsi="宋体" w:eastAsia="仿宋_GB2312" w:cs="宋体"/>
                <w:spacing w:val="-3"/>
                <w:sz w:val="21"/>
                <w:szCs w:val="21"/>
                <w:lang w:eastAsia="zh-CN"/>
              </w:rPr>
              <w:t>的</w:t>
            </w:r>
            <w:r>
              <w:rPr>
                <w:rFonts w:hint="eastAsia" w:ascii="仿宋_GB2312" w:hAnsi="宋体" w:eastAsia="仿宋_GB2312" w:cs="宋体"/>
                <w:sz w:val="21"/>
                <w:szCs w:val="21"/>
                <w:lang w:eastAsia="zh-CN"/>
              </w:rPr>
              <w:t>要</w:t>
            </w:r>
            <w:r>
              <w:rPr>
                <w:rFonts w:hint="eastAsia" w:ascii="仿宋_GB2312" w:hAnsi="宋体" w:eastAsia="仿宋_GB2312" w:cs="宋体"/>
                <w:spacing w:val="-3"/>
                <w:sz w:val="21"/>
                <w:szCs w:val="21"/>
                <w:lang w:eastAsia="zh-CN"/>
              </w:rPr>
              <w:t>求</w:t>
            </w:r>
            <w:r>
              <w:rPr>
                <w:rFonts w:hint="eastAsia" w:ascii="仿宋_GB2312" w:hAnsi="宋体" w:eastAsia="仿宋_GB2312" w:cs="宋体"/>
                <w:spacing w:val="-29"/>
                <w:sz w:val="21"/>
                <w:szCs w:val="21"/>
                <w:lang w:eastAsia="zh-CN"/>
              </w:rPr>
              <w:t>，</w:t>
            </w:r>
            <w:r>
              <w:rPr>
                <w:rFonts w:hint="eastAsia" w:ascii="仿宋_GB2312" w:hAnsi="宋体" w:eastAsia="仿宋_GB2312" w:cs="宋体"/>
                <w:spacing w:val="-3"/>
                <w:sz w:val="21"/>
                <w:szCs w:val="21"/>
                <w:lang w:eastAsia="zh-CN"/>
              </w:rPr>
              <w:t>为</w:t>
            </w:r>
            <w:r>
              <w:rPr>
                <w:rFonts w:hint="eastAsia" w:ascii="仿宋_GB2312" w:hAnsi="宋体" w:eastAsia="仿宋_GB2312" w:cs="宋体"/>
                <w:sz w:val="21"/>
                <w:szCs w:val="21"/>
                <w:lang w:eastAsia="zh-CN"/>
              </w:rPr>
              <w:t>确保</w:t>
            </w:r>
            <w:r>
              <w:rPr>
                <w:rFonts w:hint="eastAsia" w:ascii="仿宋_GB2312" w:hAnsi="宋体" w:eastAsia="仿宋_GB2312" w:cs="宋体"/>
                <w:spacing w:val="-3"/>
                <w:sz w:val="21"/>
                <w:szCs w:val="21"/>
                <w:lang w:eastAsia="zh-CN"/>
              </w:rPr>
              <w:t>投资者充</w:t>
            </w:r>
            <w:r>
              <w:rPr>
                <w:rFonts w:hint="eastAsia" w:ascii="仿宋_GB2312" w:hAnsi="宋体" w:eastAsia="仿宋_GB2312" w:cs="宋体"/>
                <w:sz w:val="21"/>
                <w:szCs w:val="21"/>
                <w:lang w:eastAsia="zh-CN"/>
              </w:rPr>
              <w:t>分</w:t>
            </w:r>
            <w:r>
              <w:rPr>
                <w:rFonts w:hint="eastAsia" w:ascii="仿宋_GB2312" w:hAnsi="宋体" w:eastAsia="仿宋_GB2312" w:cs="宋体"/>
                <w:spacing w:val="-3"/>
                <w:sz w:val="21"/>
                <w:szCs w:val="21"/>
                <w:lang w:eastAsia="zh-CN"/>
              </w:rPr>
              <w:t>理</w:t>
            </w:r>
            <w:r>
              <w:rPr>
                <w:rFonts w:hint="eastAsia" w:ascii="仿宋_GB2312" w:hAnsi="宋体" w:eastAsia="仿宋_GB2312" w:cs="宋体"/>
                <w:sz w:val="21"/>
                <w:szCs w:val="21"/>
                <w:lang w:eastAsia="zh-CN"/>
              </w:rPr>
              <w:t>解</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w:t>
            </w:r>
            <w:r>
              <w:rPr>
                <w:rFonts w:hint="eastAsia" w:ascii="仿宋_GB2312" w:hAnsi="宋体" w:eastAsia="仿宋_GB2312" w:cs="宋体"/>
                <w:spacing w:val="-3"/>
                <w:sz w:val="21"/>
                <w:szCs w:val="21"/>
                <w:lang w:eastAsia="zh-CN"/>
              </w:rPr>
              <w:t>产</w:t>
            </w:r>
            <w:r>
              <w:rPr>
                <w:rFonts w:hint="eastAsia" w:ascii="仿宋_GB2312" w:hAnsi="宋体" w:eastAsia="仿宋_GB2312" w:cs="宋体"/>
                <w:sz w:val="21"/>
                <w:szCs w:val="21"/>
                <w:lang w:eastAsia="zh-CN"/>
              </w:rPr>
              <w:t>品的</w:t>
            </w:r>
            <w:r>
              <w:rPr>
                <w:rFonts w:hint="eastAsia" w:ascii="仿宋_GB2312" w:hAnsi="宋体" w:eastAsia="仿宋_GB2312" w:cs="宋体"/>
                <w:spacing w:val="-3"/>
                <w:sz w:val="21"/>
                <w:szCs w:val="21"/>
                <w:lang w:eastAsia="zh-CN"/>
              </w:rPr>
              <w:t>风险</w:t>
            </w:r>
            <w:r>
              <w:rPr>
                <w:rFonts w:hint="eastAsia" w:ascii="仿宋_GB2312" w:hAnsi="宋体" w:eastAsia="仿宋_GB2312" w:cs="宋体"/>
                <w:spacing w:val="-27"/>
                <w:sz w:val="21"/>
                <w:szCs w:val="21"/>
                <w:lang w:eastAsia="zh-CN"/>
              </w:rPr>
              <w:t>，</w:t>
            </w:r>
            <w:r>
              <w:rPr>
                <w:rFonts w:hint="eastAsia" w:ascii="仿宋_GB2312" w:hAnsi="宋体" w:eastAsia="仿宋_GB2312" w:cs="宋体"/>
                <w:spacing w:val="-3"/>
                <w:sz w:val="21"/>
                <w:szCs w:val="21"/>
                <w:lang w:eastAsia="zh-CN"/>
              </w:rPr>
              <w:t>请</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确</w:t>
            </w:r>
            <w:r>
              <w:rPr>
                <w:rFonts w:hint="eastAsia" w:ascii="仿宋_GB2312" w:hAnsi="宋体" w:eastAsia="仿宋_GB2312" w:cs="宋体"/>
                <w:sz w:val="21"/>
                <w:szCs w:val="21"/>
                <w:lang w:eastAsia="zh-CN"/>
              </w:rPr>
              <w:t>认</w:t>
            </w:r>
            <w:r>
              <w:rPr>
                <w:rFonts w:hint="eastAsia" w:ascii="仿宋_GB2312" w:hAnsi="宋体" w:eastAsia="仿宋_GB2312" w:cs="宋体"/>
                <w:spacing w:val="-3"/>
                <w:sz w:val="21"/>
                <w:szCs w:val="21"/>
                <w:lang w:eastAsia="zh-CN"/>
              </w:rPr>
              <w:t>栏抄</w:t>
            </w:r>
            <w:r>
              <w:rPr>
                <w:rFonts w:hint="eastAsia" w:ascii="仿宋_GB2312" w:hAnsi="宋体" w:eastAsia="仿宋_GB2312" w:cs="宋体"/>
                <w:sz w:val="21"/>
                <w:szCs w:val="21"/>
                <w:lang w:eastAsia="zh-CN"/>
              </w:rPr>
              <w:t>录以</w:t>
            </w:r>
            <w:r>
              <w:rPr>
                <w:rFonts w:hint="eastAsia" w:ascii="仿宋_GB2312" w:hAnsi="宋体" w:eastAsia="仿宋_GB2312" w:cs="宋体"/>
                <w:spacing w:val="-3"/>
                <w:sz w:val="21"/>
                <w:szCs w:val="21"/>
                <w:lang w:eastAsia="zh-CN"/>
              </w:rPr>
              <w:t>下</w:t>
            </w:r>
            <w:r>
              <w:rPr>
                <w:rFonts w:hint="eastAsia" w:ascii="仿宋_GB2312" w:hAnsi="宋体" w:eastAsia="仿宋_GB2312" w:cs="宋体"/>
                <w:sz w:val="21"/>
                <w:szCs w:val="21"/>
                <w:lang w:eastAsia="zh-CN"/>
              </w:rPr>
              <w:t>语</w:t>
            </w:r>
            <w:r>
              <w:rPr>
                <w:rFonts w:hint="eastAsia" w:ascii="仿宋_GB2312" w:hAnsi="宋体" w:eastAsia="仿宋_GB2312" w:cs="宋体"/>
                <w:spacing w:val="-3"/>
                <w:sz w:val="21"/>
                <w:szCs w:val="21"/>
                <w:lang w:eastAsia="zh-CN"/>
              </w:rPr>
              <w:t>句</w:t>
            </w:r>
            <w:r>
              <w:rPr>
                <w:rFonts w:hint="eastAsia" w:ascii="仿宋_GB2312" w:hAnsi="宋体" w:eastAsia="仿宋_GB2312" w:cs="宋体"/>
                <w:sz w:val="21"/>
                <w:szCs w:val="21"/>
                <w:lang w:eastAsia="zh-CN"/>
              </w:rPr>
              <w:t>并签名：</w:t>
            </w:r>
          </w:p>
          <w:p w14:paraId="71FC7CBD">
            <w:pPr>
              <w:rPr>
                <w:rFonts w:ascii="仿宋_GB2312" w:hAnsi="宋体" w:eastAsia="仿宋_GB2312" w:cs="宋体"/>
                <w:sz w:val="18"/>
                <w:szCs w:val="18"/>
                <w:lang w:eastAsia="zh-CN"/>
              </w:rPr>
            </w:pPr>
          </w:p>
          <w:p w14:paraId="4BC9EF4C">
            <w:pPr>
              <w:ind w:left="420"/>
              <w:rPr>
                <w:rFonts w:ascii="仿宋_GB2312" w:hAnsi="宋体" w:eastAsia="仿宋_GB2312" w:cs="宋体"/>
                <w:sz w:val="30"/>
                <w:szCs w:val="30"/>
                <w:lang w:eastAsia="zh-CN"/>
              </w:rPr>
            </w:pPr>
            <w:r>
              <w:rPr>
                <w:rFonts w:hint="eastAsia" w:ascii="仿宋_GB2312" w:hAnsi="宋体" w:eastAsia="仿宋_GB2312" w:cs="宋体"/>
                <w:spacing w:val="2"/>
                <w:w w:val="99"/>
                <w:sz w:val="30"/>
                <w:szCs w:val="30"/>
                <w:lang w:eastAsia="zh-CN"/>
              </w:rPr>
              <w:t>本</w:t>
            </w:r>
            <w:r>
              <w:rPr>
                <w:rFonts w:hint="eastAsia" w:ascii="仿宋_GB2312" w:hAnsi="宋体" w:eastAsia="仿宋_GB2312" w:cs="宋体"/>
                <w:w w:val="99"/>
                <w:sz w:val="30"/>
                <w:szCs w:val="30"/>
                <w:lang w:eastAsia="zh-CN"/>
              </w:rPr>
              <w:t>人</w:t>
            </w:r>
            <w:r>
              <w:rPr>
                <w:rFonts w:hint="eastAsia" w:ascii="仿宋_GB2312" w:hAnsi="宋体" w:eastAsia="仿宋_GB2312" w:cs="宋体"/>
                <w:spacing w:val="2"/>
                <w:w w:val="99"/>
                <w:sz w:val="30"/>
                <w:szCs w:val="30"/>
                <w:lang w:eastAsia="zh-CN"/>
              </w:rPr>
              <w:t>已</w:t>
            </w:r>
            <w:r>
              <w:rPr>
                <w:rFonts w:hint="eastAsia" w:ascii="仿宋_GB2312" w:hAnsi="宋体" w:eastAsia="仿宋_GB2312" w:cs="宋体"/>
                <w:w w:val="99"/>
                <w:sz w:val="30"/>
                <w:szCs w:val="30"/>
                <w:lang w:eastAsia="zh-CN"/>
              </w:rPr>
              <w:t>经</w:t>
            </w:r>
            <w:r>
              <w:rPr>
                <w:rFonts w:hint="eastAsia" w:ascii="仿宋_GB2312" w:hAnsi="宋体" w:eastAsia="仿宋_GB2312" w:cs="宋体"/>
                <w:spacing w:val="2"/>
                <w:w w:val="99"/>
                <w:sz w:val="30"/>
                <w:szCs w:val="30"/>
                <w:lang w:eastAsia="zh-CN"/>
              </w:rPr>
              <w:t>阅</w:t>
            </w:r>
            <w:r>
              <w:rPr>
                <w:rFonts w:hint="eastAsia" w:ascii="仿宋_GB2312" w:hAnsi="宋体" w:eastAsia="仿宋_GB2312" w:cs="宋体"/>
                <w:w w:val="99"/>
                <w:sz w:val="30"/>
                <w:szCs w:val="30"/>
                <w:lang w:eastAsia="zh-CN"/>
              </w:rPr>
              <w:t>读</w:t>
            </w:r>
            <w:r>
              <w:rPr>
                <w:rFonts w:hint="eastAsia" w:ascii="仿宋_GB2312" w:hAnsi="宋体" w:eastAsia="仿宋_GB2312" w:cs="宋体"/>
                <w:spacing w:val="2"/>
                <w:w w:val="99"/>
                <w:sz w:val="30"/>
                <w:szCs w:val="30"/>
                <w:lang w:eastAsia="zh-CN"/>
              </w:rPr>
              <w:t>风</w:t>
            </w:r>
            <w:r>
              <w:rPr>
                <w:rFonts w:hint="eastAsia" w:ascii="仿宋_GB2312" w:hAnsi="宋体" w:eastAsia="仿宋_GB2312" w:cs="宋体"/>
                <w:w w:val="99"/>
                <w:sz w:val="30"/>
                <w:szCs w:val="30"/>
                <w:lang w:eastAsia="zh-CN"/>
              </w:rPr>
              <w:t>险</w:t>
            </w:r>
            <w:r>
              <w:rPr>
                <w:rFonts w:hint="eastAsia" w:ascii="仿宋_GB2312" w:hAnsi="宋体" w:eastAsia="仿宋_GB2312" w:cs="宋体"/>
                <w:spacing w:val="2"/>
                <w:w w:val="99"/>
                <w:sz w:val="30"/>
                <w:szCs w:val="30"/>
                <w:lang w:eastAsia="zh-CN"/>
              </w:rPr>
              <w:t>揭</w:t>
            </w:r>
            <w:r>
              <w:rPr>
                <w:rFonts w:hint="eastAsia" w:ascii="仿宋_GB2312" w:hAnsi="宋体" w:eastAsia="仿宋_GB2312" w:cs="宋体"/>
                <w:w w:val="99"/>
                <w:sz w:val="30"/>
                <w:szCs w:val="30"/>
                <w:lang w:eastAsia="zh-CN"/>
              </w:rPr>
              <w:t>示</w:t>
            </w:r>
            <w:r>
              <w:rPr>
                <w:rFonts w:hint="eastAsia" w:ascii="仿宋_GB2312" w:hAnsi="宋体" w:eastAsia="仿宋_GB2312" w:cs="宋体"/>
                <w:spacing w:val="2"/>
                <w:w w:val="99"/>
                <w:sz w:val="30"/>
                <w:szCs w:val="30"/>
                <w:lang w:eastAsia="zh-CN"/>
              </w:rPr>
              <w:t>，</w:t>
            </w:r>
            <w:r>
              <w:rPr>
                <w:rFonts w:hint="eastAsia" w:ascii="仿宋_GB2312" w:hAnsi="宋体" w:eastAsia="仿宋_GB2312" w:cs="宋体"/>
                <w:w w:val="99"/>
                <w:sz w:val="30"/>
                <w:szCs w:val="30"/>
                <w:lang w:eastAsia="zh-CN"/>
              </w:rPr>
              <w:t>愿</w:t>
            </w:r>
            <w:r>
              <w:rPr>
                <w:rFonts w:hint="eastAsia" w:ascii="仿宋_GB2312" w:hAnsi="宋体" w:eastAsia="仿宋_GB2312" w:cs="宋体"/>
                <w:spacing w:val="2"/>
                <w:w w:val="99"/>
                <w:sz w:val="30"/>
                <w:szCs w:val="30"/>
                <w:lang w:eastAsia="zh-CN"/>
              </w:rPr>
              <w:t>意</w:t>
            </w:r>
            <w:r>
              <w:rPr>
                <w:rFonts w:hint="eastAsia" w:ascii="仿宋_GB2312" w:hAnsi="宋体" w:eastAsia="仿宋_GB2312" w:cs="宋体"/>
                <w:w w:val="99"/>
                <w:sz w:val="30"/>
                <w:szCs w:val="30"/>
                <w:lang w:eastAsia="zh-CN"/>
              </w:rPr>
              <w:t>承</w:t>
            </w:r>
            <w:r>
              <w:rPr>
                <w:rFonts w:hint="eastAsia" w:ascii="仿宋_GB2312" w:hAnsi="宋体" w:eastAsia="仿宋_GB2312" w:cs="宋体"/>
                <w:spacing w:val="2"/>
                <w:w w:val="99"/>
                <w:sz w:val="30"/>
                <w:szCs w:val="30"/>
                <w:lang w:eastAsia="zh-CN"/>
              </w:rPr>
              <w:t>担</w:t>
            </w:r>
            <w:r>
              <w:rPr>
                <w:rFonts w:hint="eastAsia" w:ascii="仿宋_GB2312" w:hAnsi="宋体" w:eastAsia="仿宋_GB2312" w:cs="宋体"/>
                <w:w w:val="99"/>
                <w:sz w:val="30"/>
                <w:szCs w:val="30"/>
                <w:lang w:eastAsia="zh-CN"/>
              </w:rPr>
              <w:t>投</w:t>
            </w:r>
            <w:r>
              <w:rPr>
                <w:rFonts w:hint="eastAsia" w:ascii="仿宋_GB2312" w:hAnsi="宋体" w:eastAsia="仿宋_GB2312" w:cs="宋体"/>
                <w:spacing w:val="2"/>
                <w:w w:val="99"/>
                <w:sz w:val="30"/>
                <w:szCs w:val="30"/>
                <w:lang w:eastAsia="zh-CN"/>
              </w:rPr>
              <w:t>资</w:t>
            </w:r>
            <w:r>
              <w:rPr>
                <w:rFonts w:hint="eastAsia" w:ascii="仿宋_GB2312" w:hAnsi="宋体" w:eastAsia="仿宋_GB2312" w:cs="宋体"/>
                <w:w w:val="99"/>
                <w:sz w:val="30"/>
                <w:szCs w:val="30"/>
                <w:lang w:eastAsia="zh-CN"/>
              </w:rPr>
              <w:t>风</w:t>
            </w:r>
            <w:r>
              <w:rPr>
                <w:rFonts w:hint="eastAsia" w:ascii="仿宋_GB2312" w:hAnsi="宋体" w:eastAsia="仿宋_GB2312" w:cs="宋体"/>
                <w:spacing w:val="2"/>
                <w:w w:val="99"/>
                <w:sz w:val="30"/>
                <w:szCs w:val="30"/>
                <w:lang w:eastAsia="zh-CN"/>
              </w:rPr>
              <w:t>险</w:t>
            </w:r>
            <w:r>
              <w:rPr>
                <w:rFonts w:hint="eastAsia" w:ascii="仿宋_GB2312" w:hAnsi="宋体" w:eastAsia="仿宋_GB2312" w:cs="宋体"/>
                <w:w w:val="99"/>
                <w:sz w:val="30"/>
                <w:szCs w:val="30"/>
                <w:lang w:eastAsia="zh-CN"/>
              </w:rPr>
              <w:t>。</w:t>
            </w:r>
          </w:p>
          <w:p w14:paraId="3E615E92">
            <w:pPr>
              <w:rPr>
                <w:rFonts w:ascii="仿宋_GB2312" w:hAnsi="宋体" w:eastAsia="仿宋_GB2312" w:cs="宋体"/>
                <w:sz w:val="20"/>
                <w:szCs w:val="20"/>
                <w:lang w:eastAsia="zh-CN"/>
              </w:rPr>
            </w:pPr>
          </w:p>
          <w:p w14:paraId="282D904F">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抄</w:t>
            </w:r>
            <w:r>
              <w:rPr>
                <w:rFonts w:hint="eastAsia" w:ascii="仿宋_GB2312" w:hAnsi="宋体" w:eastAsia="仿宋_GB2312" w:cs="宋体"/>
                <w:sz w:val="21"/>
                <w:szCs w:val="21"/>
                <w:lang w:eastAsia="zh-CN"/>
              </w:rPr>
              <w:t>录</w:t>
            </w:r>
            <w:r>
              <w:rPr>
                <w:rFonts w:hint="eastAsia" w:ascii="仿宋_GB2312" w:hAnsi="宋体" w:eastAsia="仿宋_GB2312" w:cs="宋体"/>
                <w:spacing w:val="-3"/>
                <w:sz w:val="21"/>
                <w:szCs w:val="21"/>
                <w:lang w:eastAsia="zh-CN"/>
              </w:rPr>
              <w:t>：</w:t>
            </w:r>
          </w:p>
          <w:p w14:paraId="5B4025BD">
            <w:pPr>
              <w:jc w:val="both"/>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（投资者声</w:t>
            </w:r>
            <w:r>
              <w:rPr>
                <w:rFonts w:hint="eastAsia" w:ascii="仿宋_GB2312" w:hAnsi="宋体" w:eastAsia="仿宋_GB2312" w:cs="宋体"/>
                <w:spacing w:val="-3"/>
                <w:sz w:val="21"/>
                <w:szCs w:val="21"/>
                <w:lang w:eastAsia="zh-CN"/>
              </w:rPr>
              <w:t>明</w:t>
            </w:r>
            <w:r>
              <w:rPr>
                <w:rFonts w:hint="eastAsia" w:ascii="仿宋_GB2312" w:hAnsi="宋体" w:eastAsia="仿宋_GB2312" w:cs="宋体"/>
                <w:spacing w:val="-20"/>
                <w:sz w:val="21"/>
                <w:szCs w:val="21"/>
                <w:lang w:eastAsia="zh-CN"/>
              </w:rPr>
              <w:t>：</w:t>
            </w:r>
            <w:r>
              <w:rPr>
                <w:rFonts w:hint="eastAsia" w:ascii="仿宋_GB2312" w:hAnsi="宋体" w:eastAsia="仿宋_GB2312" w:cs="宋体"/>
                <w:sz w:val="21"/>
                <w:szCs w:val="21"/>
                <w:lang w:eastAsia="zh-CN"/>
              </w:rPr>
              <w:t>投</w:t>
            </w:r>
            <w:r>
              <w:rPr>
                <w:rFonts w:hint="eastAsia" w:ascii="仿宋_GB2312" w:hAnsi="宋体" w:eastAsia="仿宋_GB2312" w:cs="宋体"/>
                <w:spacing w:val="-3"/>
                <w:sz w:val="21"/>
                <w:szCs w:val="21"/>
                <w:lang w:eastAsia="zh-CN"/>
              </w:rPr>
              <w:t>资</w:t>
            </w:r>
            <w:r>
              <w:rPr>
                <w:rFonts w:hint="eastAsia" w:ascii="仿宋_GB2312" w:hAnsi="宋体" w:eastAsia="仿宋_GB2312" w:cs="宋体"/>
                <w:sz w:val="21"/>
                <w:szCs w:val="21"/>
                <w:lang w:eastAsia="zh-CN"/>
              </w:rPr>
              <w:t>决</w:t>
            </w:r>
            <w:r>
              <w:rPr>
                <w:rFonts w:hint="eastAsia" w:ascii="仿宋_GB2312" w:hAnsi="宋体" w:eastAsia="仿宋_GB2312" w:cs="宋体"/>
                <w:spacing w:val="-3"/>
                <w:sz w:val="21"/>
                <w:szCs w:val="21"/>
                <w:lang w:eastAsia="zh-CN"/>
              </w:rPr>
              <w:t>策完</w:t>
            </w:r>
            <w:r>
              <w:rPr>
                <w:rFonts w:hint="eastAsia" w:ascii="仿宋_GB2312" w:hAnsi="宋体" w:eastAsia="仿宋_GB2312" w:cs="宋体"/>
                <w:sz w:val="21"/>
                <w:szCs w:val="21"/>
                <w:lang w:eastAsia="zh-CN"/>
              </w:rPr>
              <w:t>全是</w:t>
            </w:r>
            <w:r>
              <w:rPr>
                <w:rFonts w:hint="eastAsia" w:ascii="仿宋_GB2312" w:hAnsi="宋体" w:eastAsia="仿宋_GB2312" w:cs="宋体"/>
                <w:spacing w:val="-3"/>
                <w:sz w:val="21"/>
                <w:szCs w:val="21"/>
                <w:lang w:eastAsia="zh-CN"/>
              </w:rPr>
              <w:t>由</w:t>
            </w:r>
            <w:r>
              <w:rPr>
                <w:rFonts w:hint="eastAsia" w:ascii="仿宋_GB2312" w:hAnsi="宋体" w:eastAsia="仿宋_GB2312" w:cs="宋体"/>
                <w:sz w:val="21"/>
                <w:szCs w:val="21"/>
                <w:lang w:eastAsia="zh-CN"/>
              </w:rPr>
              <w:t>本人独立、自主、</w:t>
            </w:r>
            <w:r>
              <w:rPr>
                <w:rFonts w:hint="eastAsia" w:ascii="仿宋_GB2312" w:hAnsi="宋体" w:eastAsia="仿宋_GB2312" w:cs="宋体"/>
                <w:spacing w:val="2"/>
                <w:sz w:val="21"/>
                <w:szCs w:val="21"/>
                <w:lang w:eastAsia="zh-CN"/>
              </w:rPr>
              <w:t>谨</w:t>
            </w:r>
            <w:r>
              <w:rPr>
                <w:rFonts w:hint="eastAsia" w:ascii="仿宋_GB2312" w:hAnsi="宋体" w:eastAsia="仿宋_GB2312" w:cs="宋体"/>
                <w:sz w:val="21"/>
                <w:szCs w:val="21"/>
                <w:lang w:eastAsia="zh-CN"/>
              </w:rPr>
              <w:t>慎做出的。</w:t>
            </w:r>
            <w:r>
              <w:rPr>
                <w:rFonts w:hint="eastAsia" w:ascii="仿宋_GB2312" w:hAnsi="宋体" w:eastAsia="仿宋_GB2312" w:cs="宋体"/>
                <w:b/>
                <w:sz w:val="21"/>
                <w:szCs w:val="21"/>
                <w:lang w:eastAsia="zh-CN"/>
              </w:rPr>
              <w:t>本人已经阅</w:t>
            </w:r>
            <w:r>
              <w:rPr>
                <w:rFonts w:hint="eastAsia" w:ascii="仿宋_GB2312" w:hAnsi="宋体" w:eastAsia="仿宋_GB2312" w:cs="宋体"/>
                <w:b/>
                <w:spacing w:val="2"/>
                <w:sz w:val="21"/>
                <w:szCs w:val="21"/>
                <w:lang w:eastAsia="zh-CN"/>
              </w:rPr>
              <w:t>读《理财</w:t>
            </w:r>
            <w:r>
              <w:rPr>
                <w:rFonts w:hint="eastAsia" w:ascii="仿宋_GB2312" w:hAnsi="宋体" w:eastAsia="仿宋_GB2312" w:cs="宋体"/>
                <w:b/>
                <w:sz w:val="21"/>
                <w:szCs w:val="21"/>
                <w:lang w:eastAsia="zh-CN"/>
              </w:rPr>
              <w:t>产品协议》《信息授权书（理财业务版）》《投资者权</w:t>
            </w:r>
            <w:r>
              <w:rPr>
                <w:rFonts w:hint="eastAsia" w:ascii="仿宋_GB2312" w:hAnsi="宋体" w:eastAsia="仿宋_GB2312" w:cs="宋体"/>
                <w:b/>
                <w:spacing w:val="2"/>
                <w:sz w:val="21"/>
                <w:szCs w:val="21"/>
                <w:lang w:eastAsia="zh-CN"/>
              </w:rPr>
              <w:t>益</w:t>
            </w:r>
            <w:r>
              <w:rPr>
                <w:rFonts w:hint="eastAsia" w:ascii="仿宋_GB2312" w:hAnsi="宋体" w:eastAsia="仿宋_GB2312" w:cs="宋体"/>
                <w:b/>
                <w:sz w:val="21"/>
                <w:szCs w:val="21"/>
                <w:lang w:eastAsia="zh-CN"/>
              </w:rPr>
              <w:t>须知》《</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3"/>
                <w:sz w:val="21"/>
                <w:szCs w:val="21"/>
                <w:lang w:eastAsia="zh-CN"/>
              </w:rPr>
              <w:t>揭</w:t>
            </w:r>
            <w:r>
              <w:rPr>
                <w:rFonts w:hint="eastAsia" w:ascii="仿宋_GB2312" w:hAnsi="宋体" w:eastAsia="仿宋_GB2312" w:cs="宋体"/>
                <w:b/>
                <w:sz w:val="21"/>
                <w:szCs w:val="21"/>
                <w:lang w:eastAsia="zh-CN"/>
              </w:rPr>
              <w:t>示</w:t>
            </w:r>
            <w:r>
              <w:rPr>
                <w:rFonts w:hint="eastAsia" w:ascii="仿宋_GB2312" w:hAnsi="宋体" w:eastAsia="仿宋_GB2312" w:cs="宋体"/>
                <w:b/>
                <w:spacing w:val="-3"/>
                <w:sz w:val="21"/>
                <w:szCs w:val="21"/>
                <w:lang w:eastAsia="zh-CN"/>
              </w:rPr>
              <w:t>书</w:t>
            </w:r>
            <w:r>
              <w:rPr>
                <w:rFonts w:hint="eastAsia" w:ascii="仿宋_GB2312" w:hAnsi="宋体" w:eastAsia="仿宋_GB2312" w:cs="宋体"/>
                <w:b/>
                <w:sz w:val="21"/>
                <w:szCs w:val="21"/>
                <w:lang w:eastAsia="zh-CN"/>
              </w:rPr>
              <w:t>》及</w:t>
            </w:r>
            <w:r>
              <w:rPr>
                <w:rFonts w:hint="eastAsia" w:ascii="仿宋_GB2312" w:hAnsi="宋体" w:eastAsia="仿宋_GB2312" w:cs="宋体"/>
                <w:b/>
                <w:sz w:val="21"/>
                <w:szCs w:val="21"/>
                <w:lang w:val="en-US" w:eastAsia="zh-CN"/>
              </w:rPr>
              <w:t>本期产品的</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说</w:t>
            </w:r>
            <w:r>
              <w:rPr>
                <w:rFonts w:hint="eastAsia" w:ascii="仿宋_GB2312" w:hAnsi="宋体" w:eastAsia="仿宋_GB2312" w:cs="宋体"/>
                <w:b/>
                <w:spacing w:val="-3"/>
                <w:sz w:val="21"/>
                <w:szCs w:val="21"/>
                <w:lang w:eastAsia="zh-CN"/>
              </w:rPr>
              <w:t>明</w:t>
            </w:r>
            <w:r>
              <w:rPr>
                <w:rFonts w:hint="eastAsia" w:ascii="仿宋_GB2312" w:hAnsi="宋体" w:eastAsia="仿宋_GB2312" w:cs="宋体"/>
                <w:b/>
                <w:sz w:val="21"/>
                <w:szCs w:val="21"/>
                <w:lang w:eastAsia="zh-CN"/>
              </w:rPr>
              <w:t>书》所有条款</w:t>
            </w:r>
            <w:r>
              <w:rPr>
                <w:rFonts w:hint="eastAsia" w:ascii="仿宋_GB2312" w:hAnsi="宋体" w:eastAsia="仿宋_GB2312" w:cs="宋体"/>
                <w:b/>
                <w:spacing w:val="-3"/>
                <w:sz w:val="21"/>
                <w:szCs w:val="21"/>
                <w:lang w:eastAsia="zh-CN"/>
              </w:rPr>
              <w:t>，</w:t>
            </w:r>
            <w:r>
              <w:rPr>
                <w:rFonts w:hint="eastAsia" w:ascii="仿宋_GB2312" w:hAnsi="宋体" w:eastAsia="仿宋_GB2312" w:cs="宋体"/>
                <w:b/>
                <w:sz w:val="21"/>
                <w:szCs w:val="21"/>
                <w:lang w:eastAsia="zh-CN"/>
              </w:rPr>
              <w:t>充</w:t>
            </w:r>
            <w:r>
              <w:rPr>
                <w:rFonts w:hint="eastAsia" w:ascii="仿宋_GB2312" w:hAnsi="宋体" w:eastAsia="仿宋_GB2312" w:cs="宋体"/>
                <w:b/>
                <w:spacing w:val="-3"/>
                <w:sz w:val="21"/>
                <w:szCs w:val="21"/>
                <w:lang w:eastAsia="zh-CN"/>
              </w:rPr>
              <w:t>分</w:t>
            </w:r>
            <w:r>
              <w:rPr>
                <w:rFonts w:hint="eastAsia" w:ascii="仿宋_GB2312" w:hAnsi="宋体" w:eastAsia="仿宋_GB2312" w:cs="宋体"/>
                <w:b/>
                <w:sz w:val="21"/>
                <w:szCs w:val="21"/>
                <w:lang w:eastAsia="zh-CN"/>
              </w:rPr>
              <w:t>理解</w:t>
            </w:r>
            <w:r>
              <w:rPr>
                <w:rFonts w:hint="eastAsia" w:ascii="仿宋_GB2312" w:hAnsi="宋体" w:eastAsia="仿宋_GB2312" w:cs="宋体"/>
                <w:b/>
                <w:spacing w:val="-3"/>
                <w:sz w:val="21"/>
                <w:szCs w:val="21"/>
                <w:lang w:eastAsia="zh-CN"/>
              </w:rPr>
              <w:t>并同意前述所有协议条款，</w:t>
            </w:r>
            <w:r>
              <w:rPr>
                <w:rFonts w:hint="eastAsia" w:ascii="仿宋_GB2312" w:hAnsi="宋体" w:eastAsia="仿宋_GB2312" w:cs="宋体"/>
                <w:b/>
                <w:sz w:val="21"/>
                <w:szCs w:val="21"/>
                <w:lang w:eastAsia="zh-CN"/>
              </w:rPr>
              <w:t>自</w:t>
            </w:r>
            <w:r>
              <w:rPr>
                <w:rFonts w:hint="eastAsia" w:ascii="仿宋_GB2312" w:hAnsi="宋体" w:eastAsia="仿宋_GB2312" w:cs="宋体"/>
                <w:b/>
                <w:spacing w:val="-3"/>
                <w:sz w:val="21"/>
                <w:szCs w:val="21"/>
                <w:lang w:eastAsia="zh-CN"/>
              </w:rPr>
              <w:t>愿</w:t>
            </w:r>
            <w:r>
              <w:rPr>
                <w:rFonts w:hint="eastAsia" w:ascii="仿宋_GB2312" w:hAnsi="宋体" w:eastAsia="仿宋_GB2312" w:cs="宋体"/>
                <w:b/>
                <w:sz w:val="21"/>
                <w:szCs w:val="21"/>
                <w:lang w:eastAsia="zh-CN"/>
              </w:rPr>
              <w:t>承</w:t>
            </w:r>
            <w:r>
              <w:rPr>
                <w:rFonts w:hint="eastAsia" w:ascii="仿宋_GB2312" w:hAnsi="宋体" w:eastAsia="仿宋_GB2312" w:cs="宋体"/>
                <w:b/>
                <w:spacing w:val="-3"/>
                <w:sz w:val="21"/>
                <w:szCs w:val="21"/>
                <w:lang w:eastAsia="zh-CN"/>
              </w:rPr>
              <w:t>担</w:t>
            </w:r>
            <w:r>
              <w:rPr>
                <w:rFonts w:hint="eastAsia" w:ascii="仿宋_GB2312" w:hAnsi="宋体" w:eastAsia="仿宋_GB2312" w:cs="宋体"/>
                <w:b/>
                <w:sz w:val="21"/>
                <w:szCs w:val="21"/>
                <w:lang w:eastAsia="zh-CN"/>
              </w:rPr>
              <w:t>本</w:t>
            </w:r>
            <w:r>
              <w:rPr>
                <w:rFonts w:hint="eastAsia" w:ascii="仿宋_GB2312" w:hAnsi="宋体" w:eastAsia="仿宋_GB2312" w:cs="宋体"/>
                <w:b/>
                <w:spacing w:val="-3"/>
                <w:sz w:val="21"/>
                <w:szCs w:val="21"/>
                <w:lang w:eastAsia="zh-CN"/>
              </w:rPr>
              <w:t>期</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相关</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108"/>
                <w:sz w:val="21"/>
                <w:szCs w:val="21"/>
                <w:lang w:eastAsia="zh-CN"/>
              </w:rPr>
              <w:t>。</w:t>
            </w:r>
            <w:r>
              <w:rPr>
                <w:rFonts w:hint="eastAsia" w:ascii="仿宋_GB2312" w:hAnsi="宋体" w:eastAsia="仿宋_GB2312" w:cs="宋体"/>
                <w:sz w:val="21"/>
                <w:szCs w:val="21"/>
              </w:rPr>
              <w:t>）</w:t>
            </w:r>
          </w:p>
          <w:p w14:paraId="5873DF66">
            <w:pPr>
              <w:rPr>
                <w:rFonts w:ascii="仿宋_GB2312" w:hAnsi="宋体" w:eastAsia="仿宋_GB2312" w:cs="宋体"/>
                <w:sz w:val="21"/>
                <w:szCs w:val="21"/>
                <w:lang w:eastAsia="zh-CN"/>
              </w:rPr>
            </w:pPr>
          </w:p>
          <w:p w14:paraId="79836D9D">
            <w:pPr>
              <w:jc w:val="left"/>
              <w:rPr>
                <w:rFonts w:hint="eastAsia"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签</w:t>
            </w:r>
            <w:r>
              <w:rPr>
                <w:rFonts w:hint="eastAsia" w:ascii="仿宋_GB2312" w:hAnsi="宋体" w:eastAsia="仿宋_GB2312" w:cs="宋体"/>
                <w:sz w:val="21"/>
                <w:szCs w:val="21"/>
                <w:lang w:eastAsia="zh-CN"/>
              </w:rPr>
              <w:t>名</w:t>
            </w:r>
            <w:r>
              <w:rPr>
                <w:rFonts w:hint="eastAsia" w:ascii="仿宋_GB2312" w:hAnsi="宋体" w:eastAsia="仿宋_GB2312" w:cs="宋体"/>
                <w:spacing w:val="-20"/>
                <w:sz w:val="21"/>
                <w:szCs w:val="21"/>
                <w:lang w:eastAsia="zh-CN"/>
              </w:rPr>
              <w:t>：</w:t>
            </w:r>
          </w:p>
          <w:p w14:paraId="234A5A93">
            <w:pPr>
              <w:jc w:val="right"/>
              <w:rPr>
                <w:rFonts w:hint="eastAsia" w:ascii="仿宋_GB2312" w:hAnsi="宋体" w:eastAsia="仿宋_GB2312" w:cs="宋体"/>
                <w:sz w:val="21"/>
                <w:szCs w:val="21"/>
                <w:lang w:eastAsia="zh-CN"/>
              </w:rPr>
            </w:pPr>
          </w:p>
          <w:p w14:paraId="63FE5B91">
            <w:pPr>
              <w:jc w:val="right"/>
              <w:rPr>
                <w:rFonts w:ascii="仿宋_GB2312" w:hAnsi="Times New Roman" w:eastAsia="仿宋_GB2312" w:cs="Times New Roman"/>
                <w:sz w:val="21"/>
                <w:szCs w:val="21"/>
                <w:lang w:eastAsia="zh-CN"/>
              </w:rPr>
            </w:pPr>
            <w:r>
              <w:rPr>
                <w:rFonts w:hint="eastAsia" w:ascii="仿宋_GB2312" w:hAnsi="宋体" w:eastAsia="仿宋_GB2312" w:cs="宋体"/>
                <w:sz w:val="21"/>
                <w:szCs w:val="21"/>
                <w:lang w:eastAsia="zh-CN"/>
              </w:rPr>
              <w:t>年      月     日</w:t>
            </w:r>
          </w:p>
        </w:tc>
      </w:tr>
    </w:tbl>
    <w:p w14:paraId="258A8942">
      <w:pPr>
        <w:ind w:right="131"/>
        <w:jc w:val="right"/>
        <w:rPr>
          <w:rFonts w:ascii="仿宋_GB2312" w:hAnsi="宋体" w:eastAsia="仿宋_GB2312" w:cs="Times New Roman"/>
          <w:sz w:val="21"/>
          <w:szCs w:val="24"/>
          <w:lang w:eastAsia="zh-CN"/>
        </w:rPr>
      </w:pPr>
    </w:p>
    <w:p w14:paraId="4FEE1FD5">
      <w:pPr>
        <w:rPr>
          <w:rFonts w:ascii="Times New Roman" w:hAnsi="宋体" w:eastAsia="宋体" w:cs="Times New Roman"/>
          <w:sz w:val="24"/>
          <w:szCs w:val="24"/>
          <w:lang w:eastAsia="zh-CN"/>
        </w:rPr>
      </w:pPr>
      <w:r>
        <w:rPr>
          <w:rFonts w:ascii="Times New Roman" w:hAnsi="宋体" w:eastAsia="宋体" w:cs="Times New Roman"/>
          <w:sz w:val="24"/>
          <w:szCs w:val="24"/>
          <w:lang w:eastAsia="zh-CN"/>
        </w:rPr>
        <w:br w:type="page"/>
      </w:r>
    </w:p>
    <w:p w14:paraId="034574E3">
      <w:pPr>
        <w:ind w:firstLine="2160" w:firstLineChars="600"/>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信息授权书（理财业务版）</w:t>
      </w:r>
    </w:p>
    <w:p w14:paraId="61BAC37E">
      <w:pPr>
        <w:pStyle w:val="3"/>
        <w:spacing w:before="0"/>
        <w:ind w:left="0" w:right="153" w:firstLine="400" w:firstLineChars="200"/>
        <w:jc w:val="both"/>
        <w:rPr>
          <w:rFonts w:ascii="仿宋_GB2312" w:eastAsia="仿宋_GB2312" w:cs="Times New Roman" w:hAnsiTheme="minorEastAsia"/>
          <w:sz w:val="20"/>
          <w:lang w:eastAsia="zh-CN"/>
        </w:rPr>
      </w:pPr>
    </w:p>
    <w:p w14:paraId="443ECC25">
      <w:pPr>
        <w:pStyle w:val="3"/>
        <w:spacing w:before="0"/>
        <w:ind w:left="0" w:right="153"/>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尊敬的投资者：</w:t>
      </w:r>
    </w:p>
    <w:p w14:paraId="286C5C0E">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val="0"/>
          <w:bCs w:val="0"/>
          <w:sz w:val="20"/>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lang w:eastAsia="zh-CN"/>
        </w:rPr>
        <w:t>为了保障您的合法权益，请您在</w:t>
      </w:r>
      <w:r>
        <w:rPr>
          <w:rFonts w:ascii="仿宋_GB2312" w:eastAsia="仿宋_GB2312" w:cs="Times New Roman" w:hAnsiTheme="minorEastAsia"/>
          <w:b/>
          <w:bCs/>
          <w:sz w:val="20"/>
          <w:lang w:eastAsia="zh-CN"/>
        </w:rPr>
        <w:t>签署</w:t>
      </w:r>
      <w:r>
        <w:rPr>
          <w:rFonts w:hint="eastAsia" w:ascii="仿宋_GB2312" w:eastAsia="仿宋_GB2312" w:cs="Times New Roman" w:hAnsiTheme="minorEastAsia"/>
          <w:b/>
          <w:bCs/>
          <w:sz w:val="20"/>
          <w:lang w:eastAsia="zh-CN"/>
        </w:rPr>
        <w:t>本授权书之前，务必审慎阅读本授权书各条款(特别是黑体字条款)，并充分理解授权书条款内容，特别是与您有重大利害关系的条款(包括但不限于被授权人的责任及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lang w:val="en-US" w:eastAsia="zh-CN"/>
        </w:rPr>
        <w:t>与</w:t>
      </w:r>
      <w:r>
        <w:rPr>
          <w:rFonts w:hint="eastAsia" w:ascii="仿宋_GB2312" w:eastAsia="仿宋_GB2312" w:cs="Times New Roman" w:hAnsiTheme="minorEastAsia"/>
          <w:b/>
          <w:bCs/>
          <w:sz w:val="20"/>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1F1D2AF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一、信息收集</w:t>
      </w:r>
    </w:p>
    <w:p w14:paraId="74A911E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在遵循合法、正当、必要原则的前提下，您在办理理财业务签约、购买理财产品、办理定投等业务时，您</w:t>
      </w:r>
      <w:r>
        <w:rPr>
          <w:rFonts w:hint="eastAsia" w:ascii="仿宋_GB2312" w:eastAsia="仿宋_GB2312" w:cs="Times New Roman" w:hAnsiTheme="minorEastAsia"/>
          <w:color w:val="auto"/>
          <w:sz w:val="20"/>
          <w:highlight w:val="none"/>
          <w:lang w:val="en-US" w:eastAsia="zh-CN"/>
        </w:rPr>
        <w:t>不可撤销地</w:t>
      </w:r>
      <w:r>
        <w:rPr>
          <w:rFonts w:hint="eastAsia" w:ascii="仿宋_GB2312" w:eastAsia="仿宋_GB2312" w:cs="Times New Roman" w:hAnsiTheme="minorEastAsia"/>
          <w:sz w:val="20"/>
          <w:lang w:eastAsia="zh-CN"/>
        </w:rPr>
        <w:t>授权贵阳农商银行处理您的如下信息：</w:t>
      </w:r>
    </w:p>
    <w:p w14:paraId="0CEB630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姓名、身份证号码、银行卡卡号、银行卡有效期、银行预留手机号等</w:t>
      </w:r>
      <w:r>
        <w:rPr>
          <w:rFonts w:hint="eastAsia" w:ascii="仿宋_GB2312" w:eastAsia="仿宋_GB2312" w:cs="Times New Roman" w:hAnsiTheme="minorEastAsia"/>
          <w:b/>
          <w:bCs/>
          <w:sz w:val="20"/>
          <w:lang w:val="en-US" w:eastAsia="zh-CN"/>
        </w:rPr>
        <w:t>与业务办理相关的</w:t>
      </w:r>
      <w:r>
        <w:rPr>
          <w:rFonts w:hint="eastAsia" w:ascii="仿宋_GB2312" w:eastAsia="仿宋_GB2312" w:cs="Times New Roman" w:hAnsiTheme="minorEastAsia"/>
          <w:b/>
          <w:bCs/>
          <w:sz w:val="20"/>
          <w:lang w:eastAsia="zh-CN"/>
        </w:rPr>
        <w:t>信息。</w:t>
      </w:r>
    </w:p>
    <w:p w14:paraId="23FD53D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二、信息使用</w:t>
      </w:r>
    </w:p>
    <w:p w14:paraId="26BCB7A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为完整地向您提供服务以及保护各方的合法权益，您理解和同意贵阳农商银行可能会将您的信息用于如下用途：</w:t>
      </w:r>
    </w:p>
    <w:p w14:paraId="08DB4AC8">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）采取密码验证、短信验证码等手段以便于验证您的身份，确保完成理财产品交易。</w:t>
      </w:r>
    </w:p>
    <w:p w14:paraId="212C635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34C8DCE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lang w:val="en-US" w:eastAsia="zh-CN"/>
        </w:rPr>
        <w:t>授权书</w:t>
      </w:r>
      <w:r>
        <w:rPr>
          <w:rFonts w:hint="eastAsia" w:ascii="仿宋_GB2312" w:eastAsia="仿宋_GB2312" w:cs="Times New Roman" w:hAnsiTheme="minorEastAsia"/>
          <w:b/>
          <w:bCs/>
          <w:sz w:val="20"/>
          <w:lang w:eastAsia="zh-CN"/>
        </w:rPr>
        <w:t>提供的客服电话要求退订或在收到相关信息后按照信息提示的方式退订。</w:t>
      </w:r>
    </w:p>
    <w:p w14:paraId="47CCE3B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预防或阻止违法、违规的活动，如识别、打击洗钱</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恐怖融资、逃税</w:t>
      </w:r>
      <w:r>
        <w:rPr>
          <w:rFonts w:hint="eastAsia" w:ascii="仿宋_GB2312" w:eastAsia="仿宋_GB2312" w:cs="Times New Roman" w:hAnsiTheme="minorEastAsia"/>
          <w:b/>
          <w:bCs/>
          <w:sz w:val="20"/>
          <w:lang w:eastAsia="zh-CN"/>
        </w:rPr>
        <w:t>等。</w:t>
      </w:r>
    </w:p>
    <w:p w14:paraId="392691A4">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（五）</w:t>
      </w:r>
      <w:r>
        <w:rPr>
          <w:rFonts w:hint="eastAsia" w:ascii="仿宋_GB2312" w:eastAsia="仿宋_GB2312" w:cs="Times New Roman" w:hAnsiTheme="minorEastAsia"/>
          <w:b/>
          <w:bCs/>
          <w:sz w:val="20"/>
          <w:lang w:eastAsia="zh-CN"/>
        </w:rPr>
        <w:t>为维护您的权益(例如预防或阻止非法或危及您人身、财产安全的活动)，或者为了解决服务提供方与您之间的争议。</w:t>
      </w:r>
    </w:p>
    <w:p w14:paraId="1B1E1139">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（六）</w:t>
      </w:r>
      <w:r>
        <w:rPr>
          <w:rFonts w:hint="eastAsia" w:ascii="仿宋_GB2312" w:eastAsia="仿宋_GB2312" w:cs="Times New Roman" w:hAnsiTheme="minorEastAsia"/>
          <w:b/>
          <w:bCs/>
          <w:sz w:val="20"/>
          <w:lang w:eastAsia="zh-CN"/>
        </w:rPr>
        <w:t>根据法律法规、政府机构、监管部门要求或其他经您另行明确同意的用途。</w:t>
      </w:r>
    </w:p>
    <w:p w14:paraId="679D3E3A">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三、信息提供</w:t>
      </w:r>
    </w:p>
    <w:p w14:paraId="757698C2">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sz w:val="20"/>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lang w:eastAsia="zh-CN"/>
        </w:rPr>
        <w:t>，该等第三方将会在贵阳农商银行官方网站上进行公示，您可以在贵阳农商银行官方网站上查询:</w:t>
      </w:r>
    </w:p>
    <w:p w14:paraId="33E88A10">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一</w:t>
      </w:r>
      <w:r>
        <w:rPr>
          <w:rFonts w:hint="eastAsia" w:ascii="仿宋_GB2312" w:eastAsia="仿宋_GB2312" w:cs="Times New Roman" w:hAnsiTheme="minorEastAsia"/>
          <w:b/>
          <w:bCs/>
          <w:sz w:val="20"/>
          <w:lang w:eastAsia="zh-CN"/>
        </w:rPr>
        <w:t>）当向您提供的金融服务需要由贵阳农商银行与第三方共同提供时。</w:t>
      </w:r>
    </w:p>
    <w:p w14:paraId="7E3E95D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二</w:t>
      </w:r>
      <w:r>
        <w:rPr>
          <w:rFonts w:hint="eastAsia" w:ascii="仿宋_GB2312" w:eastAsia="仿宋_GB2312" w:cs="Times New Roman" w:hAnsiTheme="minorEastAsia"/>
          <w:b/>
          <w:bCs/>
          <w:sz w:val="20"/>
          <w:lang w:eastAsia="zh-CN"/>
        </w:rPr>
        <w:t>）用于核实您的身份、处理与您相关的争议、或维护您和/或贵阳农商银行的合法权益的特定情况。</w:t>
      </w:r>
    </w:p>
    <w:p w14:paraId="696979FD">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）向审计机构或审计监管机构提供审计所需的必要信息。</w:t>
      </w:r>
    </w:p>
    <w:p w14:paraId="1096EC1A">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）根据法律法规、政府机构及其监管部门的要求提供。</w:t>
      </w:r>
    </w:p>
    <w:p w14:paraId="541E49A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四、授权期限</w:t>
      </w:r>
    </w:p>
    <w:p w14:paraId="179A8BFC">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lang w:eastAsia="zh-CN"/>
        </w:rPr>
        <w:t>自您签署本授权书之日起，至贵阳农商银行与您的</w:t>
      </w:r>
      <w:r>
        <w:rPr>
          <w:rFonts w:hint="eastAsia" w:ascii="仿宋_GB2312" w:eastAsia="仿宋_GB2312" w:cs="Times New Roman" w:hAnsiTheme="minorEastAsia"/>
          <w:b/>
          <w:bCs/>
          <w:sz w:val="20"/>
          <w:lang w:val="en-US" w:eastAsia="zh-CN"/>
        </w:rPr>
        <w:t>理财产品协议项下全部</w:t>
      </w:r>
      <w:r>
        <w:rPr>
          <w:rFonts w:hint="eastAsia" w:ascii="仿宋_GB2312" w:eastAsia="仿宋_GB2312" w:cs="Times New Roman" w:hAnsiTheme="minorEastAsia"/>
          <w:b/>
          <w:bCs/>
          <w:sz w:val="20"/>
          <w:lang w:eastAsia="zh-CN"/>
        </w:rPr>
        <w:t>义务履行完毕之日止。</w:t>
      </w:r>
      <w:r>
        <w:rPr>
          <w:rFonts w:hint="eastAsia" w:ascii="仿宋_GB2312" w:eastAsia="仿宋_GB2312" w:cs="Times New Roman" w:hAnsiTheme="minorEastAsia"/>
          <w:sz w:val="20"/>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7508550A">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五、信息安全</w:t>
      </w:r>
    </w:p>
    <w:p w14:paraId="581574F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在使用您信息时，贵阳农商银行会采取必要措施保障信息安全，防止信息非法泄露或不当使用。贵阳农商银行超出本授权范围进行数据查询和使用的一切后果及法律责任由贵阳农商银行自行承担。</w:t>
      </w:r>
    </w:p>
    <w:p w14:paraId="57F62518">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六、权利告知</w:t>
      </w:r>
    </w:p>
    <w:p w14:paraId="03512710">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30167B38">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sz w:val="20"/>
          <w:lang w:val="en-US" w:eastAsia="zh-CN"/>
        </w:rPr>
        <w:t>电话</w:t>
      </w:r>
      <w:r>
        <w:rPr>
          <w:rFonts w:hint="eastAsia" w:ascii="仿宋_GB2312" w:eastAsia="仿宋_GB2312" w:cs="Times New Roman" w:hAnsiTheme="minorEastAsia"/>
          <w:b/>
          <w:bCs/>
          <w:sz w:val="20"/>
          <w:lang w:eastAsia="zh-CN"/>
        </w:rPr>
        <w:t>0</w:t>
      </w:r>
      <w:r>
        <w:rPr>
          <w:rFonts w:ascii="仿宋_GB2312" w:eastAsia="仿宋_GB2312" w:cs="Times New Roman" w:hAnsiTheme="minorEastAsia"/>
          <w:b/>
          <w:bCs/>
          <w:sz w:val="20"/>
          <w:lang w:eastAsia="zh-CN"/>
        </w:rPr>
        <w:t>851-</w:t>
      </w:r>
      <w:r>
        <w:rPr>
          <w:rFonts w:hint="eastAsia" w:ascii="仿宋_GB2312" w:eastAsia="仿宋_GB2312" w:cs="Times New Roman" w:hAnsiTheme="minorEastAsia"/>
          <w:b/>
          <w:bCs/>
          <w:sz w:val="20"/>
          <w:lang w:val="en-US" w:eastAsia="zh-CN"/>
        </w:rPr>
        <w:t>96688</w:t>
      </w:r>
      <w:r>
        <w:rPr>
          <w:rFonts w:hint="eastAsia" w:ascii="仿宋_GB2312" w:eastAsia="仿宋_GB2312" w:cs="Times New Roman" w:hAnsiTheme="minorEastAsia"/>
          <w:b/>
          <w:bCs/>
          <w:sz w:val="20"/>
          <w:lang w:eastAsia="zh-CN"/>
        </w:rPr>
        <w:t>联系以便为您处理。</w:t>
      </w:r>
    </w:p>
    <w:p w14:paraId="7CAC8C1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七、责任限制</w:t>
      </w:r>
    </w:p>
    <w:p w14:paraId="48258E44">
      <w:pPr>
        <w:pStyle w:val="3"/>
        <w:spacing w:before="0" w:after="0" w:line="240" w:lineRule="auto"/>
        <w:ind w:left="0" w:right="0" w:firstLine="402" w:firstLineChars="200"/>
        <w:jc w:val="both"/>
        <w:rPr>
          <w:rFonts w:ascii="仿宋_GB2312" w:hAnsi="宋体" w:eastAsia="仿宋_GB2312" w:cs="Times New Roman"/>
          <w:b/>
          <w:bCs/>
          <w:color w:val="auto"/>
          <w:sz w:val="20"/>
          <w:highlight w:val="none"/>
          <w:lang w:eastAsia="zh-CN"/>
        </w:rPr>
      </w:pPr>
      <w:r>
        <w:rPr>
          <w:rFonts w:hint="eastAsia" w:ascii="仿宋_GB2312" w:hAnsi="宋体" w:eastAsia="仿宋_GB2312" w:cs="Times New Roman"/>
          <w:b/>
          <w:bCs/>
          <w:color w:val="auto"/>
          <w:sz w:val="20"/>
          <w:highlight w:val="none"/>
          <w:lang w:val="en-US" w:eastAsia="zh-CN"/>
        </w:rPr>
        <w:t>在本授权书存续期内，若有权机关要求查询您的个人信息的，</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将依法履行配合查询义务，在法律法规无禁止性规定或有权机关未要求保密的前提下，</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可以向您告知</w:t>
      </w:r>
      <w:r>
        <w:rPr>
          <w:rFonts w:hint="eastAsia" w:ascii="仿宋_GB2312" w:hAnsi="宋体" w:eastAsia="仿宋_GB2312" w:cs="Times New Roman"/>
          <w:b/>
          <w:bCs/>
          <w:color w:val="auto"/>
          <w:sz w:val="20"/>
          <w:highlight w:val="none"/>
          <w:lang w:eastAsia="zh-CN"/>
        </w:rPr>
        <w:t>。</w:t>
      </w:r>
    </w:p>
    <w:p w14:paraId="41FD2AFE">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八、授权人声明已知悉并理解本授权书所有内容(特别是加粗字体内容)以及由此产生的法律效力，并同意上述条款所载内容。</w:t>
      </w:r>
    </w:p>
    <w:p w14:paraId="221E633C">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九、本授权书为纸质的，经您签署后生效；本授权书为电子形式的，经您在贵阳农商银行</w:t>
      </w:r>
      <w:r>
        <w:rPr>
          <w:rFonts w:hint="eastAsia" w:ascii="仿宋_GB2312" w:eastAsia="仿宋_GB2312" w:cs="Times New Roman" w:hAnsiTheme="minorEastAsia"/>
          <w:b/>
          <w:bCs/>
          <w:sz w:val="20"/>
          <w:lang w:val="en-US" w:eastAsia="zh-CN"/>
        </w:rPr>
        <w:t>电子渠道</w:t>
      </w:r>
      <w:r>
        <w:rPr>
          <w:rFonts w:hint="eastAsia" w:ascii="仿宋_GB2312" w:eastAsia="仿宋_GB2312" w:cs="Times New Roman" w:hAnsiTheme="minorEastAsia"/>
          <w:b/>
          <w:bCs/>
          <w:sz w:val="20"/>
          <w:lang w:eastAsia="zh-CN"/>
        </w:rPr>
        <w:t>页面上勾选确认后生效。</w:t>
      </w:r>
    </w:p>
    <w:p w14:paraId="7DA800B4">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十、特别提示</w:t>
      </w:r>
    </w:p>
    <w:p w14:paraId="3484FD19">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hAnsi="宋体" w:eastAsia="仿宋_GB2312" w:cs="Times New Roman"/>
          <w:b/>
          <w:bCs/>
          <w:color w:val="auto"/>
          <w:sz w:val="20"/>
          <w:highlight w:val="none"/>
          <w:lang w:val="en-US" w:eastAsia="zh-CN"/>
        </w:rPr>
        <w:t>0851-</w:t>
      </w:r>
      <w:r>
        <w:rPr>
          <w:rFonts w:hint="eastAsia" w:ascii="仿宋_GB2312" w:eastAsia="仿宋_GB2312" w:cs="Times New Roman"/>
          <w:b/>
          <w:bCs/>
          <w:color w:val="auto"/>
          <w:sz w:val="20"/>
          <w:highlight w:val="none"/>
          <w:lang w:val="en-US" w:eastAsia="zh-CN"/>
        </w:rPr>
        <w:t>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61899FB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250F196C">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0737E69E">
      <w:pPr>
        <w:pStyle w:val="3"/>
        <w:spacing w:before="0"/>
        <w:ind w:left="0" w:right="153" w:firstLine="402" w:firstLineChars="200"/>
        <w:jc w:val="both"/>
        <w:rPr>
          <w:rFonts w:ascii="仿宋_GB2312" w:eastAsia="仿宋_GB2312" w:cs="Times New Roman" w:hAnsiTheme="minorEastAsia"/>
          <w:b/>
          <w:bCs/>
          <w:sz w:val="20"/>
          <w:lang w:eastAsia="zh-CN"/>
        </w:rPr>
      </w:pPr>
    </w:p>
    <w:p w14:paraId="52EDAD6E">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7891EA60">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7CAC7316">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5B0C7EAC">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3CABE9A7">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224DF24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22816A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授权人(签名):                                    </w:t>
      </w:r>
    </w:p>
    <w:p w14:paraId="5F3F0188">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证件号码:                              </w:t>
      </w:r>
    </w:p>
    <w:p w14:paraId="4E1BC86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证件类型:□身份证□临时身份证□其他                     </w:t>
      </w:r>
    </w:p>
    <w:p w14:paraId="3933B5D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授权日期：   年   月   日</w:t>
      </w:r>
    </w:p>
    <w:p w14:paraId="75D03F99">
      <w:pPr>
        <w:pStyle w:val="3"/>
        <w:spacing w:before="0"/>
        <w:ind w:left="0" w:right="151"/>
        <w:jc w:val="both"/>
        <w:rPr>
          <w:rFonts w:ascii="Times New Roman" w:hAnsi="Times New Roman" w:cs="Times New Roman" w:eastAsiaTheme="minorEastAsia"/>
          <w:lang w:eastAsia="zh-CN"/>
        </w:rPr>
      </w:pPr>
    </w:p>
    <w:p w14:paraId="52777BA4"/>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_HKSCS">
    <w:altName w:val="PMingLiU-ExtB"/>
    <w:panose1 w:val="00000000000000000000"/>
    <w:charset w:val="88"/>
    <w:family w:val="roman"/>
    <w:pitch w:val="default"/>
    <w:sig w:usb0="00000000" w:usb1="00000000" w:usb2="00000016" w:usb3="00000000" w:csb0="0010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188A025E">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5DF220F6">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A755E">
    <w:pPr>
      <w:pStyle w:val="4"/>
      <w:jc w:val="center"/>
    </w:pPr>
    <w:r>
      <w:fldChar w:fldCharType="begin"/>
    </w:r>
    <w:r>
      <w:instrText xml:space="preserve"> PAGE   \* MERGEFORMAT </w:instrText>
    </w:r>
    <w:r>
      <w:fldChar w:fldCharType="separate"/>
    </w:r>
    <w:r>
      <w:rPr>
        <w:lang w:val="zh-CN"/>
      </w:rPr>
      <w:t>15</w:t>
    </w:r>
    <w:r>
      <w:rPr>
        <w:lang w:val="zh-CN"/>
      </w:rPr>
      <w:fldChar w:fldCharType="end"/>
    </w:r>
  </w:p>
  <w:p w14:paraId="2A1CD495">
    <w:pPr>
      <w:spacing w:line="14" w:lineRule="auto"/>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3764A"/>
    <w:multiLevelType w:val="singleLevel"/>
    <w:tmpl w:val="97A3764A"/>
    <w:lvl w:ilvl="0" w:tentative="0">
      <w:start w:val="1"/>
      <w:numFmt w:val="chineseCounting"/>
      <w:suff w:val="nothing"/>
      <w:lvlText w:val="%1、"/>
      <w:lvlJc w:val="left"/>
      <w:rPr>
        <w:rFonts w:hint="eastAsia"/>
      </w:rPr>
    </w:lvl>
  </w:abstractNum>
  <w:abstractNum w:abstractNumId="1">
    <w:nsid w:val="C3873813"/>
    <w:multiLevelType w:val="singleLevel"/>
    <w:tmpl w:val="C3873813"/>
    <w:lvl w:ilvl="0" w:tentative="0">
      <w:start w:val="2"/>
      <w:numFmt w:val="chineseCounting"/>
      <w:suff w:val="nothing"/>
      <w:lvlText w:val="（%1）"/>
      <w:lvlJc w:val="left"/>
      <w:rPr>
        <w:rFonts w:hint="eastAsia"/>
      </w:rPr>
    </w:lvl>
  </w:abstractNum>
  <w:abstractNum w:abstractNumId="2">
    <w:nsid w:val="1EB582D5"/>
    <w:multiLevelType w:val="singleLevel"/>
    <w:tmpl w:val="1EB582D5"/>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dit="readOnly" w:enforcement="1" w:cryptProviderType="rsaFull" w:cryptAlgorithmClass="hash" w:cryptAlgorithmType="typeAny" w:cryptAlgorithmSid="4" w:cryptSpinCount="0" w:hash="mcIvpoNdhbtQ9qVRQlWH5IFoFco=" w:salt="oLjh2I8cTQEBawi4dLVTd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B5787"/>
    <w:rsid w:val="0316692F"/>
    <w:rsid w:val="05E72B35"/>
    <w:rsid w:val="06BE1BDC"/>
    <w:rsid w:val="088A3494"/>
    <w:rsid w:val="08B46C8A"/>
    <w:rsid w:val="09EB2FFF"/>
    <w:rsid w:val="0D900F26"/>
    <w:rsid w:val="0F4B5787"/>
    <w:rsid w:val="1F3A0DAB"/>
    <w:rsid w:val="267921FA"/>
    <w:rsid w:val="280262DA"/>
    <w:rsid w:val="2A561E20"/>
    <w:rsid w:val="2FDB5069"/>
    <w:rsid w:val="30C15460"/>
    <w:rsid w:val="44542EF7"/>
    <w:rsid w:val="488C2D69"/>
    <w:rsid w:val="49F650E8"/>
    <w:rsid w:val="4B137294"/>
    <w:rsid w:val="593C72DA"/>
    <w:rsid w:val="5BC25EB0"/>
    <w:rsid w:val="5D397D06"/>
    <w:rsid w:val="60461714"/>
    <w:rsid w:val="68984A7D"/>
    <w:rsid w:val="6DE93821"/>
    <w:rsid w:val="713A6F0D"/>
    <w:rsid w:val="71C32012"/>
    <w:rsid w:val="75CC331E"/>
    <w:rsid w:val="7A366DD4"/>
    <w:rsid w:val="7A397F35"/>
    <w:rsid w:val="7C7A01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Body Text"/>
    <w:basedOn w:val="1"/>
    <w:qFormat/>
    <w:uiPriority w:val="1"/>
    <w:pPr>
      <w:spacing w:before="19"/>
      <w:ind w:left="479"/>
    </w:pPr>
    <w:rPr>
      <w:rFonts w:ascii="宋体" w:hAnsi="宋体" w:eastAsia="宋体"/>
      <w:sz w:val="18"/>
      <w:szCs w:val="18"/>
    </w:rPr>
  </w:style>
  <w:style w:type="paragraph" w:styleId="4">
    <w:name w:val="footer"/>
    <w:basedOn w:val="1"/>
    <w:unhideWhenUsed/>
    <w:qFormat/>
    <w:uiPriority w:val="99"/>
    <w:pPr>
      <w:tabs>
        <w:tab w:val="center" w:pos="4153"/>
        <w:tab w:val="right" w:pos="8306"/>
      </w:tabs>
      <w:snapToGrid w:val="0"/>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annotation reference"/>
    <w:basedOn w:val="7"/>
    <w:semiHidden/>
    <w:unhideWhenUsed/>
    <w:qFormat/>
    <w:uiPriority w:val="99"/>
    <w:rPr>
      <w:sz w:val="21"/>
      <w:szCs w:val="21"/>
    </w:rPr>
  </w:style>
  <w:style w:type="paragraph" w:customStyle="1" w:styleId="9">
    <w:name w:val="Table Paragraph"/>
    <w:basedOn w:val="1"/>
    <w:qFormat/>
    <w:uiPriority w:val="1"/>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paragraph" w:customStyle="1" w:styleId="12">
    <w:name w:val="标题 21"/>
    <w:basedOn w:val="1"/>
    <w:qFormat/>
    <w:uiPriority w:val="1"/>
    <w:pPr>
      <w:ind w:left="602"/>
      <w:outlineLvl w:val="2"/>
    </w:pPr>
    <w:rPr>
      <w:rFonts w:ascii="宋体" w:hAnsi="宋体" w:eastAsia="宋体"/>
      <w:sz w:val="24"/>
      <w:szCs w:val="24"/>
    </w:rPr>
  </w:style>
  <w:style w:type="paragraph" w:customStyle="1" w:styleId="13">
    <w:name w:val="标题 11"/>
    <w:basedOn w:val="1"/>
    <w:qFormat/>
    <w:uiPriority w:val="1"/>
    <w:pPr>
      <w:ind w:left="214"/>
      <w:outlineLvl w:val="1"/>
    </w:pPr>
    <w:rPr>
      <w:rFonts w:ascii="MingLiU_HKSCS" w:hAnsi="MingLiU_HKSCS" w:eastAsia="MingLiU_HKSCS"/>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22895</Words>
  <Characters>23754</Characters>
  <Lines>0</Lines>
  <Paragraphs>0</Paragraphs>
  <TotalTime>10</TotalTime>
  <ScaleCrop>false</ScaleCrop>
  <LinksUpToDate>false</LinksUpToDate>
  <CharactersWithSpaces>24162</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2026-04-14T02:43:00Z</dcterms:created>
  <dc:creator>汪雁翔</dc:creator>
  <cp:lastModifiedBy>汪雁翔</cp:lastModifiedBy>
  <dcterms:modified xsi:type="dcterms:W3CDTF">2026-08-03T07:47:18Z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E8E4E15E0CE24386B08BE21C06C365B7_11</vt:lpwstr>
  </property>
</Properties>
</file>