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超值宝定开1年27期理财产品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广州农村商业银行股份有限公司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人广州农村商业银行股份有限公司，已复核了本报告中的财务指标、净值表现和投资组合报告等内容，保证复核内容不存在虚假记载、误导性陈述或者重大遗漏。本报告中财务资料未经审计。本报告期自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超值宝定开1年27期理财产品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369,130,000.00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377,546,631.62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2024年09月05日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2044年09月05日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100.7715</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2.70%-3.50%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广州农村商业银行股份有限公司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广州农商银行贵阳农商银行超值宝定开1年27期理财产品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05875356000027166</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广州农商银行华夏支行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-1,331,042.96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2,618,883.18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377,546,631.62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1.0228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1.0538</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0.68</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0.67</w:t>
            </w:r>
          </w:p>
        </w:tc>
        <w:tc>
          <w:tcPr>
            <w:tcW w:w="1843" w:type="dxa"/>
            <w:vAlign w:val="center"/>
          </w:tcPr>
          <w:p>
            <w:pPr>
              <w:jc w:val="right"/>
              <w:rPr>
                <w:rFonts w:ascii="宋体" w:hAnsi="宋体" w:eastAsia="宋体"/>
              </w:rPr>
            </w:pPr>
            <w:r>
              <w:rPr>
                <w:rFonts w:hint="eastAsia" w:ascii="宋体" w:hAnsi="宋体"/>
              </w:rPr>
              <w:t>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5.38</w:t>
            </w:r>
          </w:p>
        </w:tc>
        <w:tc>
          <w:tcPr>
            <w:tcW w:w="1843" w:type="dxa"/>
            <w:vAlign w:val="center"/>
          </w:tcPr>
          <w:p>
            <w:pPr>
              <w:jc w:val="right"/>
              <w:rPr>
                <w:rFonts w:ascii="宋体" w:hAnsi="宋体" w:eastAsia="宋体"/>
                <w:color w:val="FF0000"/>
              </w:rPr>
            </w:pPr>
            <w:r>
              <w:rPr>
                <w:rFonts w:hint="eastAsia" w:ascii="宋体" w:hAnsi="宋体"/>
              </w:rPr>
              <w:t>2.70</w:t>
            </w:r>
          </w:p>
        </w:tc>
        <w:tc>
          <w:tcPr>
            <w:tcW w:w="1843" w:type="dxa"/>
            <w:vAlign w:val="center"/>
          </w:tcPr>
          <w:p>
            <w:pPr>
              <w:jc w:val="right"/>
              <w:rPr>
                <w:rFonts w:ascii="宋体" w:hAnsi="宋体" w:eastAsia="宋体"/>
              </w:rPr>
            </w:pPr>
            <w:r>
              <w:rPr>
                <w:rFonts w:hint="eastAsia" w:ascii="宋体" w:hAnsi="宋体"/>
              </w:rPr>
              <w:t>3.60</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0.68</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166,188,087.78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43.68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鑫沅资产贵鑫财富1号集合资产管理计划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77,940,613.12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20.49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63,947,192.00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16.81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35,793,251.71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国民信托-至上1号债券集合资金信托计划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14,945,251.14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1,033,622.73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0.27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359,848,018.48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94.59</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20,611,271.35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359,848,018.48</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380,459,289.83</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342,139,945.33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94.97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341,356,842.03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783,103.30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5,517,370.24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12,616,757.00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360,274,072.57</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16张店农商二级</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15,992,230.97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4.20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12,951,462.76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23贵州交通MTN004</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12,908,451.43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12,190,974.02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25乌当01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12,050,338.47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9,061,693.90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8,635,392.16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8,533,546.69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8,491,371.34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8,406,522.93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109,221,984.65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28.69</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3,910,901.10</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1,986,379.59</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6,319,949.51</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2,957,871.84</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8,491,371.34</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997,342.90</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102485491</w:t>
            </w:r>
          </w:p>
        </w:tc>
        <w:tc>
          <w:tcPr>
            <w:tcW w:w="2074" w:type="dxa"/>
            <w:vAlign w:val="center"/>
          </w:tcPr>
          <w:p>
            <w:pPr>
              <w:spacing w:line="360" w:lineRule="auto"/>
              <w:textAlignment w:val="center"/>
            </w:pPr>
            <w:r>
              <w:rPr>
                <w:rFonts w:ascii="宋体" w:hAnsi="宋体" w:cs="宋体" w:eastAsia="宋体"/>
              </w:rPr>
              <w:t>24贵阳工投MTN001</w:t>
            </w:r>
          </w:p>
        </w:tc>
        <w:tc>
          <w:tcPr>
            <w:tcW w:w="2278" w:type="dxa"/>
            <w:vAlign w:val="center"/>
          </w:tcPr>
          <w:p>
            <w:pPr>
              <w:spacing w:line="360" w:lineRule="auto"/>
              <w:textAlignment w:val="center"/>
            </w:pPr>
            <w:r>
              <w:rPr>
                <w:rFonts w:ascii="宋体" w:hAnsi="宋体" w:cs="宋体" w:eastAsia="宋体"/>
              </w:rPr>
              <w:t>2,375,878.56</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12,190,974.02</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4,911,241.21</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4,296,659.55</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97,356.30</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1,286,352.31</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2,558,815.12</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8,406,522.93</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12,951,462.76</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2,014,998.24</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12,050,338.47</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广州农村商业银行股份有限公司具备完善的公司治理结构、内部稽核监控制度和风险控制制度，我行在履行托管职责中，严格遵守有关法律法规、托管协议的规定，尽职尽责地履行托管义务并安全保管托管资产。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