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xmlns:xsi="http://www.w3.org/2001/XMLSchema-instance" mc:Ignorable="w14 w15 wp14">
  <w:body>
    <w:p>
      <w:pPr>
        <w:spacing w:before="156" w:beforeLines="50" w:after="156" w:afterLines="50" w:line="360" w:lineRule="auto"/>
        <w:jc w:val="center"/>
        <w:rPr>
          <w:rFonts w:ascii="宋体" w:hAnsi="宋体"/>
          <w:b/>
          <w:color w:val="000000"/>
          <w:sz w:val="32"/>
          <w:szCs w:val="32"/>
          <w:shd w:val="clear" w:color="auto" w:fill="FFFFFF"/>
        </w:rPr>
      </w:pPr>
      <w:bookmarkStart w:id="11" w:name="_GoBack"/>
      <w:bookmarkEnd w:id="11"/>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eastAsia="宋体"/>
          <w:color w:val="000000"/>
          <w:sz w:val="44"/>
          <w:szCs w:val="32"/>
          <w:u w:val="single"/>
          <w:shd w:val="clear" w:color="auto" w:fill="FFFFFF"/>
        </w:rPr>
      </w:pPr>
      <w:r>
        <w:rPr>
          <w:rFonts w:ascii="宋体" w:hAnsi="宋体" w:eastAsia="宋体"/>
          <w:color w:val="000000"/>
          <w:sz w:val="44"/>
          <w:szCs w:val="32"/>
          <w:shd w:val="clear" w:color="auto" w:fill="FFFFFF"/>
        </w:rPr>
        <w:t>超值宝1年254期理财产品</w:t>
      </w:r>
    </w:p>
    <w:p>
      <w:pPr>
        <w:spacing w:before="156" w:beforeLines="50" w:after="156" w:afterLines="50" w:line="360" w:lineRule="auto"/>
        <w:jc w:val="center"/>
        <w:rPr>
          <w:rFonts w:ascii="宋体" w:hAnsi="宋体" w:eastAsia="宋体"/>
          <w:sz w:val="36"/>
          <w:szCs w:val="24"/>
        </w:rPr>
      </w:pPr>
      <w:r>
        <w:rPr>
          <w:rFonts w:ascii="宋体" w:hAnsi="宋体" w:eastAsia="宋体"/>
          <w:color w:val="000000"/>
          <w:sz w:val="44"/>
          <w:szCs w:val="32"/>
          <w:shd w:val="clear" w:color="auto" w:fill="FFFFFF"/>
        </w:rPr>
        <w:t>2026年</w:t>
      </w:r>
      <w:r>
        <w:rPr>
          <w:rFonts w:hint="eastAsia" w:ascii="宋体" w:hAnsi="宋体" w:eastAsia="宋体"/>
          <w:color w:val="000000"/>
          <w:sz w:val="44"/>
          <w:szCs w:val="32"/>
          <w:shd w:val="clear" w:color="auto" w:fill="FFFFFF"/>
        </w:rPr>
        <w:t>第</w:t>
      </w:r>
      <w:r>
        <w:rPr>
          <w:rFonts w:ascii="宋体" w:hAnsi="宋体" w:eastAsia="宋体"/>
          <w:color w:val="000000"/>
          <w:sz w:val="44"/>
          <w:szCs w:val="32"/>
          <w:shd w:val="clear" w:color="auto" w:fill="FFFFFF"/>
        </w:rPr>
        <w:t>2</w:t>
      </w:r>
      <w:r>
        <w:rPr>
          <w:rFonts w:hint="eastAsia" w:ascii="宋体" w:hAnsi="宋体" w:eastAsia="宋体"/>
          <w:color w:val="000000"/>
          <w:sz w:val="44"/>
          <w:szCs w:val="32"/>
          <w:shd w:val="clear" w:color="auto" w:fill="FFFFFF"/>
        </w:rPr>
        <w:t>季</w:t>
      </w:r>
      <w:r>
        <w:rPr>
          <w:rFonts w:ascii="宋体" w:hAnsi="宋体" w:eastAsia="宋体"/>
          <w:color w:val="000000"/>
          <w:sz w:val="44"/>
          <w:szCs w:val="32"/>
          <w:shd w:val="clear" w:color="auto" w:fill="FFFFFF"/>
        </w:rPr>
        <w:t>度</w:t>
      </w:r>
      <w:r>
        <w:rPr>
          <w:rFonts w:hint="eastAsia" w:ascii="宋体" w:hAnsi="宋体" w:eastAsia="宋体"/>
          <w:color w:val="000000"/>
          <w:sz w:val="44"/>
          <w:szCs w:val="32"/>
          <w:shd w:val="clear" w:color="auto" w:fill="FFFFFF"/>
        </w:rPr>
        <w:t>报告</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bookmarkStart w:id="0" w:name="OLE_LINK3"/>
      <w:bookmarkEnd w:id="0"/>
      <w:bookmarkStart w:id="1" w:name="OLE_LINK1"/>
      <w:bookmarkEnd w:id="1"/>
      <w:bookmarkStart w:id="2" w:name="OLE_LINK2"/>
      <w:bookmarkEnd w:id="2"/>
      <w:r>
        <w:rPr>
          <w:rFonts w:ascii="宋体" w:hAnsi="宋体"/>
          <w:b/>
          <w:color w:val="000000"/>
          <w:sz w:val="32"/>
          <w:szCs w:val="32"/>
          <w:shd w:val="clear" w:color="auto" w:fill="FFFFFF"/>
        </w:rPr>
        <w:t>2026年06月30日</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产品管理人：</w:t>
      </w:r>
      <w:r>
        <w:rPr>
          <w:rFonts w:ascii="宋体" w:hAnsi="宋体"/>
          <w:b/>
          <w:color w:val="000000"/>
          <w:sz w:val="32"/>
          <w:szCs w:val="32"/>
          <w:shd w:val="clear" w:color="auto" w:fill="FFFFFF"/>
        </w:rPr>
        <w:t>贵阳农村商业银行股份有限公司</w:t>
      </w: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产品托管人：</w:t>
      </w:r>
      <w:r>
        <w:rPr>
          <w:rFonts w:ascii="宋体" w:hAnsi="宋体"/>
          <w:b/>
          <w:color w:val="000000"/>
          <w:sz w:val="32"/>
          <w:szCs w:val="32"/>
          <w:shd w:val="clear" w:color="auto" w:fill="FFFFFF"/>
        </w:rPr>
        <w:t>中国工商银行股份有限公司</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pPr>
    </w:p>
    <w:p>
      <w:pPr>
        <w:spacing w:before="156" w:beforeLines="50" w:after="156" w:afterLines="50" w:line="360" w:lineRule="auto"/>
        <w:jc w:val="center"/>
        <w:outlineLvl w:val="0"/>
      </w:pPr>
      <w:r>
        <w:rPr>
          <w:rFonts w:hint="eastAsia" w:ascii="宋体" w:hAnsi="宋体"/>
          <w:b/>
          <w:sz w:val="24"/>
          <w:szCs w:val="24"/>
          <w:shd w:val="clear" w:color="auto" w:fill="FFFFFF"/>
        </w:rPr>
        <w:t>§1  重要提示</w:t>
      </w:r>
    </w:p>
    <w:p>
      <w:pPr>
        <w:spacing w:before="156" w:beforeLines="50" w:after="156" w:afterLines="50" w:line="600" w:lineRule="exact"/>
        <w:ind w:firstLine="420" w:firstLineChars="200"/>
      </w:pPr>
      <w:r>
        <w:t>产品管理人保证本报告所载资料不存在虚假记载、误导性陈述或重大遗漏</w:t>
      </w:r>
      <w:r>
        <w:rPr>
          <w:rFonts w:hint="eastAsia"/>
        </w:rPr>
        <w:t>，</w:t>
      </w:r>
      <w:r>
        <w:t>并对其内容的真实性、准确性和完整性承担个别及连带责任。</w:t>
      </w:r>
    </w:p>
    <w:p>
      <w:pPr>
        <w:spacing w:before="156" w:beforeLines="50" w:after="156" w:afterLines="50" w:line="600" w:lineRule="exact"/>
        <w:ind w:firstLine="420" w:firstLineChars="200"/>
        <w:rPr>
          <w:rFonts w:ascii="宋体" w:hAnsi="宋体"/>
          <w:b/>
          <w:color w:val="000000"/>
          <w:sz w:val="32"/>
          <w:szCs w:val="32"/>
          <w:shd w:val="clear" w:color="auto" w:fill="FFFFFF"/>
        </w:rPr>
      </w:pPr>
      <w:r>
        <w:t>产品托管</w:t>
      </w:r>
      <w:r>
        <w:rPr>
          <w:rFonts w:hint="eastAsia" w:ascii="宋体" w:hAnsi="宋体" w:cs="宋体"/>
        </w:rPr>
        <w:t>人中国工商银行股份有限公司，已复核了本报告中的财务指标、净值表现和投资组合报告等内容，保证复核内容不存在虚假记载、误导性陈述或者重大遗漏。本报告中财务资料未经审计。本报告期自</w:t>
      </w:r>
      <w:r>
        <w:rPr>
          <w:rFonts w:ascii="宋体" w:hAnsi="宋体" w:cs="宋体"/>
        </w:rPr>
        <w:t>2026年04月01日起至2026年06月30日止</w:t>
      </w:r>
      <w:r>
        <w:t>。</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rPr>
          <w:rFonts w:ascii="宋体" w:hAnsi="宋体"/>
          <w:sz w:val="24"/>
          <w:szCs w:val="24"/>
        </w:rPr>
      </w:pPr>
    </w:p>
    <w:p>
      <w:pPr>
        <w:spacing w:before="156" w:beforeLines="50" w:after="156" w:afterLines="50" w:line="360" w:lineRule="auto"/>
        <w:jc w:val="center"/>
        <w:outlineLvl w:val="0"/>
        <w:rPr>
          <w:rFonts w:ascii="宋体" w:hAnsi="宋体"/>
          <w:b/>
          <w:sz w:val="24"/>
          <w:szCs w:val="24"/>
          <w:shd w:val="clear" w:color="auto" w:fill="FFFFFF"/>
        </w:rPr>
      </w:pPr>
      <w:bookmarkStart w:id="3" w:name="_Toc528772556"/>
      <w:bookmarkStart w:id="4" w:name="_Toc194311890"/>
      <w:r>
        <w:rPr>
          <w:rFonts w:hint="eastAsia" w:ascii="宋体" w:hAnsi="宋体"/>
          <w:b/>
          <w:sz w:val="24"/>
          <w:szCs w:val="24"/>
          <w:shd w:val="clear" w:color="auto" w:fill="FFFFFF"/>
        </w:rPr>
        <w:t>§2</w:t>
      </w:r>
      <w:bookmarkEnd w:id="3"/>
      <w:bookmarkEnd w:id="4"/>
      <w:r>
        <w:rPr>
          <w:rFonts w:hint="eastAsia" w:ascii="宋体" w:hAnsi="宋体"/>
          <w:b/>
          <w:sz w:val="24"/>
          <w:szCs w:val="24"/>
          <w:shd w:val="clear" w:color="auto" w:fill="FFFFFF"/>
        </w:rPr>
        <w:t xml:space="preserve">  产品概况</w:t>
      </w:r>
    </w:p>
    <w:p>
      <w:pPr>
        <w:spacing w:before="156" w:beforeLines="50" w:after="156" w:afterLines="50" w:line="360" w:lineRule="auto"/>
        <w:jc w:val="center"/>
        <w:rPr>
          <w:rFonts w:ascii="宋体" w:hAnsi="宋体" w:cs="宋体"/>
          <w:b/>
          <w:szCs w:val="21"/>
          <w:shd w:val="clear" w:color="auto" w:fill="FFFFFF"/>
        </w:rPr>
      </w:pPr>
    </w:p>
    <w:tbl>
      <w:tblPr>
        <w:tblStyle w:val="6"/>
        <w:tblpPr w:leftFromText="180" w:rightFromText="180" w:vertAnchor="text" w:horzAnchor="margin" w:tblpY="81"/>
        <w:tblW w:w="5000" w:type="pct"/>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3007"/>
        <w:gridCol w:w="5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产品名称</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超值宝1年254期理财产品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产品登记编码</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C1188326000011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报告期末产品份额总额</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kern w:val="0"/>
                <w:szCs w:val="21"/>
                <w:shd w:val="clear" w:color="auto" w:fill="FFFFFF"/>
              </w:rPr>
              <w:t>100,720,000.00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报告期末产品存续规模</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szCs w:val="21"/>
                <w:shd w:val="clear" w:color="auto" w:fill="FFFFFF"/>
              </w:rPr>
              <w:t>101,363,174.67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投资类型</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投资标的</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hint="eastAsia" w:ascii="宋体" w:hAnsi="宋体" w:eastAsia="宋体" w:cs="宋体"/>
                <w:kern w:val="0"/>
                <w:szCs w:val="21"/>
                <w:shd w:val="clear" w:color="auto" w:fill="FFFFFF"/>
              </w:rPr>
              <w:t>本期产品理财资金投资于符合监管要求的投资工具，包括：现金类资产、货币类资产、标准化固定收益类资产、符合前述投向的信托计划及资产管理计划；投资于现金类资产、货币类资产、标准化固定收益类资产及符合前述投向的信托计划、资产管理计划的比例为80%-100%；其他符合监管要求的资产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投资策略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kern w:val="0"/>
                <w:szCs w:val="21"/>
                <w:shd w:val="clear" w:color="auto" w:fill="FFFFFF"/>
              </w:rPr>
              <w:t>管理人在充分研究宏观市场形势以及微观市场主体的基础上，采取积极主动的投资管理策略，通过定性与定量分析，对利率变化趋势、收益率曲线移动方向、信用利差等影响固定收益投资品价格的因素进行评估，对不同投资品种运用不同的投资策略。在信用风险可控的前提下，寻求组合流动性与收益的最佳配比，力求持续取得稳健或超过业绩比较基准的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产品费率</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本产品收取固定销售费</w:t>
            </w:r>
            <w:r>
              <w:rPr>
                <w:rFonts w:ascii="宋体" w:hAnsi="宋体" w:eastAsia="宋体" w:cs="宋体"/>
                <w:szCs w:val="21"/>
                <w:shd w:val="clear" w:color="auto" w:fill="FFFFFF"/>
              </w:rPr>
              <w:t>0.20%</w:t>
            </w:r>
            <w:r>
              <w:rPr>
                <w:rFonts w:hint="eastAsia" w:ascii="宋体" w:hAnsi="宋体" w:eastAsia="宋体" w:cs="宋体"/>
                <w:szCs w:val="21"/>
                <w:shd w:val="clear" w:color="auto" w:fill="FFFFFF"/>
              </w:rPr>
              <w:t>/年，固定管理费</w:t>
            </w:r>
            <w:r>
              <w:rPr>
                <w:rFonts w:ascii="宋体" w:hAnsi="宋体" w:eastAsia="宋体" w:cs="宋体"/>
                <w:szCs w:val="21"/>
                <w:shd w:val="clear" w:color="auto" w:fill="FFFFFF"/>
              </w:rPr>
              <w:t>0.20%</w:t>
            </w:r>
            <w:r>
              <w:rPr>
                <w:rFonts w:hint="eastAsia" w:ascii="宋体" w:hAnsi="宋体" w:eastAsia="宋体" w:cs="宋体"/>
                <w:szCs w:val="21"/>
                <w:shd w:val="clear" w:color="auto" w:fill="FFFFFF"/>
              </w:rPr>
              <w:t>/年、固定托管费</w:t>
            </w:r>
            <w:r>
              <w:rPr>
                <w:rFonts w:ascii="宋体" w:hAnsi="宋体" w:eastAsia="宋体" w:cs="宋体"/>
                <w:szCs w:val="21"/>
                <w:shd w:val="clear" w:color="auto" w:fill="FFFFFF"/>
              </w:rPr>
              <w:t>0.01%</w:t>
            </w:r>
            <w:r>
              <w:rPr>
                <w:rFonts w:hint="eastAsia" w:ascii="宋体" w:hAnsi="宋体" w:eastAsia="宋体" w:cs="宋体"/>
                <w:szCs w:val="21"/>
                <w:shd w:val="clear" w:color="auto" w:fill="FFFFFF"/>
              </w:rPr>
              <w:t>/年和超额业绩报酬（如有），上述费用在计算产品单位净值前扣除。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成立日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2026年03月31日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终止日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2027年03月31日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2"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估值方法</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1.现金、银行存款以本金列示，逐日计提银行存款利息，按约定利率确认存款利息收入；2.对于未在交易所上市的货币市场基金，按基金管理公司披露的估值日前一交易日的每万份收益计提收益；3.标准化固定收益类资产：交易所及银行间公开发行的债券按市场价格估值，按中央国债登记结算有限责任公司或中国证券登记结算有限公司公布的在估值日的估值净价进行估值；交易所上市的资产支持证券、中小企业私募债券等非公开发行债券，由于不存在活跃交易、且估值技术难以可靠计量公允价值，按成本估值；4.投资资产管理产品、非标债权或其他特殊目的载体等的估值：（1）资产管理产品、非标债权或其他特殊目的载体等披露份额净值的，按最近一日的份额净值估值。（2）资产管理产品、非标债权或其他特殊目的载体等披露收益率的，按成本估值，按收益率计提收益；5.其它符合监管要求的资产，存在可以确定公允价值的，以公允价值估值；公允价值不能确定的，按取得时成本按摊余成本法估值；6.国家有最新规定的，按其规定进行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杠杆水平</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100.1799</w:t>
            </w:r>
            <w:r>
              <w:rPr>
                <w:rFonts w:hint="eastAsia" w:ascii="宋体" w:hAnsi="宋体" w:eastAsia="宋体" w:cs="宋体"/>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业绩比较基准</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2.40%-3.40%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风险等级</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二级（中低）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产品管理人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贵阳农村商业银行股份有限公司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产品托管人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bookmarkStart w:id="5" w:name="OLE_LINK70"/>
            <w:bookmarkStart w:id="6" w:name="OLE_LINK69"/>
            <w:r>
              <w:rPr>
                <w:rFonts w:ascii="宋体" w:hAnsi="宋体" w:eastAsia="宋体" w:cs="宋体"/>
                <w:szCs w:val="21"/>
                <w:shd w:val="clear" w:color="auto" w:fill="FFFFFF"/>
              </w:rPr>
              <w:t>中国工商银行股份有限公司</w:t>
            </w:r>
            <w:bookmarkEnd w:id="5"/>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投资账户信息</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户名：</w:t>
            </w:r>
            <w:r>
              <w:rPr>
                <w:rFonts w:ascii="宋体" w:hAnsi="宋体" w:eastAsia="宋体" w:cs="宋体"/>
                <w:szCs w:val="21"/>
                <w:shd w:val="clear" w:color="auto" w:fill="FFFFFF"/>
              </w:rPr>
              <w:t>中国工商银行股份有限公司贵阳农商银行超值宝1年254期理财产品</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账号：</w:t>
            </w:r>
            <w:r>
              <w:rPr>
                <w:rFonts w:ascii="宋体" w:hAnsi="宋体" w:eastAsia="宋体" w:cs="宋体"/>
                <w:szCs w:val="21"/>
                <w:shd w:val="clear" w:color="auto" w:fill="FFFFFF"/>
              </w:rPr>
              <w:t>3602003829200754909</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开户行：</w:t>
            </w:r>
            <w:r>
              <w:rPr>
                <w:rFonts w:ascii="宋体" w:hAnsi="宋体" w:eastAsia="宋体" w:cs="宋体"/>
                <w:szCs w:val="21"/>
                <w:shd w:val="clear" w:color="auto" w:fill="FFFFFF"/>
              </w:rPr>
              <w:t>中国工商银行股份有限公司广州大德路支行</w:t>
            </w:r>
          </w:p>
        </w:tc>
      </w:tr>
    </w:tbl>
    <w:p>
      <w:pPr>
        <w:widowControl/>
        <w:jc w:val="left"/>
        <w:rPr>
          <w:rFonts w:ascii="宋体" w:hAnsi="宋体"/>
          <w:b/>
          <w:sz w:val="24"/>
          <w:szCs w:val="24"/>
        </w:rPr>
      </w:pP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§3  主要财务指标和净值表现</w:t>
      </w:r>
    </w:p>
    <w:p>
      <w:pPr>
        <w:spacing w:before="156" w:beforeLines="50" w:line="360" w:lineRule="exact"/>
        <w:outlineLvl w:val="1"/>
        <w:rPr>
          <w:b/>
          <w:color w:val="000000"/>
        </w:rPr>
      </w:pPr>
      <w:r>
        <w:rPr>
          <w:b/>
          <w:color w:val="000000"/>
        </w:rPr>
        <w:t xml:space="preserve">3.1 </w:t>
      </w:r>
      <w:r>
        <w:rPr>
          <w:rFonts w:hint="eastAsia"/>
          <w:b/>
          <w:color w:val="000000"/>
        </w:rPr>
        <w:t>主要财务指标</w:t>
      </w:r>
    </w:p>
    <w:p>
      <w:pPr>
        <w:spacing w:before="156" w:beforeLines="50" w:line="360" w:lineRule="exact"/>
        <w:jc w:val="right"/>
        <w:rPr>
          <w:color w:val="000000"/>
        </w:rPr>
      </w:pPr>
      <w:r>
        <w:rPr>
          <w:rFonts w:hint="eastAsia"/>
          <w:color w:val="000000"/>
        </w:rPr>
        <w:t>单位：</w:t>
      </w:r>
      <w:r>
        <w:rPr>
          <w:rFonts w:hint="eastAsia" w:ascii="宋体" w:hAnsi="宋体"/>
        </w:rPr>
        <w:t>人民币</w:t>
      </w:r>
      <w:r>
        <w:rPr>
          <w:rFonts w:hint="eastAsia"/>
          <w:color w:val="000000"/>
        </w:rPr>
        <w:t>元</w:t>
      </w:r>
    </w:p>
    <w:tbl>
      <w:tblPr>
        <w:tblStyle w:val="6"/>
        <w:tblW w:w="0" w:type="auto"/>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660"/>
        <w:gridCol w:w="58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主要财务指标</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报告期（</w:t>
            </w:r>
            <w:r>
              <w:rPr>
                <w:rFonts w:ascii="宋体" w:hAnsi="宋体" w:eastAsia="宋体"/>
                <w:szCs w:val="21"/>
                <w:shd w:val="clear" w:color="auto" w:fill="FFFFFF"/>
              </w:rPr>
              <w:t>2026年04月01日-2026年06月30日</w:t>
            </w:r>
            <w:r>
              <w:rPr>
                <w:rFonts w:hint="eastAsia" w:ascii="宋体" w:hAnsi="宋体" w:eastAsia="宋体"/>
                <w:szCs w:val="21"/>
                <w:shd w:val="clear" w:color="auto" w:fill="FFFFFF"/>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1.</w:t>
            </w:r>
            <w:r>
              <w:rPr>
                <w:rFonts w:hint="eastAsia" w:ascii="宋体" w:hAnsi="宋体" w:eastAsia="宋体"/>
                <w:szCs w:val="21"/>
              </w:rPr>
              <w:t>本期已实现收益</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-100,023.75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2.本期利润</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639,257.78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3.期末产品资产净值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101,363,174.67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4.期末产品份额净值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1.0064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5.期末产品份额累计净值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1.0064</w:t>
            </w:r>
          </w:p>
        </w:tc>
      </w:tr>
    </w:tbl>
    <w:p>
      <w:pPr>
        <w:spacing w:before="156" w:beforeLines="50" w:line="360" w:lineRule="exact"/>
      </w:pPr>
      <w:r>
        <w:rPr>
          <w:rFonts w:hint="eastAsia"/>
        </w:rPr>
        <w:t>注：</w:t>
      </w:r>
      <w:r>
        <w:t>1</w:t>
      </w:r>
      <w:r>
        <w:rPr>
          <w:rFonts w:hint="eastAsia"/>
        </w:rPr>
        <w:t>、本期收益为本期已实现收益加上本期公允价值变动收益；</w:t>
      </w:r>
    </w:p>
    <w:p>
      <w:pPr>
        <w:spacing w:before="156" w:beforeLines="50" w:line="360" w:lineRule="exact"/>
      </w:pPr>
      <w:r>
        <w:t xml:space="preserve">    2</w:t>
      </w:r>
      <w:r>
        <w:rPr>
          <w:rFonts w:hint="eastAsia"/>
        </w:rPr>
        <w:t>、除产品合同和招募说明书另有规定外，期末产品份额净值按四舍五入法保留至小数点后第</w:t>
      </w:r>
      <w:r>
        <w:t>4</w:t>
      </w:r>
      <w:r>
        <w:rPr>
          <w:rFonts w:hint="eastAsia"/>
        </w:rPr>
        <w:t>位，其他财务指标保留至小点后第</w:t>
      </w:r>
      <w:r>
        <w:t>2</w:t>
      </w:r>
      <w:r>
        <w:rPr>
          <w:rFonts w:hint="eastAsia"/>
        </w:rPr>
        <w:t>位；</w:t>
      </w:r>
    </w:p>
    <w:p>
      <w:pPr>
        <w:spacing w:before="156" w:beforeLines="50" w:line="360" w:lineRule="exact"/>
        <w:ind w:firstLine="420" w:firstLineChars="200"/>
      </w:pPr>
      <w:r>
        <w:t>3</w:t>
      </w:r>
      <w:r>
        <w:rPr>
          <w:rFonts w:hint="eastAsia"/>
        </w:rPr>
        <w:t>、期末即最后一个自然日；</w:t>
      </w:r>
    </w:p>
    <w:p>
      <w:pPr>
        <w:spacing w:before="156" w:beforeLines="50" w:line="360" w:lineRule="exact"/>
        <w:rPr>
          <w:color w:val="000000"/>
        </w:rPr>
      </w:pPr>
      <w:r>
        <w:tab/>
      </w:r>
      <w:r>
        <w:t>4</w:t>
      </w:r>
      <w:r>
        <w:rPr>
          <w:rFonts w:hint="eastAsia"/>
        </w:rPr>
        <w:t>、</w:t>
      </w:r>
      <w:r>
        <w:rPr>
          <w:rFonts w:hint="eastAsia"/>
          <w:color w:val="000000"/>
        </w:rPr>
        <w:t>本报告期内，本理财计划未进行分红。</w:t>
      </w:r>
    </w:p>
    <w:p>
      <w:pPr>
        <w:spacing w:before="156" w:beforeLines="50" w:line="360" w:lineRule="exact"/>
        <w:outlineLvl w:val="1"/>
        <w:rPr>
          <w:b/>
          <w:color w:val="000000"/>
        </w:rPr>
      </w:pPr>
      <w:r>
        <w:rPr>
          <w:b/>
          <w:color w:val="000000"/>
        </w:rPr>
        <w:t xml:space="preserve">3.2 </w:t>
      </w:r>
      <w:r>
        <w:rPr>
          <w:rFonts w:hint="eastAsia"/>
          <w:b/>
          <w:color w:val="000000"/>
        </w:rPr>
        <w:t>产品净值表现</w:t>
      </w:r>
    </w:p>
    <w:p>
      <w:pPr>
        <w:spacing w:before="156" w:beforeLines="50" w:line="360" w:lineRule="exact"/>
        <w:outlineLvl w:val="2"/>
      </w:pPr>
      <w:r>
        <w:t>3.2.1</w:t>
      </w:r>
      <w:r>
        <w:rPr>
          <w:rFonts w:hint="eastAsia"/>
        </w:rPr>
        <w:t>产品份额净值增长率与同期业绩比较基准收益率的比较</w:t>
      </w:r>
    </w:p>
    <w:tbl>
      <w:tblPr>
        <w:tblStyle w:val="6"/>
        <w:tblW w:w="8276" w:type="dxa"/>
        <w:jc w:val="center"/>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47"/>
        <w:gridCol w:w="1843"/>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9" w:hRule="atLeast"/>
        </w:trPr>
        <w:tc>
          <w:tcPr>
            <w:tcW w:w="2747" w:type="dxa"/>
            <w:shd w:val="clear" w:color="auto" w:fill="D9D9D9"/>
            <w:vAlign w:val="center"/>
          </w:tcPr>
          <w:p>
            <w:pPr>
              <w:jc w:val="center"/>
              <w:rPr>
                <w:rFonts w:ascii="宋体" w:hAnsi="宋体" w:eastAsia="宋体"/>
                <w:b/>
              </w:rPr>
            </w:pPr>
            <w:r>
              <w:rPr>
                <w:rFonts w:hint="eastAsia" w:ascii="Times New Roman" w:hAnsi="Times New Roman" w:eastAsia="宋体"/>
                <w:b/>
              </w:rPr>
              <w:t>阶段</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净值增长率（%）</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增长率-低（%）</w:t>
            </w:r>
          </w:p>
        </w:tc>
        <w:tc>
          <w:tcPr>
            <w:tcW w:w="1843" w:type="dxa"/>
            <w:shd w:val="clear" w:color="auto" w:fill="D9D9D9"/>
          </w:tcPr>
          <w:p>
            <w:pPr>
              <w:jc w:val="right"/>
              <w:rPr>
                <w:rFonts w:ascii="Times New Roman" w:hAnsi="Times New Roman"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当期（</w:t>
            </w:r>
            <w:r>
              <w:rPr>
                <w:rFonts w:ascii="宋体" w:hAnsi="宋体" w:eastAsia="宋体"/>
              </w:rPr>
              <w:t>2026年04月01日至2026年06月30日</w:t>
            </w:r>
            <w:r>
              <w:rPr>
                <w:rFonts w:hint="eastAsia" w:ascii="宋体" w:hAnsi="宋体" w:eastAsia="宋体"/>
              </w:rPr>
              <w:t>）</w:t>
            </w:r>
          </w:p>
        </w:tc>
        <w:tc>
          <w:tcPr>
            <w:tcW w:w="1843" w:type="dxa"/>
            <w:vAlign w:val="center"/>
          </w:tcPr>
          <w:p>
            <w:pPr>
              <w:spacing w:line="300" w:lineRule="auto"/>
              <w:jc w:val="right"/>
              <w:rPr>
                <w:rFonts w:ascii="微软雅黑" w:hAnsi="微软雅黑" w:eastAsia="微软雅黑" w:cs="微软雅黑"/>
              </w:rPr>
            </w:pPr>
            <w:r>
              <w:rPr>
                <w:rFonts w:ascii="宋体" w:hAnsi="宋体" w:eastAsia="宋体" w:cs="宋体"/>
              </w:rPr>
              <w:t>0.64</w:t>
            </w:r>
          </w:p>
        </w:tc>
        <w:tc>
          <w:tcPr>
            <w:tcW w:w="1843" w:type="dxa"/>
            <w:vAlign w:val="center"/>
          </w:tcPr>
          <w:p>
            <w:pPr>
              <w:jc w:val="right"/>
              <w:rPr>
                <w:rFonts w:ascii="宋体" w:hAnsi="宋体" w:eastAsia="宋体"/>
                <w:color w:val="FF0000"/>
              </w:rPr>
            </w:pPr>
            <w:r>
              <w:rPr>
                <w:rFonts w:hint="eastAsia" w:ascii="宋体" w:hAnsi="宋体"/>
              </w:rPr>
              <w:t/>
            </w:r>
            <w:bookmarkStart w:id="7" w:name="OLE_LINK13"/>
            <w:bookmarkStart w:id="8" w:name="OLE_LINK12"/>
            <w:r>
              <w:rPr>
                <w:rFonts w:hint="eastAsia" w:ascii="宋体" w:hAnsi="宋体"/>
              </w:rPr>
              <w:t/>
            </w:r>
            <w:bookmarkEnd w:id="7"/>
            <w:bookmarkEnd w:id="8"/>
            <w:r>
              <w:rPr>
                <w:rFonts w:hint="eastAsia" w:ascii="宋体" w:hAnsi="宋体"/>
              </w:rPr>
              <w:t>0.60</w:t>
            </w:r>
          </w:p>
        </w:tc>
        <w:tc>
          <w:tcPr>
            <w:tcW w:w="1843" w:type="dxa"/>
            <w:vAlign w:val="center"/>
          </w:tcPr>
          <w:p>
            <w:pPr>
              <w:jc w:val="right"/>
              <w:rPr>
                <w:rFonts w:ascii="宋体" w:hAnsi="宋体" w:eastAsia="宋体"/>
              </w:rPr>
            </w:pPr>
            <w:r>
              <w:rPr>
                <w:rFonts w:hint="eastAsia" w:ascii="宋体" w:hAnsi="宋体"/>
              </w:rPr>
              <w:t>0.85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自产品成立日至今</w:t>
            </w:r>
          </w:p>
        </w:tc>
        <w:tc>
          <w:tcPr>
            <w:tcW w:w="1843" w:type="dxa"/>
            <w:vAlign w:val="center"/>
          </w:tcPr>
          <w:p>
            <w:pPr>
              <w:jc w:val="right"/>
              <w:rPr>
                <w:rFonts w:ascii="宋体" w:hAnsi="宋体" w:eastAsia="宋体"/>
              </w:rPr>
            </w:pPr>
            <w:bookmarkStart w:id="9" w:name="OLE_LINK7"/>
            <w:bookmarkEnd w:id="9"/>
            <w:bookmarkStart w:id="10" w:name="OLE_LINK4"/>
            <w:bookmarkEnd w:id="10"/>
            <w:r>
              <w:rPr>
                <w:rFonts w:ascii="宋体" w:hAnsi="宋体" w:eastAsia="宋体" w:cs="宋体"/>
              </w:rPr>
              <w:t>0.64</w:t>
            </w:r>
          </w:p>
        </w:tc>
        <w:tc>
          <w:tcPr>
            <w:tcW w:w="1843" w:type="dxa"/>
            <w:vAlign w:val="center"/>
          </w:tcPr>
          <w:p>
            <w:pPr>
              <w:jc w:val="right"/>
              <w:rPr>
                <w:rFonts w:ascii="宋体" w:hAnsi="宋体" w:eastAsia="宋体"/>
                <w:color w:val="FF0000"/>
              </w:rPr>
            </w:pPr>
            <w:r>
              <w:rPr>
                <w:rFonts w:hint="eastAsia" w:ascii="宋体" w:hAnsi="宋体"/>
              </w:rPr>
              <w:t>0.60</w:t>
            </w:r>
          </w:p>
        </w:tc>
        <w:tc>
          <w:tcPr>
            <w:tcW w:w="1843" w:type="dxa"/>
            <w:vAlign w:val="center"/>
          </w:tcPr>
          <w:p>
            <w:pPr>
              <w:jc w:val="right"/>
              <w:rPr>
                <w:rFonts w:ascii="宋体" w:hAnsi="宋体" w:eastAsia="宋体"/>
              </w:rPr>
            </w:pPr>
            <w:r>
              <w:rPr>
                <w:rFonts w:hint="eastAsia" w:ascii="宋体" w:hAnsi="宋体"/>
              </w:rPr>
              <w:t>0.86</w:t>
            </w:r>
          </w:p>
        </w:tc>
      </w:tr>
    </w:tbl>
    <w:p>
      <w:pPr>
        <w:spacing w:before="156" w:beforeLines="50" w:line="360" w:lineRule="exact"/>
        <w:outlineLvl w:val="2"/>
      </w:pPr>
      <w:r>
        <w:t>3.2.2</w:t>
      </w:r>
      <w:r>
        <w:rPr>
          <w:rFonts w:hint="eastAsia"/>
        </w:rPr>
        <w:t>产品累计份额净值增长率比较走势图</w:t>
      </w:r>
    </w:p>
    <w:p>
      <w:r>
        <w:rPr>
          <w:rFonts w:hint="eastAsia"/>
        </w:rPr>
        <w:t xml:space="preserve"> </w:t>
        <w:drawing>
          <wp:inline distT="0" distR="0" distB="0" distL="0">
            <wp:extent cx="5461000" cy="3810000"/>
            <wp:docPr id="0" name="Drawing 0" descr=""/>
            <a:graphic xmlns:a="http://schemas.openxmlformats.org/drawingml/2006/main">
              <a:graphicData uri="http://schemas.openxmlformats.org/drawingml/2006/picture">
                <pic:pic xmlns:pic="http://schemas.openxmlformats.org/drawingml/2006/picture">
                  <pic:nvPicPr>
                    <pic:cNvPr id="0" name="Picture 0" descr=""/>
                    <pic:cNvPicPr>
                      <a:picLocks noChangeAspect="true"/>
                    </pic:cNvPicPr>
                  </pic:nvPicPr>
                  <pic:blipFill>
                    <a:blip r:embed="rId6"/>
                    <a:stretch>
                      <a:fillRect/>
                    </a:stretch>
                  </pic:blipFill>
                  <pic:spPr>
                    <a:xfrm>
                      <a:off x="0" y="0"/>
                      <a:ext cx="5461000" cy="3810000"/>
                    </a:xfrm>
                    <a:prstGeom prst="rect">
                      <a:avLst/>
                    </a:prstGeom>
                  </pic:spPr>
                </pic:pic>
              </a:graphicData>
            </a:graphic>
          </wp:inline>
        </w:drawing>
      </w:r>
    </w:p>
    <w:p/>
    <w:p/>
    <w:p>
      <w:pPr>
        <w:spacing w:before="156" w:beforeLines="50" w:after="156" w:afterLines="50" w:line="360" w:lineRule="auto"/>
        <w:jc w:val="center"/>
        <w:outlineLvl w:val="0"/>
      </w:pPr>
      <w:r>
        <w:rPr>
          <w:rFonts w:hint="eastAsia" w:ascii="宋体" w:hAnsi="宋体"/>
          <w:b/>
          <w:sz w:val="24"/>
          <w:szCs w:val="24"/>
        </w:rPr>
        <w:t>§4 管理人报告</w:t>
      </w:r>
    </w:p>
    <w:p>
      <w:pPr>
        <w:spacing w:before="156" w:beforeLines="50" w:line="360" w:lineRule="exact"/>
        <w:outlineLvl w:val="1"/>
        <w:rPr>
          <w:b/>
          <w:color w:val="000000"/>
        </w:rPr>
      </w:pPr>
      <w:r>
        <w:rPr>
          <w:b/>
          <w:color w:val="000000"/>
        </w:rPr>
        <w:t xml:space="preserve">4.1 </w:t>
      </w:r>
      <w:r>
        <w:rPr>
          <w:rFonts w:hint="eastAsia"/>
          <w:b/>
          <w:color w:val="000000"/>
        </w:rPr>
        <w:t>报告期内产品投资策略和运作分析</w:t>
      </w:r>
    </w:p>
    <w:p>
      <w:pPr>
        <w:spacing w:before="156" w:beforeLines="50" w:line="360" w:lineRule="exact"/>
        <w:ind w:firstLine="420" w:firstLineChars="200"/>
        <w:rPr>
          <w:rFonts w:ascii="宋体" w:hAnsi="宋体"/>
          <w:szCs w:val="21"/>
        </w:rPr>
      </w:pPr>
      <w:r>
        <w:rPr>
          <w:rFonts w:hint="eastAsia" w:ascii="宋体" w:hAnsi="宋体"/>
          <w:szCs w:val="21"/>
        </w:rPr>
        <w:t>本产品为固定收益类理财产品，资产配置主要包括现金、同业回购等货币市场工具、债券和基金等满足安全性和流动性要求的金融产品，其中债券类配置以风险可控的城投债为主，进一步提高理财产品的收益水平。资产配置策略方面，管理人综合分析并持续跟踪基本面、政策面和市场面等多方面因素，结合宏观经济、国家政策和市场流动性等趋势研判，采取积极主动的投资管理策略，通过自上而下的定性与定量分析，对利率变化趋势、收益率曲线变化趋势、信用利差等影响固定收益资产价格的因素进行评估，对不同投资品种运用差异化投资策略。在信用风险可控的前提下，构建和调整固定收益投资策略，寻求平衡流动性与收益情况的最佳组合，采取票息策略，严格控制组合久期和杠杆水平，力求获得稳健或超过业绩比较基准的投资收益。</w:t>
      </w:r>
    </w:p>
    <w:p>
      <w:pPr>
        <w:spacing w:before="156" w:beforeLines="50" w:line="360" w:lineRule="exact"/>
      </w:pPr>
    </w:p>
    <w:p>
      <w:pPr>
        <w:spacing w:before="156" w:beforeLines="50" w:line="360" w:lineRule="exact"/>
        <w:outlineLvl w:val="1"/>
        <w:rPr>
          <w:b/>
          <w:color w:val="000000"/>
        </w:rPr>
      </w:pPr>
      <w:r>
        <w:rPr>
          <w:b/>
          <w:color w:val="000000"/>
        </w:rPr>
        <w:t xml:space="preserve">4.2 </w:t>
      </w:r>
      <w:r>
        <w:rPr>
          <w:rFonts w:hint="eastAsia"/>
          <w:b/>
          <w:color w:val="000000"/>
        </w:rPr>
        <w:t>报告期内产品的业绩表现</w:t>
      </w:r>
    </w:p>
    <w:p>
      <w:pPr>
        <w:spacing w:before="156" w:beforeLines="50" w:line="360" w:lineRule="exact"/>
        <w:ind w:firstLine="420" w:firstLineChars="200"/>
        <w:rPr>
          <w:rFonts w:ascii="宋体" w:hAnsi="宋体"/>
          <w:color w:val="000000"/>
          <w:szCs w:val="21"/>
        </w:rPr>
      </w:pPr>
      <w:r>
        <w:rPr>
          <w:rFonts w:ascii="宋体" w:hAnsi="宋体"/>
          <w:color w:val="000000"/>
          <w:szCs w:val="21"/>
        </w:rPr>
        <w:t>在报告期内</w:t>
      </w:r>
      <w:r>
        <w:rPr>
          <w:rFonts w:hint="eastAsia" w:ascii="宋体" w:hAnsi="宋体"/>
          <w:color w:val="000000"/>
          <w:szCs w:val="21"/>
        </w:rPr>
        <w:t>，</w:t>
      </w:r>
      <w:r>
        <w:rPr>
          <w:rFonts w:ascii="宋体" w:hAnsi="宋体"/>
          <w:color w:val="000000"/>
          <w:szCs w:val="21"/>
        </w:rPr>
        <w:t>产品份额净值增长</w:t>
      </w:r>
      <w:r>
        <w:rPr>
          <w:rFonts w:hint="eastAsia" w:ascii="宋体" w:hAnsi="宋体" w:cs="宋体"/>
          <w:szCs w:val="21"/>
        </w:rPr>
        <w:t>率为</w:t>
      </w:r>
      <w:r>
        <w:rPr>
          <w:rFonts w:ascii="宋体" w:hAnsi="宋体" w:eastAsia="宋体" w:cs="宋体"/>
        </w:rPr>
        <w:t>0.64</w:t>
      </w:r>
      <w:r>
        <w:rPr>
          <w:rFonts w:hint="eastAsia" w:ascii="宋体" w:hAnsi="宋体" w:cs="宋体"/>
          <w:szCs w:val="21"/>
        </w:rPr>
        <w:t>%。</w:t>
      </w:r>
      <w:r>
        <w:rPr>
          <w:rFonts w:ascii="宋体" w:hAnsi="宋体"/>
          <w:color w:val="000000"/>
          <w:szCs w:val="21"/>
        </w:rPr>
        <w:t>报告期内</w:t>
      </w:r>
      <w:r>
        <w:rPr>
          <w:rFonts w:hint="eastAsia" w:ascii="宋体" w:hAnsi="宋体"/>
          <w:color w:val="000000"/>
          <w:szCs w:val="21"/>
        </w:rPr>
        <w:t>，</w:t>
      </w:r>
      <w:r>
        <w:rPr>
          <w:rFonts w:ascii="宋体" w:hAnsi="宋体"/>
          <w:color w:val="000000"/>
          <w:szCs w:val="21"/>
        </w:rPr>
        <w:t>本期产品配置债</w:t>
      </w:r>
      <w:r>
        <w:rPr>
          <w:rFonts w:hint="eastAsia" w:ascii="宋体" w:hAnsi="宋体" w:cs="宋体"/>
          <w:szCs w:val="21"/>
        </w:rPr>
        <w:t>券价格整体波动不大，在可控范围内。</w:t>
      </w:r>
    </w:p>
    <w:p>
      <w:pPr>
        <w:spacing w:before="156" w:beforeLines="50" w:line="360" w:lineRule="exact"/>
      </w:pPr>
    </w:p>
    <w:p>
      <w:pPr>
        <w:spacing w:before="156" w:beforeLines="50" w:line="360" w:lineRule="exact"/>
        <w:outlineLvl w:val="1"/>
        <w:rPr>
          <w:b/>
          <w:color w:val="000000"/>
        </w:rPr>
      </w:pPr>
      <w:r>
        <w:rPr>
          <w:b/>
          <w:color w:val="000000"/>
        </w:rPr>
        <w:t>4.3</w:t>
      </w:r>
      <w:r>
        <w:rPr>
          <w:rFonts w:hint="eastAsia"/>
          <w:b/>
          <w:color w:val="000000"/>
        </w:rPr>
        <w:t>报告期内产品主要投资风险</w:t>
      </w:r>
    </w:p>
    <w:p>
      <w:pPr>
        <w:spacing w:before="156" w:beforeLines="50" w:after="156" w:afterLines="50" w:line="360" w:lineRule="auto"/>
        <w:jc w:val="left"/>
        <w:rPr>
          <w:rFonts w:ascii="宋体" w:hAnsi="宋体"/>
          <w:color w:val="FF0000"/>
          <w:szCs w:val="21"/>
        </w:rPr>
      </w:pPr>
      <w:r>
        <w:rPr>
          <w:rFonts w:hint="eastAsia" w:ascii="宋体" w:hAnsi="宋体"/>
          <w:color w:val="000000"/>
          <w:szCs w:val="21"/>
        </w:rPr>
        <w:tab/>
      </w:r>
      <w:r>
        <w:rPr>
          <w:rFonts w:hint="eastAsia" w:ascii="宋体" w:hAnsi="宋体"/>
          <w:szCs w:val="21"/>
        </w:rPr>
        <w:t>产品的投资品种价格受经济因素、政治因素、投资心理和交易制度等各种因素影响引起波动，导致收益水平变化产生风险。主要包括：政策风险、经济周期风险、利率风险、信用风险、再投资风险等。</w:t>
      </w:r>
    </w:p>
    <w:p>
      <w:pPr>
        <w:widowControl/>
        <w:jc w:val="left"/>
        <w:rPr>
          <w:rFonts w:ascii="宋体" w:hAnsi="宋体"/>
          <w:color w:val="FF0000"/>
          <w:szCs w:val="21"/>
        </w:rPr>
      </w:pPr>
    </w:p>
    <w:p>
      <w:pPr>
        <w:spacing w:before="156" w:beforeLines="50" w:after="156" w:afterLines="50" w:line="360" w:lineRule="auto"/>
        <w:jc w:val="center"/>
        <w:outlineLvl w:val="0"/>
      </w:pPr>
      <w:r>
        <w:rPr>
          <w:rFonts w:hint="eastAsia" w:ascii="宋体" w:hAnsi="宋体"/>
          <w:b/>
          <w:sz w:val="24"/>
          <w:szCs w:val="24"/>
        </w:rPr>
        <w:t>§5 投资组合报告</w:t>
      </w:r>
    </w:p>
    <w:p>
      <w:pPr>
        <w:spacing w:before="156" w:beforeLines="50" w:after="156" w:afterLines="50" w:line="360" w:lineRule="auto"/>
        <w:outlineLvl w:val="1"/>
        <w:rPr>
          <w:b/>
        </w:rPr>
      </w:pPr>
      <w:r>
        <w:rPr>
          <w:b/>
        </w:rPr>
        <w:t>5.</w:t>
      </w:r>
      <w:r>
        <w:rPr>
          <w:rFonts w:hint="eastAsia"/>
          <w:b/>
        </w:rPr>
        <w:t>1期末直接前十项持仓资产情况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华创证券智盈1号集合资产管理计划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101,459,281.53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99.92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101,459,281.53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99.92</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rPr>
          <w:b/>
        </w:rPr>
      </w:pPr>
    </w:p>
    <w:p>
      <w:pPr>
        <w:spacing w:before="156" w:beforeLines="50" w:after="156" w:afterLines="50" w:line="360" w:lineRule="auto"/>
        <w:outlineLvl w:val="1"/>
        <w:rPr>
          <w:b/>
        </w:rPr>
      </w:pPr>
      <w:r>
        <w:rPr>
          <w:b/>
        </w:rPr>
        <w:t>5.</w:t>
      </w:r>
      <w:r>
        <w:rPr>
          <w:rFonts w:hint="eastAsia"/>
          <w:b/>
        </w:rPr>
        <w:t>2期末理财产品资产组合情况</w:t>
      </w:r>
    </w:p>
    <w:p>
      <w:pPr>
        <w:spacing w:before="156" w:beforeLines="50" w:after="156" w:afterLines="50" w:line="360" w:lineRule="auto"/>
        <w:outlineLvl w:val="2"/>
      </w:pPr>
      <w:r>
        <w:t>5.</w:t>
      </w:r>
      <w:r>
        <w:rPr>
          <w:rFonts w:hint="eastAsia"/>
        </w:rPr>
        <w:t>2</w:t>
      </w:r>
      <w:r>
        <w:t>.1</w:t>
      </w:r>
      <w:r>
        <w:rPr>
          <w:rFonts w:hint="eastAsia"/>
        </w:rPr>
        <w:t>期末理财产品直接投资资产组合情况</w:t>
      </w:r>
    </w:p>
    <w:p>
      <w:pPr>
        <w:ind w:right="105"/>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1</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权益投资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其中：普通股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存托凭证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2</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基金投资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3</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固定收益投资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其中：债券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资产支持证券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4</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金融衍生品投资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其中：远期</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期权</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权证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5</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其中：买断式回购的买入返售金融资产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6</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货币市场工具</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7</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银行存款和结算备付金合计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86,203.86</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8</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拆放同业</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9</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资管产品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101,459,281.53</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99.92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ascii="宋体" w:hAnsi="宋体" w:eastAsia="宋体" w:cs="Times New Roman"/>
                <w:szCs w:val="21"/>
              </w:rPr>
              <w:t>10</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其他资产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rFonts w:ascii="宋体" w:hAnsi="宋体" w:eastAsia="宋体" w:cs="Times New Roman"/>
                <w:szCs w:val="21"/>
              </w:rPr>
            </w:pPr>
          </w:p>
        </w:tc>
        <w:tc>
          <w:tcPr>
            <w:tcW w:w="3402" w:type="dxa"/>
          </w:tcPr>
          <w:p>
            <w:pPr>
              <w:jc w:val="left"/>
              <w:rPr>
                <w:rFonts w:ascii="宋体" w:hAnsi="宋体" w:eastAsia="宋体" w:cs="Times New Roman"/>
                <w:szCs w:val="21"/>
              </w:rPr>
            </w:pPr>
            <w:r>
              <w:rPr>
                <w:rFonts w:hint="eastAsia" w:ascii="宋体" w:hAnsi="宋体" w:eastAsia="宋体" w:cs="Times New Roman"/>
                <w:szCs w:val="21"/>
              </w:rPr>
              <w:t>合计</w:t>
            </w:r>
          </w:p>
        </w:tc>
        <w:tc>
          <w:tcPr>
            <w:tcW w:w="2126"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101,545,485.39</w:t>
            </w:r>
          </w:p>
        </w:tc>
        <w:tc>
          <w:tcPr>
            <w:tcW w:w="2127"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outlineLvl w:val="2"/>
      </w:pPr>
      <w:r>
        <w:t>5.</w:t>
      </w:r>
      <w:r>
        <w:rPr>
          <w:rFonts w:hint="eastAsia"/>
        </w:rPr>
        <w:t>2</w:t>
      </w:r>
      <w:r>
        <w:t>.2</w:t>
      </w:r>
      <w:r>
        <w:rPr>
          <w:rFonts w:hint="eastAsia"/>
        </w:rPr>
        <w:t>期末理财产品间接投资资产组合情况</w:t>
      </w:r>
    </w:p>
    <w:p>
      <w:pPr>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权益投资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其中：普通股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存托凭证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2</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基金投资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3</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固定收益投资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101,450,891.71</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99.81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其中：债券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101,450,891.71</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99.81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资产支持证券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4</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金融衍生品投资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其中：远期</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xml:space="preserve">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期权</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权证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5</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其中：买断式回购的买入返售金融资产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6</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货币市场工具</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7</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银行存款和结算备付金合计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192,189.48</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8</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拆放同业</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9</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资管产品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ascii="宋体" w:hAnsi="宋体" w:eastAsia="宋体" w:cs="宋体"/>
                <w:kern w:val="0"/>
                <w:szCs w:val="21"/>
              </w:rPr>
              <w:t>10</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其他资产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left"/>
              <w:rPr>
                <w:rFonts w:ascii="宋体" w:hAnsi="宋体" w:eastAsia="宋体"/>
                <w:szCs w:val="21"/>
              </w:rPr>
            </w:pPr>
          </w:p>
        </w:tc>
        <w:tc>
          <w:tcPr>
            <w:tcW w:w="3402" w:type="dxa"/>
          </w:tcPr>
          <w:p>
            <w:pPr>
              <w:jc w:val="left"/>
              <w:rPr>
                <w:rFonts w:ascii="宋体" w:hAnsi="宋体" w:eastAsia="宋体"/>
                <w:szCs w:val="21"/>
              </w:rPr>
            </w:pPr>
            <w:r>
              <w:rPr>
                <w:rFonts w:hint="eastAsia" w:ascii="宋体" w:hAnsi="宋体" w:eastAsia="宋体"/>
                <w:szCs w:val="21"/>
              </w:rPr>
              <w:t>合计</w:t>
            </w:r>
          </w:p>
        </w:tc>
        <w:tc>
          <w:tcPr>
            <w:tcW w:w="2126" w:type="dxa"/>
          </w:tcPr>
          <w:p>
            <w:pPr>
              <w:widowControl/>
              <w:jc w:val="right"/>
              <w:textAlignment w:val="top"/>
              <w:rPr>
                <w:rFonts w:ascii="宋体" w:hAnsi="宋体" w:eastAsia="宋体"/>
              </w:rPr>
            </w:pPr>
            <w:r>
              <w:rPr>
                <w:rFonts w:hint="eastAsia" w:ascii="宋体" w:hAnsi="宋体" w:eastAsia="宋体" w:cs="Times New Roman"/>
                <w:szCs w:val="21"/>
              </w:rPr>
              <w:t>101,643,081.19</w:t>
            </w:r>
          </w:p>
        </w:tc>
        <w:tc>
          <w:tcPr>
            <w:tcW w:w="2127" w:type="dxa"/>
          </w:tcPr>
          <w:p>
            <w:pPr>
              <w:widowControl/>
              <w:jc w:val="right"/>
              <w:textAlignment w:val="top"/>
              <w:rPr>
                <w:rFonts w:ascii="宋体" w:hAnsi="宋体" w:eastAsia="宋体"/>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2"/>
      </w:pPr>
      <w:r>
        <w:t>5.2.</w:t>
      </w:r>
      <w:r>
        <w:rPr>
          <w:rFonts w:hint="eastAsia"/>
        </w:rPr>
        <w:t>3期末间接投资前十项持仓资产情况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24贵资01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5,591,314.45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5.51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25黔晟国资MTN002A</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5,271,982.47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5.19</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26临商银行永续债01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5,209,804.91</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5.13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4</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24黔资01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3,972,912.00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3.91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5</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23筑城01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3,956,234.75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3.90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6</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25六轨01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2,752,659.95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2.71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7</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25六城轨</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2,707,684.88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2.67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8</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25青岛农商行永续债01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2,706,907.04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2.67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9</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25江苏长江商行二级资本债01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2,671,725.66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2.63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10</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25贵安03</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2,663,845.17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2.62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37,505,071.28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36.94</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1"/>
        <w:rPr>
          <w:b/>
        </w:rPr>
      </w:pPr>
      <w:r>
        <w:rPr>
          <w:b/>
        </w:rPr>
        <w:t>5.3</w:t>
      </w:r>
      <w:r>
        <w:rPr>
          <w:rFonts w:hint="eastAsia"/>
          <w:b/>
        </w:rPr>
        <w:t>所投资非标准化债权类资产情况</w:t>
      </w:r>
    </w:p>
    <w:p>
      <w:pPr>
        <w:spacing w:before="156" w:beforeLines="50" w:after="156" w:afterLines="50" w:line="360" w:lineRule="auto"/>
        <w:rPr>
          <w:rFonts w:ascii="宋体" w:hAnsi="宋体"/>
          <w:szCs w:val="21"/>
        </w:rPr>
      </w:pPr>
      <w:r>
        <w:rPr>
          <w:rFonts w:hint="eastAsia" w:ascii="宋体" w:hAnsi="宋体"/>
          <w:szCs w:val="21"/>
        </w:rPr>
        <w:tab/>
      </w:r>
      <w:r>
        <w:rPr>
          <w:rFonts w:ascii="宋体" w:hAnsi="宋体"/>
          <w:szCs w:val="21"/>
        </w:rPr>
        <w:t>本报告期内，本理财计划未投资非标准化债权类资产。</w:t>
      </w:r>
    </w:p>
    <w:p>
      <w:pPr>
        <w:spacing w:before="156" w:beforeLines="50" w:after="156" w:afterLines="50" w:line="360" w:lineRule="auto"/>
        <w:outlineLvl w:val="1"/>
        <w:rPr>
          <w:b/>
        </w:rPr>
      </w:pPr>
      <w:r>
        <w:rPr>
          <w:b/>
        </w:rPr>
        <w:t>5.4</w:t>
      </w:r>
      <w:r>
        <w:rPr>
          <w:rFonts w:hint="eastAsia"/>
          <w:b/>
        </w:rPr>
        <w:t>投资组合的流动性风险分析</w:t>
      </w:r>
    </w:p>
    <w:p>
      <w:pPr>
        <w:spacing w:before="156" w:beforeLines="50" w:after="156" w:afterLines="50" w:line="360" w:lineRule="atLeast"/>
        <w:ind w:firstLine="420" w:firstLineChars="200"/>
        <w:rPr>
          <w:rFonts w:ascii="宋体"/>
        </w:rPr>
      </w:pPr>
      <w:r>
        <w:rPr>
          <w:rFonts w:hint="eastAsia" w:ascii="宋体"/>
        </w:rPr>
        <w:t>流动性风险是指因市场内部和外部的原因造成理财产品所持金融工具变现的难易程度，如果持有资产不能迅速变成现金，或者变现时对理财产品净值产生冲击成本，都会影响资产运作和收益水平。尤其是在资产委托人进行大额退出申请时，如果资产管理计划变现能力差，可能会产生资产管理计划财产调整的困难，导致流动性风险，从而影响资产管理计划财产收益。本产品为封闭式理财产品，资产配置主要包括现金、同业回购等货币市场工具、债券和基金等满足安全性和流动性要求的金融产品，具有较好的流动性，可变现能力较强。此外，我行在报告期内对持有债券及整体组合进行市值分析，根据市场行情调整投资方案和具体的交易策略，降低外部事件对我行投资组合的流动性风险。</w:t>
      </w:r>
    </w:p>
    <w:p>
      <w:pPr>
        <w:spacing w:before="156" w:beforeLines="50" w:after="156" w:afterLines="50" w:line="360" w:lineRule="atLeast"/>
        <w:ind w:firstLine="420" w:firstLineChars="200"/>
        <w:rPr>
          <w:rFonts w:ascii="宋体"/>
        </w:rPr>
      </w:pPr>
      <w:r>
        <w:rPr>
          <w:rFonts w:hint="eastAsia" w:ascii="宋体"/>
        </w:rPr>
        <w:t xml:space="preserve"> </w:t>
      </w:r>
    </w:p>
    <w:p>
      <w:pPr>
        <w:spacing w:before="156" w:beforeLines="50" w:after="156" w:afterLines="50" w:line="360" w:lineRule="auto"/>
        <w:jc w:val="center"/>
        <w:outlineLvl w:val="0"/>
      </w:pPr>
      <w:r>
        <w:rPr>
          <w:rFonts w:hint="eastAsia" w:ascii="宋体" w:hAnsi="宋体"/>
          <w:b/>
          <w:sz w:val="24"/>
          <w:szCs w:val="24"/>
        </w:rPr>
        <w:t>§6 关联交易情况说明</w:t>
      </w:r>
    </w:p>
    <w:p>
      <w:pPr>
        <w:spacing w:before="156" w:beforeLines="50" w:after="156" w:afterLines="50" w:line="360" w:lineRule="auto"/>
        <w:outlineLvl w:val="1"/>
      </w:pPr>
      <w:r>
        <w:rPr>
          <w:rFonts w:hint="eastAsia"/>
        </w:rPr>
        <w:t>6.1</w:t>
      </w:r>
      <w:r>
        <w:rPr>
          <w:rFonts w:hint="eastAsia" w:ascii="宋体"/>
        </w:rPr>
        <w:t>本报告期内，本计划未直接发生关联交易。</w:t>
      </w:r>
    </w:p>
    <w:p>
      <w:pPr>
        <w:rPr>
          <w:b/>
          <w:sz w:val="22"/>
        </w:rPr>
      </w:pPr>
    </w:p>
    <w:p/>
    <w:p>
      <w:pPr>
        <w:spacing w:before="156" w:beforeLines="50" w:after="156" w:afterLines="50" w:line="360" w:lineRule="auto"/>
        <w:outlineLvl w:val="1"/>
      </w:pPr>
      <w:r>
        <w:t>6.2</w:t>
      </w:r>
      <w:r>
        <w:rPr>
          <w:rFonts w:hint="eastAsia"/>
        </w:rPr>
        <w:t>本报告期末产品通过资管产品持有的关联方发行的证券</w:t>
      </w:r>
    </w:p>
    <w:p>
      <w:pPr>
        <w:ind w:left="360" w:firstLine="6720" w:firstLineChars="2800"/>
        <w:rPr>
          <w:rFonts w:ascii="宋体" w:hAnsi="宋体"/>
          <w:sz w:val="24"/>
        </w:rPr>
      </w:pPr>
      <w:r>
        <w:rPr>
          <w:rFonts w:hint="eastAsia" w:ascii="宋体" w:hAnsi="宋体"/>
          <w:sz w:val="24"/>
        </w:rPr>
        <w:t>单位：元</w:t>
      </w:r>
    </w:p>
    <w:tbl>
      <w:tblPr>
        <w:tblStyle w:val="7"/>
        <w:tblW w:w="8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074"/>
        <w:gridCol w:w="2074"/>
        <w:gridCol w:w="2074"/>
        <w:gridCol w:w="2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restart"/>
          </w:tcPr>
          <w:p>
            <w:pPr>
              <w:spacing w:line="720" w:lineRule="auto"/>
              <w:jc w:val="center"/>
            </w:pPr>
            <w:r>
              <w:rPr>
                <w:rFonts w:ascii="Georgia" w:hAnsi="Georgia" w:eastAsia="宋体"/>
                <w:bCs/>
                <w:sz w:val="24"/>
                <w:szCs w:val="24"/>
              </w:rPr>
              <w:t>关联方名称</w:t>
            </w:r>
          </w:p>
        </w:tc>
        <w:tc>
          <w:tcPr>
            <w:tcW w:w="6426" w:type="dxa"/>
            <w:gridSpan w:val="3"/>
          </w:tcPr>
          <w:p>
            <w:pPr>
              <w:spacing w:line="360" w:lineRule="auto"/>
              <w:jc w:val="center"/>
              <w:rPr>
                <w:rFonts w:ascii="宋体" w:hAnsi="宋体" w:eastAsia="宋体"/>
                <w:sz w:val="24"/>
              </w:rPr>
            </w:pPr>
            <w:r>
              <w:rPr>
                <w:rFonts w:hint="eastAsia" w:ascii="宋体" w:hAnsi="宋体" w:eastAsia="宋体"/>
                <w:sz w:val="24"/>
              </w:rPr>
              <w:t>本期末</w:t>
            </w:r>
          </w:p>
          <w:p>
            <w:pPr>
              <w:spacing w:line="360" w:lineRule="auto"/>
              <w:jc w:val="center"/>
            </w:pPr>
            <w:r>
              <w:rPr>
                <w:rFonts w:hint="eastAsia"/>
              </w:rPr>
              <w:t>2026年06月30日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continue"/>
          </w:tcPr>
          <w:p>
            <w:pPr>
              <w:spacing w:line="360" w:lineRule="auto"/>
            </w:pPr>
          </w:p>
        </w:tc>
        <w:tc>
          <w:tcPr>
            <w:tcW w:w="2074" w:type="dxa"/>
          </w:tcPr>
          <w:p>
            <w:pPr>
              <w:spacing w:line="360" w:lineRule="auto"/>
            </w:pPr>
            <w:r>
              <w:rPr>
                <w:rFonts w:hint="eastAsia" w:ascii="Georgia" w:hAnsi="Georgia" w:eastAsia="宋体"/>
                <w:bCs/>
                <w:sz w:val="24"/>
                <w:szCs w:val="24"/>
              </w:rPr>
              <w:t>证券代码</w:t>
            </w:r>
          </w:p>
        </w:tc>
        <w:tc>
          <w:tcPr>
            <w:tcW w:w="2074" w:type="dxa"/>
          </w:tcPr>
          <w:p>
            <w:pPr>
              <w:spacing w:line="360" w:lineRule="auto"/>
            </w:pPr>
            <w:r>
              <w:rPr>
                <w:rFonts w:hint="eastAsia" w:ascii="Georgia" w:hAnsi="Georgia" w:eastAsia="宋体"/>
                <w:bCs/>
                <w:sz w:val="24"/>
                <w:szCs w:val="24"/>
              </w:rPr>
              <w:t>证券名称</w:t>
            </w:r>
          </w:p>
        </w:tc>
        <w:tc>
          <w:tcPr>
            <w:tcW w:w="2278" w:type="dxa"/>
          </w:tcPr>
          <w:p>
            <w:pPr>
              <w:spacing w:line="360" w:lineRule="auto"/>
            </w:pPr>
            <w:r>
              <w:rPr>
                <w:rFonts w:hint="eastAsia" w:ascii="Georgia" w:hAnsi="Georgia" w:eastAsia="宋体"/>
                <w:bCs/>
                <w:sz w:val="24"/>
                <w:szCs w:val="24"/>
              </w:rPr>
              <w:t>期末余额</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115128</w:t>
            </w:r>
          </w:p>
        </w:tc>
        <w:tc>
          <w:tcPr>
            <w:tcW w:w="2074" w:type="dxa"/>
            <w:vAlign w:val="center"/>
          </w:tcPr>
          <w:p>
            <w:pPr>
              <w:spacing w:line="360" w:lineRule="auto"/>
              <w:textAlignment w:val="center"/>
            </w:pPr>
            <w:r>
              <w:rPr>
                <w:rFonts w:ascii="宋体" w:hAnsi="宋体" w:cs="宋体" w:eastAsia="宋体"/>
              </w:rPr>
              <w:t>23贵控01</w:t>
            </w:r>
          </w:p>
        </w:tc>
        <w:tc>
          <w:tcPr>
            <w:tcW w:w="2278" w:type="dxa"/>
            <w:vAlign w:val="center"/>
          </w:tcPr>
          <w:p>
            <w:pPr>
              <w:spacing w:line="360" w:lineRule="auto"/>
              <w:textAlignment w:val="center"/>
            </w:pPr>
            <w:r>
              <w:rPr>
                <w:rFonts w:ascii="宋体" w:hAnsi="宋体" w:cs="宋体" w:eastAsia="宋体"/>
              </w:rPr>
              <w:t>2,108,867.20</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245155</w:t>
            </w:r>
          </w:p>
        </w:tc>
        <w:tc>
          <w:tcPr>
            <w:tcW w:w="2074" w:type="dxa"/>
            <w:vAlign w:val="center"/>
          </w:tcPr>
          <w:p>
            <w:pPr>
              <w:spacing w:line="360" w:lineRule="auto"/>
              <w:textAlignment w:val="center"/>
            </w:pPr>
            <w:r>
              <w:rPr>
                <w:rFonts w:ascii="宋体" w:hAnsi="宋体" w:cs="宋体" w:eastAsia="宋体"/>
              </w:rPr>
              <w:t>26贵控04</w:t>
            </w:r>
          </w:p>
        </w:tc>
        <w:tc>
          <w:tcPr>
            <w:tcW w:w="2278" w:type="dxa"/>
            <w:vAlign w:val="center"/>
          </w:tcPr>
          <w:p>
            <w:pPr>
              <w:spacing w:line="360" w:lineRule="auto"/>
              <w:textAlignment w:val="center"/>
            </w:pPr>
            <w:r>
              <w:rPr>
                <w:rFonts w:ascii="宋体" w:hAnsi="宋体" w:cs="宋体" w:eastAsia="宋体"/>
              </w:rPr>
              <w:t>2,644,989.96</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245183</w:t>
            </w:r>
          </w:p>
        </w:tc>
        <w:tc>
          <w:tcPr>
            <w:tcW w:w="2074" w:type="dxa"/>
            <w:vAlign w:val="center"/>
          </w:tcPr>
          <w:p>
            <w:pPr>
              <w:spacing w:line="360" w:lineRule="auto"/>
              <w:textAlignment w:val="center"/>
            </w:pPr>
            <w:r>
              <w:rPr>
                <w:rFonts w:ascii="宋体" w:hAnsi="宋体" w:cs="宋体" w:eastAsia="宋体"/>
              </w:rPr>
              <w:t>26贵控05</w:t>
            </w:r>
          </w:p>
        </w:tc>
        <w:tc>
          <w:tcPr>
            <w:tcW w:w="2278" w:type="dxa"/>
            <w:vAlign w:val="center"/>
          </w:tcPr>
          <w:p>
            <w:pPr>
              <w:spacing w:line="360" w:lineRule="auto"/>
              <w:textAlignment w:val="center"/>
            </w:pPr>
            <w:r>
              <w:rPr>
                <w:rFonts w:ascii="宋体" w:hAnsi="宋体" w:cs="宋体" w:eastAsia="宋体"/>
              </w:rPr>
              <w:t>1,320,998.16</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115538</w:t>
            </w:r>
          </w:p>
        </w:tc>
        <w:tc>
          <w:tcPr>
            <w:tcW w:w="2074" w:type="dxa"/>
            <w:vAlign w:val="center"/>
          </w:tcPr>
          <w:p>
            <w:pPr>
              <w:spacing w:line="360" w:lineRule="auto"/>
              <w:textAlignment w:val="center"/>
            </w:pPr>
            <w:r>
              <w:rPr>
                <w:rFonts w:ascii="宋体" w:hAnsi="宋体" w:cs="宋体" w:eastAsia="宋体"/>
              </w:rPr>
              <w:t>23筑城01</w:t>
            </w:r>
          </w:p>
        </w:tc>
        <w:tc>
          <w:tcPr>
            <w:tcW w:w="2278" w:type="dxa"/>
            <w:vAlign w:val="center"/>
          </w:tcPr>
          <w:p>
            <w:pPr>
              <w:spacing w:line="360" w:lineRule="auto"/>
              <w:textAlignment w:val="center"/>
            </w:pPr>
            <w:r>
              <w:rPr>
                <w:rFonts w:ascii="宋体" w:hAnsi="宋体" w:cs="宋体" w:eastAsia="宋体"/>
              </w:rPr>
              <w:t>3,956,234.75</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102583147</w:t>
            </w:r>
          </w:p>
        </w:tc>
        <w:tc>
          <w:tcPr>
            <w:tcW w:w="2074" w:type="dxa"/>
            <w:vAlign w:val="center"/>
          </w:tcPr>
          <w:p>
            <w:pPr>
              <w:spacing w:line="360" w:lineRule="auto"/>
              <w:textAlignment w:val="center"/>
            </w:pPr>
            <w:r>
              <w:rPr>
                <w:rFonts w:ascii="宋体" w:hAnsi="宋体" w:cs="宋体" w:eastAsia="宋体"/>
              </w:rPr>
              <w:t>25贵阳工投MTN001</w:t>
            </w:r>
          </w:p>
        </w:tc>
        <w:tc>
          <w:tcPr>
            <w:tcW w:w="2278" w:type="dxa"/>
            <w:vAlign w:val="center"/>
          </w:tcPr>
          <w:p>
            <w:pPr>
              <w:spacing w:line="360" w:lineRule="auto"/>
              <w:textAlignment w:val="center"/>
            </w:pPr>
            <w:r>
              <w:rPr>
                <w:rFonts w:ascii="宋体" w:hAnsi="宋体" w:cs="宋体" w:eastAsia="宋体"/>
              </w:rPr>
              <w:t>2,426,363.62</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102583443</w:t>
            </w:r>
          </w:p>
        </w:tc>
        <w:tc>
          <w:tcPr>
            <w:tcW w:w="2074" w:type="dxa"/>
            <w:vAlign w:val="center"/>
          </w:tcPr>
          <w:p>
            <w:pPr>
              <w:spacing w:line="360" w:lineRule="auto"/>
              <w:textAlignment w:val="center"/>
            </w:pPr>
            <w:r>
              <w:rPr>
                <w:rFonts w:ascii="宋体" w:hAnsi="宋体" w:cs="宋体" w:eastAsia="宋体"/>
              </w:rPr>
              <w:t>25贵阳工投MTN002</w:t>
            </w:r>
          </w:p>
        </w:tc>
        <w:tc>
          <w:tcPr>
            <w:tcW w:w="2278" w:type="dxa"/>
            <w:vAlign w:val="center"/>
          </w:tcPr>
          <w:p>
            <w:pPr>
              <w:spacing w:line="360" w:lineRule="auto"/>
              <w:textAlignment w:val="center"/>
            </w:pPr>
            <w:r>
              <w:rPr>
                <w:rFonts w:ascii="宋体" w:hAnsi="宋体" w:cs="宋体" w:eastAsia="宋体"/>
              </w:rPr>
              <w:t>2,055,425.23</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244951</w:t>
            </w:r>
          </w:p>
        </w:tc>
        <w:tc>
          <w:tcPr>
            <w:tcW w:w="2074" w:type="dxa"/>
            <w:vAlign w:val="center"/>
          </w:tcPr>
          <w:p>
            <w:pPr>
              <w:spacing w:line="360" w:lineRule="auto"/>
              <w:textAlignment w:val="center"/>
            </w:pPr>
            <w:r>
              <w:rPr>
                <w:rFonts w:ascii="宋体" w:hAnsi="宋体" w:cs="宋体" w:eastAsia="宋体"/>
              </w:rPr>
              <w:t>26筑工01</w:t>
            </w:r>
          </w:p>
        </w:tc>
        <w:tc>
          <w:tcPr>
            <w:tcW w:w="2278" w:type="dxa"/>
            <w:vAlign w:val="center"/>
          </w:tcPr>
          <w:p>
            <w:pPr>
              <w:spacing w:line="360" w:lineRule="auto"/>
              <w:textAlignment w:val="center"/>
            </w:pPr>
            <w:r>
              <w:rPr>
                <w:rFonts w:ascii="宋体" w:hAnsi="宋体" w:cs="宋体" w:eastAsia="宋体"/>
              </w:rPr>
              <w:t>2,623,148.24</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254135</w:t>
            </w:r>
          </w:p>
        </w:tc>
        <w:tc>
          <w:tcPr>
            <w:tcW w:w="2074" w:type="dxa"/>
            <w:vAlign w:val="center"/>
          </w:tcPr>
          <w:p>
            <w:pPr>
              <w:spacing w:line="360" w:lineRule="auto"/>
              <w:textAlignment w:val="center"/>
            </w:pPr>
            <w:r>
              <w:rPr>
                <w:rFonts w:ascii="宋体" w:hAnsi="宋体" w:cs="宋体" w:eastAsia="宋体"/>
              </w:rPr>
              <w:t>24黔资01</w:t>
            </w:r>
          </w:p>
        </w:tc>
        <w:tc>
          <w:tcPr>
            <w:tcW w:w="2278" w:type="dxa"/>
            <w:vAlign w:val="center"/>
          </w:tcPr>
          <w:p>
            <w:pPr>
              <w:spacing w:line="360" w:lineRule="auto"/>
              <w:textAlignment w:val="center"/>
            </w:pPr>
            <w:r>
              <w:rPr>
                <w:rFonts w:ascii="宋体" w:hAnsi="宋体" w:cs="宋体" w:eastAsia="宋体"/>
              </w:rPr>
              <w:t>3,972,912.00</w:t>
            </w:r>
          </w:p>
        </w:tc>
      </w:tr>
      <w:tr>
        <w:trPr xsi:nil="true"/>
        <w:tc>
          <w:tcPr>
            <w:tcW w:w="2074" w:type="dxa"/>
            <w:vAlign w:val="center"/>
          </w:tcPr>
          <w:p>
            <w:pPr>
              <w:spacing w:line="360" w:lineRule="auto"/>
              <w:textAlignment w:val="center"/>
            </w:pPr>
            <w:r>
              <w:rPr>
                <w:rFonts w:ascii="宋体" w:hAnsi="宋体" w:cs="宋体" w:eastAsia="宋体"/>
              </w:rPr>
              <w:t>贵州省资产管理股份有限公司</w:t>
            </w:r>
          </w:p>
        </w:tc>
        <w:tc>
          <w:tcPr>
            <w:tcW w:w="2074" w:type="dxa"/>
            <w:vAlign w:val="center"/>
          </w:tcPr>
          <w:p>
            <w:pPr>
              <w:spacing w:line="360" w:lineRule="auto"/>
              <w:textAlignment w:val="center"/>
            </w:pPr>
            <w:r>
              <w:rPr>
                <w:rFonts w:ascii="宋体" w:hAnsi="宋体" w:cs="宋体" w:eastAsia="宋体"/>
              </w:rPr>
              <w:t>253782</w:t>
            </w:r>
          </w:p>
        </w:tc>
        <w:tc>
          <w:tcPr>
            <w:tcW w:w="2074" w:type="dxa"/>
            <w:vAlign w:val="center"/>
          </w:tcPr>
          <w:p>
            <w:pPr>
              <w:spacing w:line="360" w:lineRule="auto"/>
              <w:textAlignment w:val="center"/>
            </w:pPr>
            <w:r>
              <w:rPr>
                <w:rFonts w:ascii="宋体" w:hAnsi="宋体" w:cs="宋体" w:eastAsia="宋体"/>
              </w:rPr>
              <w:t>24贵资01</w:t>
            </w:r>
          </w:p>
        </w:tc>
        <w:tc>
          <w:tcPr>
            <w:tcW w:w="2278" w:type="dxa"/>
            <w:vAlign w:val="center"/>
          </w:tcPr>
          <w:p>
            <w:pPr>
              <w:spacing w:line="360" w:lineRule="auto"/>
              <w:textAlignment w:val="center"/>
            </w:pPr>
            <w:r>
              <w:rPr>
                <w:rFonts w:ascii="宋体" w:hAnsi="宋体" w:cs="宋体" w:eastAsia="宋体"/>
              </w:rPr>
              <w:t>5,591,314.45</w:t>
            </w:r>
          </w:p>
        </w:tc>
      </w:tr>
    </w:tbl>
    <w:p>
      <w:pPr>
        <w:spacing w:line="360" w:lineRule="auto"/>
      </w:pPr>
    </w:p>
    <w:p>
      <w:pPr>
        <w:spacing w:before="156" w:beforeLines="50" w:after="156" w:afterLines="50" w:line="360" w:lineRule="auto"/>
        <w:jc w:val="center"/>
        <w:outlineLvl w:val="0"/>
      </w:pPr>
      <w:r>
        <w:rPr>
          <w:rFonts w:hint="eastAsia" w:ascii="宋体" w:hAnsi="宋体"/>
          <w:b/>
          <w:sz w:val="24"/>
          <w:szCs w:val="24"/>
        </w:rPr>
        <w:t>§7 影响投资者决策的其他重要信息</w:t>
      </w:r>
    </w:p>
    <w:p>
      <w:pPr>
        <w:spacing w:line="360" w:lineRule="auto"/>
        <w:outlineLvl w:val="1"/>
      </w:pPr>
      <w:r>
        <w:t>7.1 影响投资者决策的其他重要信息</w:t>
      </w:r>
    </w:p>
    <w:p>
      <w:pPr>
        <w:spacing w:line="360" w:lineRule="auto"/>
      </w:pPr>
      <w:r>
        <w:t>无。</w:t>
      </w:r>
    </w:p>
    <w:p>
      <w:pPr>
        <w:spacing w:line="360" w:lineRule="auto"/>
      </w:pPr>
    </w:p>
    <w:p>
      <w:pPr>
        <w:spacing w:line="360" w:lineRule="auto"/>
        <w:outlineLvl w:val="1"/>
      </w:pPr>
      <w:r>
        <w:t>7.2其他事项。</w:t>
      </w:r>
    </w:p>
    <w:p>
      <w:pPr>
        <w:spacing w:line="360" w:lineRule="auto"/>
      </w:pPr>
      <w:r>
        <w:t>无。</w:t>
      </w: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§8 托管人报告</w:t>
      </w:r>
    </w:p>
    <w:p>
      <w:pPr>
        <w:spacing w:line="360" w:lineRule="auto"/>
        <w:ind w:right="-107" w:rightChars="-51" w:firstLine="420" w:firstLineChars="200"/>
        <w:jc w:val="left"/>
        <w:rPr>
          <w:rFonts w:ascii="宋体" w:hAnsi="宋体"/>
          <w:szCs w:val="21"/>
        </w:rPr>
      </w:pPr>
      <w:r>
        <w:rPr>
          <w:rFonts w:hint="eastAsia" w:ascii="宋体" w:hAnsi="宋体"/>
          <w:szCs w:val="21"/>
        </w:rPr>
        <w:t>中国工商银行股份有限公司具备完善的公司治理结构、内部稽核监控制度和风险控制制度，我行在履行托管职责中，严格遵守有关法律法规、托管协议的规定，尽职尽责地履行托管义务并安全保管托管资产。</w:t>
      </w:r>
    </w:p>
    <w:p>
      <w:pPr>
        <w:spacing w:line="360" w:lineRule="auto"/>
      </w:pPr>
    </w:p>
    <w:p>
      <w:pPr>
        <w:spacing w:line="360" w:lineRule="auto"/>
      </w:pPr>
    </w:p>
    <w:p>
      <w:pPr>
        <w:spacing w:line="360" w:lineRule="auto"/>
      </w:pPr>
      <w:r>
        <w:t>查阅方式网站：http://www.gynsh.com咨询电话：0851-88115057</w:t>
      </w:r>
    </w:p>
    <w:p>
      <w:pPr>
        <w:spacing w:line="360" w:lineRule="auto"/>
        <w:jc w:val="right"/>
        <w:rPr>
          <w:rFonts w:ascii="宋体" w:hAnsi="宋体"/>
          <w:szCs w:val="21"/>
        </w:rPr>
      </w:pPr>
      <w:r>
        <w:rPr>
          <w:rFonts w:hint="eastAsia" w:ascii="宋体" w:hAnsi="宋体"/>
          <w:szCs w:val="21"/>
        </w:rPr>
        <w:t>贵阳农村商业银行股份有限公司</w:t>
      </w:r>
    </w:p>
    <w:p>
      <w:pPr>
        <w:spacing w:line="360" w:lineRule="auto"/>
        <w:jc w:val="right"/>
        <w:rPr>
          <w:rFonts w:ascii="宋体" w:hAnsi="宋体"/>
          <w:szCs w:val="21"/>
        </w:rPr>
      </w:pPr>
      <w:r>
        <w:rPr>
          <w:rFonts w:hint="eastAsia" w:ascii="宋体" w:hAnsi="宋体"/>
          <w:szCs w:val="21"/>
        </w:rPr>
        <w:t>2026年07月02日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Georgia">
    <w:panose1 w:val="02040502050405020303"/>
    <w:charset w:val="00"/>
    <w:family w:val="roman"/>
    <w:pitch w:val="default"/>
    <w:sig w:usb0="00000287" w:usb1="00000000" w:usb2="00000000" w:usb3="00000000" w:csb0="2000009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88F"/>
    <w:rsid w:val="0011004A"/>
    <w:rsid w:val="00121A64"/>
    <w:rsid w:val="00172DE5"/>
    <w:rsid w:val="00174A79"/>
    <w:rsid w:val="002270AF"/>
    <w:rsid w:val="002D34B8"/>
    <w:rsid w:val="002D6BCE"/>
    <w:rsid w:val="003B383E"/>
    <w:rsid w:val="004F70CA"/>
    <w:rsid w:val="0060722D"/>
    <w:rsid w:val="00670D84"/>
    <w:rsid w:val="007501E4"/>
    <w:rsid w:val="007C33AB"/>
    <w:rsid w:val="008049EE"/>
    <w:rsid w:val="00846F46"/>
    <w:rsid w:val="00866DDD"/>
    <w:rsid w:val="0088388F"/>
    <w:rsid w:val="00902762"/>
    <w:rsid w:val="009A7C29"/>
    <w:rsid w:val="009F4BCA"/>
    <w:rsid w:val="00A8773D"/>
    <w:rsid w:val="00B46F61"/>
    <w:rsid w:val="00BB457F"/>
    <w:rsid w:val="00BF49B7"/>
    <w:rsid w:val="00D953F6"/>
    <w:rsid w:val="00ED6F57"/>
    <w:rsid w:val="00EF23D0"/>
    <w:rsid w:val="00F23CCA"/>
    <w:rsid w:val="00F86982"/>
    <w:rsid w:val="5B387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semiHidden/>
    <w:unhideWhenUsed/>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sz w:val="18"/>
      <w:szCs w:val="18"/>
      <w14:ligatures w14:val="standardContextual"/>
    </w:rPr>
  </w:style>
  <w:style w:type="character" w:customStyle="1" w:styleId="13">
    <w:name w:val="批注文字 Char"/>
    <w:basedOn w:val="8"/>
    <w:link w:val="2"/>
    <w:semiHidden/>
    <w:uiPriority w:val="99"/>
    <w:rPr>
      <w14:ligatures w14:val="standardContextual"/>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10</Pages>
  <Words>721</Words>
  <Characters>4115</Characters>
  <Lines>34</Lines>
  <Paragraphs>9</Paragraphs>
  <TotalTime>73</TotalTime>
  <ScaleCrop>false</ScaleCrop>
  <LinksUpToDate>false</LinksUpToDate>
  <CharactersWithSpaces>4827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2026-01-22T06:13:00Z</dcterms:created>
  <dc:creator>Windows User</dc:creator>
  <cp:lastModifiedBy>100166-申跃辉</cp:lastModifiedBy>
  <dcterms:modified xsi:type="dcterms:W3CDTF">2026-07-15T11:45:54Z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