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8232C">
      <w:pPr>
        <w:ind w:right="-26" w:rightChars="-12"/>
        <w:jc w:val="center"/>
        <w:rPr>
          <w:rFonts w:hint="default" w:ascii="方正小标宋_GBK" w:hAnsi="方正小标宋_GBK" w:eastAsia="方正小标宋_GBK" w:cs="方正小标宋_GBK"/>
          <w:w w:val="105"/>
          <w:sz w:val="36"/>
          <w:szCs w:val="30"/>
          <w:u w:val="single"/>
          <w:lang w:val="en-US"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1年23期</w:t>
      </w:r>
    </w:p>
    <w:p w14:paraId="4779F11B">
      <w:pPr>
        <w:ind w:right="-26" w:rightChars="-12"/>
        <w:jc w:val="center"/>
        <w:rPr>
          <w:rFonts w:hint="eastAsia" w:ascii="方正小标宋_GBK" w:hAnsi="方正小标宋_GBK" w:eastAsia="方正小标宋_GBK" w:cs="方正小标宋_GBK"/>
          <w:w w:val="105"/>
          <w:sz w:val="36"/>
          <w:szCs w:val="30"/>
          <w:lang w:eastAsia="zh-CN"/>
        </w:rPr>
      </w:pPr>
      <w:r>
        <w:rPr>
          <w:rFonts w:hint="eastAsia" w:ascii="方正小标宋_GBK" w:hAnsi="方正小标宋_GBK" w:eastAsia="方正小标宋_GBK" w:cs="方正小标宋_GBK"/>
          <w:w w:val="105"/>
          <w:sz w:val="36"/>
          <w:szCs w:val="30"/>
          <w:lang w:eastAsia="zh-CN"/>
        </w:rPr>
        <w:t>理财产品说明书</w:t>
      </w:r>
    </w:p>
    <w:p w14:paraId="08DC4F78">
      <w:pPr>
        <w:wordWrap w:val="0"/>
        <w:ind w:right="-26" w:rightChars="-12"/>
        <w:jc w:val="right"/>
        <w:rPr>
          <w:rFonts w:hint="default" w:ascii="Times New Roman" w:hAnsi="Times New Roman" w:eastAsia="方正小标宋简体" w:cs="Times New Roman"/>
          <w:w w:val="105"/>
          <w:sz w:val="36"/>
          <w:szCs w:val="30"/>
          <w:lang w:val="en-US" w:eastAsia="zh-CN"/>
        </w:rPr>
      </w:pPr>
      <w:r>
        <w:rPr>
          <w:rFonts w:hint="eastAsia" w:ascii="仿宋_GB2312" w:hAnsi="Times New Roman" w:eastAsia="仿宋_GB2312" w:cs="Times New Roman"/>
          <w:color w:val="auto"/>
          <w:w w:val="100"/>
          <w:sz w:val="20"/>
          <w:szCs w:val="22"/>
          <w:highlight w:val="none"/>
          <w:lang w:val="en-US" w:eastAsia="zh-CN"/>
        </w:rPr>
        <w:t>版本号：V2.0-2026.02</w:t>
      </w:r>
    </w:p>
    <w:p w14:paraId="01B6DABE">
      <w:pPr>
        <w:wordWrap w:val="0"/>
        <w:ind w:right="-26" w:rightChars="-12"/>
        <w:jc w:val="right"/>
        <w:rPr>
          <w:rFonts w:hint="default" w:ascii="Times New Roman" w:hAnsi="Times New Roman" w:eastAsia="方正小标宋简体" w:cs="Times New Roman"/>
          <w:w w:val="105"/>
          <w:sz w:val="36"/>
          <w:szCs w:val="30"/>
          <w:lang w:val="en-US" w:eastAsia="zh-CN"/>
        </w:rPr>
      </w:pPr>
    </w:p>
    <w:p w14:paraId="38AAC789">
      <w:pPr>
        <w:ind w:right="-6519" w:rightChars="-2963" w:firstLine="480" w:firstLineChars="200"/>
        <w:rPr>
          <w:rFonts w:ascii="Times New Roman" w:hAnsi="黑体" w:eastAsia="黑体" w:cs="Times New Roman"/>
          <w:sz w:val="24"/>
          <w:szCs w:val="24"/>
          <w:lang w:eastAsia="zh-CN"/>
        </w:rPr>
      </w:pPr>
    </w:p>
    <w:p w14:paraId="79865A61">
      <w:pPr>
        <w:pStyle w:val="9"/>
        <w:spacing w:line="240" w:lineRule="auto"/>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53F3F16A">
      <w:pPr>
        <w:numPr>
          <w:ilvl w:val="0"/>
          <w:numId w:val="1"/>
        </w:numPr>
        <w:spacing w:line="240" w:lineRule="auto"/>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r>
        <w:rPr>
          <w:rFonts w:ascii="仿宋_GB2312" w:hAnsi="Times New Roman" w:eastAsia="仿宋_GB2312" w:cs="Times New Roman"/>
          <w:b/>
          <w:bCs/>
          <w:sz w:val="20"/>
          <w:lang w:eastAsia="zh-CN"/>
        </w:rPr>
        <w:t xml:space="preserve"> </w:t>
      </w:r>
    </w:p>
    <w:p w14:paraId="62DD4EEB">
      <w:pPr>
        <w:pStyle w:val="9"/>
        <w:spacing w:line="240" w:lineRule="auto"/>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5EA499C2">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 xml:space="preserve">理财产品的信息披露情况，及时获取相关信息。 </w:t>
      </w:r>
    </w:p>
    <w:p w14:paraId="66E761FB">
      <w:pPr>
        <w:pStyle w:val="9"/>
        <w:spacing w:line="240" w:lineRule="auto"/>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12215AE4">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6A275386">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5339B143">
      <w:pPr>
        <w:pStyle w:val="9"/>
        <w:spacing w:line="240" w:lineRule="auto"/>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33C5FD41">
      <w:pPr>
        <w:spacing w:line="240" w:lineRule="auto"/>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5E91052E">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6160BD3D">
      <w:pPr>
        <w:keepNext w:val="0"/>
        <w:keepLines w:val="0"/>
        <w:pageBreakBefore w:val="0"/>
        <w:widowControl/>
        <w:suppressLineNumbers w:val="0"/>
        <w:kinsoku/>
        <w:wordWrap w:val="0"/>
        <w:overflowPunct/>
        <w:topLinePunct w:val="0"/>
        <w:autoSpaceDE/>
        <w:autoSpaceDN/>
        <w:bidi w:val="0"/>
        <w:adjustRightInd/>
        <w:snapToGrid/>
        <w:spacing w:line="240" w:lineRule="auto"/>
        <w:ind w:firstLine="402" w:firstLineChars="200"/>
        <w:jc w:val="left"/>
        <w:textAlignment w:val="auto"/>
        <w:rPr>
          <w:rFonts w:hint="eastAsia" w:ascii="仿宋_GB2312" w:hAnsi="仿宋_GB2312" w:eastAsia="仿宋_GB2312" w:cs="仿宋_GB2312"/>
          <w:b/>
          <w:bCs/>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 xml:space="preserve">指贵阳农村商业银行股份有限公司，官方网站为（https://www.gznxbank.com/html/2010000/index.html）。 </w:t>
      </w:r>
    </w:p>
    <w:p w14:paraId="76CEEA99">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092F4247">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75B13DC7">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08AC2C3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49C26177">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427803D8">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6EA76233">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22C878B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598478C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5A1FF5D9">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7654D55C">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20FE237B">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14.赎回宽限期：指对未在开放期赎回的存量投资者另行开放的可申请赎回的时间段。</w:t>
      </w:r>
    </w:p>
    <w:p w14:paraId="00DDBA38">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5231E3C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超值宝定开1年23期理财产品</w:t>
      </w:r>
      <w:r>
        <w:rPr>
          <w:rFonts w:hint="eastAsia" w:ascii="仿宋_GB2312" w:hAnsi="仿宋_GB2312" w:eastAsia="仿宋_GB2312" w:cs="仿宋_GB2312"/>
          <w:color w:val="auto"/>
          <w:kern w:val="0"/>
          <w:sz w:val="20"/>
          <w:szCs w:val="20"/>
          <w:highlight w:val="none"/>
          <w:lang w:val="en-US" w:eastAsia="zh-CN" w:bidi="ar"/>
        </w:rPr>
        <w:t>。</w:t>
      </w:r>
    </w:p>
    <w:p w14:paraId="38894E4A">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4E1FEF8F">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746321B9">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指理财产品单位净值加上成立以来每份累计分配收益的金额，累计净值只作为一个参照值存在，不代表未来投资收益。</w:t>
      </w:r>
    </w:p>
    <w:p w14:paraId="3F07C3D3">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20.认购：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062510D5">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18E67255">
      <w:pPr>
        <w:keepNext w:val="0"/>
        <w:keepLines w:val="0"/>
        <w:widowControl/>
        <w:suppressLineNumbers w:val="0"/>
        <w:spacing w:line="240" w:lineRule="auto"/>
        <w:ind w:firstLine="402" w:firstLineChars="200"/>
        <w:jc w:val="left"/>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22.赎回：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3195E42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 xml:space="preserve">23.巨额赎回: </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46382961">
      <w:pPr>
        <w:widowControl/>
        <w:spacing w:line="240" w:lineRule="auto"/>
        <w:ind w:left="10" w:firstLine="402" w:firstLineChars="200"/>
        <w:jc w:val="left"/>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24.</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2812A417">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0"/>
        <w:tblW w:w="8699" w:type="dxa"/>
        <w:tblInd w:w="105" w:type="dxa"/>
        <w:tblLayout w:type="fixed"/>
        <w:tblCellMar>
          <w:top w:w="0" w:type="dxa"/>
          <w:left w:w="0" w:type="dxa"/>
          <w:bottom w:w="0" w:type="dxa"/>
          <w:right w:w="0" w:type="dxa"/>
        </w:tblCellMar>
      </w:tblPr>
      <w:tblGrid>
        <w:gridCol w:w="1753"/>
        <w:gridCol w:w="6946"/>
      </w:tblGrid>
      <w:tr w14:paraId="70DB3691">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21C79504">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7B8D9FA6">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1年23</w:t>
            </w:r>
            <w:r>
              <w:rPr>
                <w:rFonts w:hint="eastAsia" w:ascii="仿宋_GB2312" w:eastAsia="仿宋_GB2312" w:cs="Times New Roman" w:hAnsiTheme="minorEastAsia"/>
                <w:b/>
                <w:bCs/>
                <w:sz w:val="20"/>
                <w:szCs w:val="18"/>
                <w:lang w:eastAsia="zh-CN"/>
              </w:rPr>
              <w:t>期理财产品</w:t>
            </w:r>
          </w:p>
        </w:tc>
      </w:tr>
      <w:tr w14:paraId="02A16E8B">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5B48774">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w:t>
            </w:r>
            <w:r>
              <w:rPr>
                <w:rFonts w:hint="eastAsia" w:ascii="仿宋_GB2312" w:eastAsia="仿宋_GB2312" w:cs="Times New Roman" w:hAnsiTheme="minorEastAsia"/>
                <w:sz w:val="20"/>
                <w:szCs w:val="18"/>
                <w:lang w:val="en-US" w:eastAsia="zh-CN"/>
              </w:rPr>
              <w:t>代码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2E759E71">
            <w:pPr>
              <w:pStyle w:val="9"/>
              <w:ind w:left="10" w:leftChars="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GRCB0220240</w:t>
            </w:r>
            <w:r>
              <w:rPr>
                <w:rFonts w:hint="eastAsia" w:ascii="仿宋_GB2312" w:hAnsi="Times New Roman" w:eastAsia="仿宋_GB2312" w:cs="Times New Roman"/>
                <w:sz w:val="20"/>
                <w:lang w:val="en-US" w:eastAsia="zh-CN"/>
              </w:rPr>
              <w:t>35</w:t>
            </w:r>
          </w:p>
        </w:tc>
      </w:tr>
      <w:tr w14:paraId="4070CC58">
        <w:tblPrEx>
          <w:tblCellMar>
            <w:top w:w="0" w:type="dxa"/>
            <w:left w:w="0" w:type="dxa"/>
            <w:bottom w:w="0" w:type="dxa"/>
            <w:right w:w="0" w:type="dxa"/>
          </w:tblCellMar>
        </w:tblPrEx>
        <w:trPr>
          <w:trHeight w:val="79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685655B">
            <w:pPr>
              <w:pStyle w:val="9"/>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6686FCAB">
            <w:pPr>
              <w:pStyle w:val="9"/>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C11883240000</w:t>
            </w:r>
            <w:r>
              <w:rPr>
                <w:rFonts w:hint="eastAsia" w:ascii="仿宋_GB2312" w:hAnsi="Times New Roman" w:eastAsia="仿宋_GB2312" w:cs="Times New Roman"/>
                <w:sz w:val="20"/>
                <w:lang w:val="en-US" w:eastAsia="zh-CN"/>
              </w:rPr>
              <w:t>39</w:t>
            </w:r>
          </w:p>
          <w:p w14:paraId="376F6345">
            <w:pPr>
              <w:pStyle w:val="9"/>
              <w:ind w:left="10" w:leftChars="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49CE6D50">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824315">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5D37E5F0">
            <w:pPr>
              <w:pStyle w:val="9"/>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59CEF81F">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E1ADCE7">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162AAB67">
            <w:pPr>
              <w:pStyle w:val="9"/>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1156BBC1">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3661AEE">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BB7ADA">
            <w:pPr>
              <w:pStyle w:val="9"/>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2B90EDE9">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9337935">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19D1CF0D">
            <w:pPr>
              <w:pStyle w:val="9"/>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6EA4BF0D">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CEFD819">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23FEDDAF">
            <w:pPr>
              <w:pStyle w:val="9"/>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682B4B31">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1284C2F">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2DF444D0">
            <w:pPr>
              <w:pStyle w:val="9"/>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0EADC82D">
            <w:pPr>
              <w:pStyle w:val="9"/>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4EE6F923">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6A0E05">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49CA38BA">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56C7CA63">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6CC2E087">
            <w:pPr>
              <w:pStyle w:val="9"/>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3E39FAD9">
            <w:pPr>
              <w:pStyle w:val="9"/>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5214DC4C">
            <w:pPr>
              <w:pStyle w:val="9"/>
              <w:jc w:val="center"/>
              <w:rPr>
                <w:rFonts w:hint="eastAsia" w:ascii="仿宋_GB2312" w:hAnsi="Times New Roman" w:eastAsia="仿宋_GB2312" w:cs="Times New Roman"/>
                <w:sz w:val="20"/>
                <w:szCs w:val="18"/>
                <w:u w:val="single"/>
                <w:lang w:val="en-US" w:eastAsia="zh-CN"/>
              </w:rPr>
            </w:pPr>
          </w:p>
          <w:p w14:paraId="4FC37B74">
            <w:pPr>
              <w:pStyle w:val="9"/>
              <w:jc w:val="center"/>
              <w:rPr>
                <w:rFonts w:hint="default" w:ascii="仿宋_GB2312" w:hAnsi="Times New Roman" w:eastAsia="仿宋_GB2312" w:cs="Times New Roman"/>
                <w:sz w:val="20"/>
                <w:szCs w:val="18"/>
                <w:u w:val="single"/>
                <w:lang w:val="en-US" w:eastAsia="zh-CN"/>
              </w:rPr>
            </w:pPr>
          </w:p>
        </w:tc>
      </w:tr>
      <w:tr w14:paraId="3AE59A42">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6AAC89AE">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4DE71BEA">
            <w:pPr>
              <w:pStyle w:val="9"/>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02A9F509">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48F84EEA">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69C308EC">
            <w:pPr>
              <w:pStyle w:val="9"/>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283C3C0D">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73570CD9">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204E3B47">
            <w:pPr>
              <w:pStyle w:val="9"/>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50000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885DA72">
            <w:pPr>
              <w:pStyle w:val="9"/>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sz w:val="20"/>
                <w:szCs w:val="18"/>
                <w:highlight w:val="none"/>
                <w:lang w:eastAsia="zh-CN"/>
              </w:rPr>
              <w:t>可</w:t>
            </w:r>
            <w:r>
              <w:rPr>
                <w:rFonts w:hint="eastAsia" w:ascii="仿宋_GB2312" w:eastAsia="仿宋_GB2312" w:cs="Times New Roman" w:hAnsiTheme="minorEastAsia"/>
                <w:color w:val="auto"/>
                <w:sz w:val="20"/>
                <w:szCs w:val="18"/>
                <w:highlight w:val="none"/>
                <w:lang w:val="en-US" w:eastAsia="zh-CN"/>
              </w:rPr>
              <w:t>根据市场情况等调整产品规模上下限。</w:t>
            </w:r>
          </w:p>
        </w:tc>
      </w:tr>
      <w:tr w14:paraId="2FA6EA15">
        <w:tblPrEx>
          <w:tblCellMar>
            <w:top w:w="0" w:type="dxa"/>
            <w:left w:w="0" w:type="dxa"/>
            <w:bottom w:w="0" w:type="dxa"/>
            <w:right w:w="0" w:type="dxa"/>
          </w:tblCellMar>
        </w:tblPrEx>
        <w:trPr>
          <w:trHeight w:val="353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3E93D82">
            <w:pPr>
              <w:pStyle w:val="9"/>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6BFB28FF">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2.3</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3.3</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C4F993A">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48E470AC">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w:t>
            </w:r>
          </w:p>
          <w:p w14:paraId="49FC307E">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bCs/>
                <w:color w:val="auto"/>
                <w:sz w:val="20"/>
                <w:szCs w:val="20"/>
                <w:highlight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w:t>
            </w:r>
            <w:r>
              <w:rPr>
                <w:rFonts w:hint="eastAsia" w:ascii="仿宋_GB2312" w:hAnsi="仿宋_GB2312" w:eastAsia="仿宋_GB2312" w:cs="仿宋_GB2312"/>
                <w:b w:val="0"/>
                <w:bCs w:val="0"/>
                <w:color w:val="auto"/>
                <w:sz w:val="20"/>
                <w:szCs w:val="20"/>
                <w:highlight w:val="none"/>
                <w:lang w:val="en-US" w:eastAsia="zh-CN"/>
              </w:rPr>
              <w:t>进行公告（公告方式为贵阳农商银行官方网站等渠道）</w:t>
            </w:r>
            <w:r>
              <w:rPr>
                <w:rFonts w:hint="eastAsia" w:ascii="仿宋_GB2312" w:eastAsia="仿宋_GB2312" w:cs="Times New Roman" w:hAnsiTheme="minorEastAsia"/>
                <w:b w:val="0"/>
                <w:bCs w:val="0"/>
                <w:sz w:val="20"/>
                <w:szCs w:val="18"/>
                <w:lang w:val="en-US" w:eastAsia="zh-CN"/>
              </w:rPr>
              <w:t>。</w:t>
            </w:r>
          </w:p>
          <w:p w14:paraId="5777AE3F">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 xml:space="preserve">承诺。 </w:t>
            </w:r>
          </w:p>
        </w:tc>
      </w:tr>
      <w:tr w14:paraId="3199B535">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EE1171D">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1DEFD198">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286A22F4">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0E55430">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认/申购金额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3C8B4B10">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元的整数倍递增</w:t>
            </w:r>
          </w:p>
        </w:tc>
      </w:tr>
      <w:tr w14:paraId="7A243D57">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43349C5">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0F1CA490">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sz w:val="20"/>
                <w:szCs w:val="18"/>
                <w:lang w:val="en-US" w:eastAsia="zh-CN"/>
              </w:rPr>
              <w:t>万份</w:t>
            </w:r>
            <w:r>
              <w:rPr>
                <w:rFonts w:hint="eastAsia" w:ascii="仿宋_GB2312" w:eastAsia="仿宋_GB2312" w:cs="Times New Roman" w:hAnsiTheme="minorEastAsia"/>
                <w:sz w:val="20"/>
                <w:szCs w:val="18"/>
                <w:lang w:eastAsia="zh-CN"/>
              </w:rPr>
              <w:t xml:space="preserve"> </w:t>
            </w:r>
          </w:p>
        </w:tc>
      </w:tr>
      <w:tr w14:paraId="224C369F">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07FA48F">
            <w:pPr>
              <w:pStyle w:val="9"/>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48FB0016">
            <w:pPr>
              <w:pStyle w:val="9"/>
              <w:ind w:left="11" w:leftChars="0"/>
              <w:jc w:val="left"/>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w:t>
            </w: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w:t>
            </w:r>
            <w:r>
              <w:rPr>
                <w:rFonts w:hint="eastAsia" w:ascii="仿宋_GB2312" w:hAnsi="Times New Roman" w:eastAsia="仿宋_GB2312" w:cs="Times New Roman"/>
                <w:sz w:val="20"/>
                <w:szCs w:val="18"/>
                <w:lang w:val="en-US" w:eastAsia="zh-CN"/>
              </w:rPr>
              <w:t>金额</w:t>
            </w:r>
            <w:r>
              <w:rPr>
                <w:rFonts w:hint="eastAsia" w:ascii="仿宋_GB2312" w:hAnsi="Times New Roman" w:eastAsia="仿宋_GB2312" w:cs="Times New Roman"/>
                <w:sz w:val="20"/>
                <w:szCs w:val="18"/>
                <w:lang w:eastAsia="zh-CN"/>
              </w:rPr>
              <w:t>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eastAsia="仿宋_GB2312" w:cs="Times New Roman" w:hAnsiTheme="minorEastAsia"/>
                <w:sz w:val="20"/>
                <w:szCs w:val="18"/>
                <w:lang w:val="en-US" w:eastAsia="zh-CN"/>
              </w:rPr>
              <w:t>将</w:t>
            </w:r>
            <w:r>
              <w:rPr>
                <w:rFonts w:hint="eastAsia" w:ascii="仿宋_GB2312" w:hAnsi="Times New Roman" w:eastAsia="仿宋_GB2312" w:cs="Times New Roman"/>
                <w:sz w:val="20"/>
                <w:szCs w:val="18"/>
                <w:lang w:eastAsia="zh-CN"/>
              </w:rPr>
              <w:t>根据实际情况限制</w:t>
            </w:r>
            <w:r>
              <w:rPr>
                <w:rFonts w:hint="eastAsia" w:ascii="仿宋_GB2312" w:hAnsi="Times New Roman" w:eastAsia="仿宋_GB2312" w:cs="Times New Roman"/>
                <w:sz w:val="20"/>
                <w:szCs w:val="18"/>
                <w:highlight w:val="none"/>
                <w:lang w:val="en-US" w:eastAsia="zh-CN"/>
              </w:rPr>
              <w:t>单个投资者认/</w:t>
            </w:r>
            <w:r>
              <w:rPr>
                <w:rFonts w:hint="eastAsia" w:ascii="仿宋_GB2312" w:hAnsi="Times New Roman" w:eastAsia="仿宋_GB2312" w:cs="Times New Roman"/>
                <w:sz w:val="20"/>
                <w:szCs w:val="18"/>
                <w:lang w:eastAsia="zh-CN"/>
              </w:rPr>
              <w:t>申购。</w:t>
            </w:r>
          </w:p>
        </w:tc>
      </w:tr>
      <w:tr w14:paraId="0CF1F6C2">
        <w:tblPrEx>
          <w:tblCellMar>
            <w:top w:w="0" w:type="dxa"/>
            <w:left w:w="0" w:type="dxa"/>
            <w:bottom w:w="0" w:type="dxa"/>
            <w:right w:w="0" w:type="dxa"/>
          </w:tblCellMar>
        </w:tblPrEx>
        <w:trPr>
          <w:trHeight w:val="10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AD332AE">
            <w:pPr>
              <w:pStyle w:val="9"/>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030529A4">
            <w:pPr>
              <w:pStyle w:val="9"/>
              <w:ind w:left="26"/>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7</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sz w:val="20"/>
                <w:szCs w:val="18"/>
                <w:u w:val="none"/>
                <w:lang w:val="en-US" w:eastAsia="zh-CN"/>
              </w:rPr>
              <w:t>1</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7</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sz w:val="20"/>
                <w:szCs w:val="18"/>
                <w:u w:val="none"/>
                <w:lang w:val="en-US" w:eastAsia="zh-CN"/>
              </w:rPr>
              <w:t>2</w:t>
            </w:r>
            <w:r>
              <w:rPr>
                <w:rFonts w:hint="eastAsia" w:ascii="仿宋_GB2312" w:hAnsi="Times New Roman" w:eastAsia="仿宋_GB2312" w:cs="Times New Roman"/>
                <w:b/>
                <w:bCs/>
                <w:sz w:val="20"/>
                <w:szCs w:val="18"/>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16:59</w:t>
            </w:r>
          </w:p>
          <w:p w14:paraId="606CF3AC">
            <w:pPr>
              <w:pStyle w:val="9"/>
              <w:ind w:left="26" w:leftChars="0"/>
              <w:jc w:val="both"/>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1ACF3C12">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BD6A3DF">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60E1D898">
            <w:pPr>
              <w:pStyle w:val="9"/>
              <w:ind w:left="2123" w:leftChars="0" w:right="41" w:rightChars="0" w:hanging="2069" w:firstLineChars="0"/>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lang w:eastAsia="zh-CN"/>
              </w:rPr>
              <w:t>年，每个封闭期运作天数按照实际天数计算</w:t>
            </w:r>
          </w:p>
        </w:tc>
      </w:tr>
      <w:tr w14:paraId="54648E0D">
        <w:tblPrEx>
          <w:tblCellMar>
            <w:top w:w="0" w:type="dxa"/>
            <w:left w:w="0" w:type="dxa"/>
            <w:bottom w:w="0" w:type="dxa"/>
            <w:right w:w="0" w:type="dxa"/>
          </w:tblCellMar>
        </w:tblPrEx>
        <w:trPr>
          <w:trHeight w:val="170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70374B6">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52A22D31">
            <w:pPr>
              <w:pStyle w:val="9"/>
              <w:ind w:left="26"/>
              <w:jc w:val="both"/>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7</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sz w:val="20"/>
                <w:szCs w:val="18"/>
                <w:u w:val="none"/>
                <w:lang w:val="en-US" w:eastAsia="zh-CN"/>
              </w:rPr>
              <w:t>1</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7</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sz w:val="20"/>
                <w:szCs w:val="18"/>
                <w:u w:val="none"/>
                <w:lang w:val="en-US" w:eastAsia="zh-CN"/>
              </w:rPr>
              <w:t>2</w:t>
            </w:r>
            <w:r>
              <w:rPr>
                <w:rFonts w:hint="eastAsia" w:ascii="仿宋_GB2312" w:hAnsi="Times New Roman" w:eastAsia="仿宋_GB2312" w:cs="Times New Roman"/>
                <w:b/>
                <w:bCs/>
                <w:sz w:val="20"/>
                <w:szCs w:val="18"/>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6C82076B">
            <w:pPr>
              <w:pStyle w:val="9"/>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w:t>
            </w:r>
            <w:r>
              <w:rPr>
                <w:rFonts w:hint="eastAsia" w:ascii="仿宋_GB2312" w:hAnsi="Times New Roman" w:eastAsia="仿宋_GB2312" w:cs="Times New Roman"/>
                <w:sz w:val="20"/>
                <w:szCs w:val="18"/>
                <w:lang w:val="en-US" w:eastAsia="zh-CN"/>
              </w:rPr>
              <w:t>如</w:t>
            </w:r>
            <w:r>
              <w:rPr>
                <w:rFonts w:hint="eastAsia" w:ascii="仿宋_GB2312" w:hAnsi="Times New Roman" w:eastAsia="仿宋_GB2312" w:cs="Times New Roman"/>
                <w:sz w:val="20"/>
                <w:szCs w:val="18"/>
                <w:lang w:eastAsia="zh-CN"/>
              </w:rPr>
              <w:t>有调整以贵阳农商银行官方公告为准（</w:t>
            </w:r>
            <w:r>
              <w:rPr>
                <w:rFonts w:hint="eastAsia" w:ascii="仿宋_GB2312" w:hAnsi="Times New Roman" w:eastAsia="仿宋_GB2312" w:cs="Times New Roman"/>
                <w:sz w:val="20"/>
                <w:szCs w:val="18"/>
                <w:lang w:val="en-US" w:eastAsia="zh-CN"/>
              </w:rPr>
              <w:t>调整公告于每一个开放期前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hAnsi="Times New Roman" w:eastAsia="仿宋_GB2312" w:cs="Times New Roman"/>
                <w:sz w:val="20"/>
                <w:szCs w:val="18"/>
                <w:lang w:val="en-US" w:eastAsia="zh-CN"/>
              </w:rPr>
              <w:t>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47CAB83C">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A5081F5">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FE4282">
            <w:pPr>
              <w:pStyle w:val="9"/>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7</w:t>
            </w:r>
            <w:r>
              <w:rPr>
                <w:rFonts w:hint="eastAsia" w:ascii="仿宋_GB2312" w:hAnsi="Times New Roman" w:eastAsia="仿宋_GB2312" w:cs="Times New Roman"/>
                <w:sz w:val="20"/>
                <w:szCs w:val="18"/>
                <w:u w:val="none"/>
                <w:lang w:val="en-US" w:eastAsia="zh-CN"/>
              </w:rPr>
              <w:t>月2</w:t>
            </w:r>
            <w:bookmarkStart w:id="0" w:name="_GoBack"/>
            <w:bookmarkEnd w:id="0"/>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val="en-US" w:eastAsia="zh-CN"/>
              </w:rPr>
              <w:t>日</w:t>
            </w:r>
          </w:p>
          <w:p w14:paraId="233F4607">
            <w:pPr>
              <w:pStyle w:val="9"/>
              <w:ind w:left="0" w:leftChars="0" w:right="89" w:rightChars="0" w:firstLine="0" w:firstLineChars="0"/>
              <w:jc w:val="left"/>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w:t>
            </w:r>
          </w:p>
        </w:tc>
      </w:tr>
      <w:tr w14:paraId="6261DC8A">
        <w:tblPrEx>
          <w:tblCellMar>
            <w:top w:w="0" w:type="dxa"/>
            <w:left w:w="0" w:type="dxa"/>
            <w:bottom w:w="0" w:type="dxa"/>
            <w:right w:w="0" w:type="dxa"/>
          </w:tblCellMar>
        </w:tblPrEx>
        <w:trPr>
          <w:trHeight w:val="13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5F0642A">
            <w:pPr>
              <w:pStyle w:val="9"/>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48BC2CB5">
            <w:pPr>
              <w:pStyle w:val="9"/>
              <w:ind w:right="29"/>
              <w:jc w:val="both"/>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w:t>
            </w:r>
            <w:r>
              <w:rPr>
                <w:rFonts w:hint="eastAsia" w:ascii="仿宋_GB2312" w:eastAsia="仿宋_GB2312" w:cs="Times New Roman" w:hAnsiTheme="minorEastAsia"/>
                <w:b/>
                <w:bCs/>
                <w:sz w:val="20"/>
                <w:szCs w:val="18"/>
                <w:lang w:val="en-US" w:eastAsia="zh-CN"/>
              </w:rPr>
              <w:t>但</w:t>
            </w:r>
            <w:r>
              <w:rPr>
                <w:rFonts w:hint="eastAsia" w:ascii="仿宋_GB2312" w:eastAsia="仿宋_GB2312" w:cs="Times New Roman" w:hAnsiTheme="minorEastAsia"/>
                <w:b/>
                <w:bCs/>
                <w:sz w:val="20"/>
                <w:szCs w:val="18"/>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lang w:eastAsia="zh-CN"/>
              </w:rPr>
              <w:t>。</w:t>
            </w:r>
          </w:p>
          <w:p w14:paraId="01D2F300">
            <w:pPr>
              <w:pStyle w:val="9"/>
              <w:ind w:right="29" w:rightChars="0"/>
              <w:jc w:val="both"/>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0A2799DF">
        <w:tblPrEx>
          <w:tblCellMar>
            <w:top w:w="0" w:type="dxa"/>
            <w:left w:w="0" w:type="dxa"/>
            <w:bottom w:w="0" w:type="dxa"/>
            <w:right w:w="0" w:type="dxa"/>
          </w:tblCellMar>
        </w:tblPrEx>
        <w:trPr>
          <w:trHeight w:val="75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D0BCA9B">
            <w:pPr>
              <w:pStyle w:val="9"/>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7966C7C9">
            <w:pPr>
              <w:pStyle w:val="9"/>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56CE9E0D">
        <w:tblPrEx>
          <w:tblCellMar>
            <w:top w:w="0" w:type="dxa"/>
            <w:left w:w="0" w:type="dxa"/>
            <w:bottom w:w="0" w:type="dxa"/>
            <w:right w:w="0" w:type="dxa"/>
          </w:tblCellMar>
        </w:tblPrEx>
        <w:trPr>
          <w:trHeight w:val="6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7E1C05C">
            <w:pPr>
              <w:pStyle w:val="9"/>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0EAF96E8">
            <w:pPr>
              <w:pStyle w:val="9"/>
              <w:ind w:left="26"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hAnsi="Times New Roman" w:eastAsia="仿宋_GB2312" w:cs="Times New Roman"/>
                <w:sz w:val="20"/>
                <w:szCs w:val="18"/>
                <w:lang w:eastAsia="zh-CN"/>
              </w:rPr>
              <w:t>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32F140D8">
        <w:tblPrEx>
          <w:tblCellMar>
            <w:top w:w="0" w:type="dxa"/>
            <w:left w:w="0" w:type="dxa"/>
            <w:bottom w:w="0" w:type="dxa"/>
            <w:right w:w="0" w:type="dxa"/>
          </w:tblCellMar>
        </w:tblPrEx>
        <w:trPr>
          <w:trHeight w:val="43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35C0D71">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5E63F155">
            <w:pPr>
              <w:pStyle w:val="9"/>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17470F0C">
        <w:tblPrEx>
          <w:tblCellMar>
            <w:top w:w="0" w:type="dxa"/>
            <w:left w:w="0" w:type="dxa"/>
            <w:bottom w:w="0" w:type="dxa"/>
            <w:right w:w="0" w:type="dxa"/>
          </w:tblCellMar>
        </w:tblPrEx>
        <w:trPr>
          <w:trHeight w:val="81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B9C6A7A">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4397602">
            <w:pPr>
              <w:pStyle w:val="9"/>
              <w:ind w:left="0" w:leftChars="0" w:firstLine="0" w:firstLine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2AA97BFA">
        <w:tblPrEx>
          <w:tblCellMar>
            <w:top w:w="0" w:type="dxa"/>
            <w:left w:w="0" w:type="dxa"/>
            <w:bottom w:w="0" w:type="dxa"/>
            <w:right w:w="0" w:type="dxa"/>
          </w:tblCellMar>
        </w:tblPrEx>
        <w:trPr>
          <w:trHeight w:val="88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57485E8">
            <w:pPr>
              <w:pStyle w:val="9"/>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1AFE1FA4">
            <w:pPr>
              <w:pStyle w:val="9"/>
              <w:ind w:left="0" w:leftChars="0" w:firstLine="0" w:firstLineChars="0"/>
              <w:jc w:val="both"/>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585C9AF6">
        <w:tblPrEx>
          <w:tblCellMar>
            <w:top w:w="0" w:type="dxa"/>
            <w:left w:w="0" w:type="dxa"/>
            <w:bottom w:w="0" w:type="dxa"/>
            <w:right w:w="0" w:type="dxa"/>
          </w:tblCellMar>
        </w:tblPrEx>
        <w:trPr>
          <w:trHeight w:val="132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0F4DCF8">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1C20CE48">
            <w:pPr>
              <w:jc w:val="both"/>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整数倍递增。投资者申购份额采用清算日前一个工作日产品净值进行确认。</w:t>
            </w:r>
          </w:p>
        </w:tc>
      </w:tr>
      <w:tr w14:paraId="608B2E42">
        <w:tblPrEx>
          <w:tblCellMar>
            <w:top w:w="0" w:type="dxa"/>
            <w:left w:w="0" w:type="dxa"/>
            <w:bottom w:w="0" w:type="dxa"/>
            <w:right w:w="0" w:type="dxa"/>
          </w:tblCellMar>
        </w:tblPrEx>
        <w:trPr>
          <w:trHeight w:val="226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DCEC7CF">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5CEFE34D">
            <w:pPr>
              <w:pStyle w:val="9"/>
              <w:ind w:left="11"/>
              <w:jc w:val="both"/>
              <w:rPr>
                <w:rFonts w:hint="eastAsia" w:ascii="仿宋_GB2312" w:hAnsi="Times New Roman" w:eastAsia="仿宋_GB2312" w:cs="Times New Roman"/>
                <w:sz w:val="20"/>
                <w:szCs w:val="18"/>
                <w:lang w:eastAsia="zh-CN"/>
              </w:rPr>
            </w:pPr>
            <w:r>
              <w:rPr>
                <w:rFonts w:ascii="仿宋_GB2312" w:hAnsi="Times New Roman" w:eastAsia="仿宋_GB2312" w:cs="Times New Roman"/>
                <w:b/>
                <w:bCs/>
                <w:sz w:val="20"/>
                <w:szCs w:val="18"/>
                <w:lang w:eastAsia="zh-CN"/>
              </w:rPr>
              <w:t>1</w:t>
            </w:r>
            <w:r>
              <w:rPr>
                <w:rFonts w:hint="eastAsia" w:ascii="仿宋_GB2312" w:hAnsi="Times New Roman" w:eastAsia="仿宋_GB2312" w:cs="Times New Roman"/>
                <w:b/>
                <w:bCs/>
                <w:sz w:val="20"/>
                <w:szCs w:val="18"/>
                <w:lang w:eastAsia="zh-CN"/>
              </w:rPr>
              <w:t>.</w:t>
            </w:r>
            <w:r>
              <w:rPr>
                <w:rFonts w:ascii="仿宋_GB2312" w:hAnsi="Times New Roman" w:eastAsia="仿宋_GB2312" w:cs="Times New Roman"/>
                <w:b/>
                <w:bCs/>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116B0524">
            <w:pPr>
              <w:pStyle w:val="9"/>
              <w:ind w:left="11"/>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 xml:space="preserve">。 </w:t>
            </w:r>
          </w:p>
          <w:p w14:paraId="4CE4E03A">
            <w:pPr>
              <w:pStyle w:val="9"/>
              <w:ind w:left="11"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份并以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1B697D3B">
        <w:tblPrEx>
          <w:tblCellMar>
            <w:top w:w="0" w:type="dxa"/>
            <w:left w:w="0" w:type="dxa"/>
            <w:bottom w:w="0" w:type="dxa"/>
            <w:right w:w="0" w:type="dxa"/>
          </w:tblCellMar>
        </w:tblPrEx>
        <w:trPr>
          <w:trHeight w:val="548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17B9CE9">
            <w:pPr>
              <w:pStyle w:val="9"/>
              <w:jc w:val="center"/>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color w:val="auto"/>
                <w:sz w:val="20"/>
                <w:szCs w:val="18"/>
                <w:highlight w:val="none"/>
                <w:lang w:val="en-US" w:eastAsia="zh-CN"/>
              </w:rPr>
              <w:t>赎回宽限期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39506775">
            <w:pPr>
              <w:pStyle w:val="3"/>
              <w:numPr>
                <w:ilvl w:val="-1"/>
                <w:numId w:val="0"/>
              </w:numPr>
              <w:ind w:left="0" w:right="153"/>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1.赎回宽限期</w:t>
            </w:r>
          </w:p>
          <w:p w14:paraId="5007CD56">
            <w:pPr>
              <w:pStyle w:val="3"/>
              <w:numPr>
                <w:ilvl w:val="-1"/>
                <w:numId w:val="0"/>
              </w:numPr>
              <w:ind w:left="0" w:right="153"/>
              <w:rPr>
                <w:rFonts w:hint="eastAsia" w:ascii="仿宋_GB2312" w:hAnsi="Times New Roman" w:eastAsia="仿宋_GB2312" w:cs="Times New Roman"/>
                <w:b w:val="0"/>
                <w:bCs w:val="0"/>
                <w:color w:val="auto"/>
                <w:sz w:val="20"/>
                <w:szCs w:val="18"/>
                <w:highlight w:val="none"/>
                <w:lang w:eastAsia="zh-CN"/>
              </w:rPr>
            </w:pPr>
            <w:r>
              <w:rPr>
                <w:rFonts w:hint="eastAsia" w:ascii="仿宋_GB2312" w:hAnsi="Times New Roman" w:eastAsia="仿宋_GB2312" w:cs="Times New Roman"/>
                <w:b w:val="0"/>
                <w:bCs w:val="0"/>
                <w:color w:val="auto"/>
                <w:sz w:val="20"/>
                <w:szCs w:val="18"/>
                <w:highlight w:val="none"/>
                <w:lang w:val="en-US" w:eastAsia="zh-CN"/>
              </w:rPr>
              <w:t>赎回宽限期由贵阳农商银行根据开放期情况在贵阳农商银行官方网站另行通知，</w:t>
            </w:r>
            <w:r>
              <w:rPr>
                <w:rFonts w:hint="eastAsia" w:ascii="仿宋_GB2312" w:hAnsi="Times New Roman" w:eastAsia="仿宋_GB2312" w:cs="Times New Roman"/>
                <w:b w:val="0"/>
                <w:bCs w:val="0"/>
                <w:color w:val="auto"/>
                <w:sz w:val="20"/>
                <w:szCs w:val="18"/>
                <w:highlight w:val="none"/>
                <w:lang w:eastAsia="zh-CN"/>
              </w:rPr>
              <w:t>投资者可在该期间</w:t>
            </w:r>
            <w:r>
              <w:rPr>
                <w:rFonts w:hint="eastAsia" w:ascii="仿宋_GB2312" w:hAnsi="Times New Roman" w:eastAsia="仿宋_GB2312" w:cs="Times New Roman"/>
                <w:b w:val="0"/>
                <w:bCs w:val="0"/>
                <w:color w:val="auto"/>
                <w:sz w:val="20"/>
                <w:szCs w:val="18"/>
                <w:highlight w:val="none"/>
                <w:lang w:val="en-US" w:eastAsia="zh-CN"/>
              </w:rPr>
              <w:t>进行产品</w:t>
            </w:r>
            <w:r>
              <w:rPr>
                <w:rFonts w:hint="eastAsia" w:ascii="仿宋_GB2312" w:hAnsi="Times New Roman" w:eastAsia="仿宋_GB2312" w:cs="Times New Roman"/>
                <w:b w:val="0"/>
                <w:bCs w:val="0"/>
                <w:color w:val="auto"/>
                <w:sz w:val="20"/>
                <w:szCs w:val="18"/>
                <w:highlight w:val="none"/>
                <w:lang w:eastAsia="zh-CN"/>
              </w:rPr>
              <w:t>赎回，</w:t>
            </w:r>
            <w:r>
              <w:rPr>
                <w:rFonts w:hint="eastAsia" w:ascii="仿宋_GB2312" w:hAnsi="Times New Roman" w:eastAsia="仿宋_GB2312" w:cs="Times New Roman"/>
                <w:b w:val="0"/>
                <w:bCs w:val="0"/>
                <w:color w:val="auto"/>
                <w:sz w:val="20"/>
                <w:szCs w:val="18"/>
                <w:highlight w:val="none"/>
                <w:lang w:val="en-US" w:eastAsia="zh-CN"/>
              </w:rPr>
              <w:t>但不可进行申购。</w:t>
            </w:r>
            <w:r>
              <w:rPr>
                <w:rFonts w:hint="eastAsia" w:ascii="仿宋_GB2312" w:hAnsi="Times New Roman" w:eastAsia="仿宋_GB2312" w:cs="Times New Roman"/>
                <w:b w:val="0"/>
                <w:bCs w:val="0"/>
                <w:color w:val="auto"/>
                <w:sz w:val="20"/>
                <w:szCs w:val="18"/>
                <w:highlight w:val="none"/>
                <w:lang w:eastAsia="zh-CN"/>
              </w:rPr>
              <w:t>若</w:t>
            </w: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最后一日遇</w:t>
            </w:r>
            <w:r>
              <w:rPr>
                <w:rFonts w:hint="eastAsia" w:ascii="仿宋_GB2312" w:hAnsi="Times New Roman" w:eastAsia="仿宋_GB2312" w:cs="Times New Roman"/>
                <w:b w:val="0"/>
                <w:bCs w:val="0"/>
                <w:color w:val="auto"/>
                <w:sz w:val="20"/>
                <w:szCs w:val="18"/>
                <w:highlight w:val="none"/>
                <w:lang w:val="en-US" w:eastAsia="zh-CN"/>
              </w:rPr>
              <w:t>非工作日</w:t>
            </w:r>
            <w:r>
              <w:rPr>
                <w:rFonts w:hint="eastAsia" w:ascii="仿宋_GB2312" w:hAnsi="Times New Roman" w:eastAsia="仿宋_GB2312" w:cs="Times New Roman"/>
                <w:b w:val="0"/>
                <w:bCs w:val="0"/>
                <w:color w:val="auto"/>
                <w:sz w:val="20"/>
                <w:szCs w:val="18"/>
                <w:highlight w:val="none"/>
                <w:lang w:eastAsia="zh-CN"/>
              </w:rPr>
              <w:t>，则顺延至下一个工作日。</w:t>
            </w:r>
          </w:p>
          <w:p w14:paraId="18C35BC6">
            <w:pPr>
              <w:pStyle w:val="3"/>
              <w:numPr>
                <w:ilvl w:val="-1"/>
                <w:numId w:val="0"/>
              </w:numPr>
              <w:ind w:left="0" w:right="153"/>
              <w:rPr>
                <w:rFonts w:hint="eastAsia" w:ascii="仿宋_GB2312" w:eastAsia="仿宋_GB2312" w:cs="Times New Roman" w:hAnsiTheme="minorEastAsia"/>
                <w:b/>
                <w:bCs/>
                <w:color w:val="auto"/>
                <w:sz w:val="20"/>
                <w:szCs w:val="18"/>
                <w:highlight w:val="none"/>
                <w:lang w:val="en-US" w:eastAsia="zh-CN"/>
              </w:rPr>
            </w:pPr>
            <w:r>
              <w:rPr>
                <w:rFonts w:hint="eastAsia" w:ascii="仿宋_GB2312" w:eastAsia="仿宋_GB2312" w:cs="Times New Roman" w:hAnsiTheme="minorEastAsia"/>
                <w:b/>
                <w:bCs/>
                <w:color w:val="auto"/>
                <w:sz w:val="20"/>
                <w:szCs w:val="18"/>
                <w:highlight w:val="none"/>
                <w:lang w:val="en-US" w:eastAsia="zh-CN"/>
              </w:rPr>
              <w:t>2.赎回宽限期清算日</w:t>
            </w:r>
          </w:p>
          <w:p w14:paraId="33825501">
            <w:pPr>
              <w:pStyle w:val="3"/>
              <w:numPr>
                <w:ilvl w:val="-1"/>
                <w:numId w:val="0"/>
              </w:numPr>
              <w:ind w:left="0" w:right="153"/>
              <w:rPr>
                <w:rFonts w:hint="eastAsia" w:ascii="仿宋_GB2312" w:eastAsia="仿宋_GB2312" w:cs="Times New Roman" w:hAnsiTheme="minorEastAsia"/>
                <w:b w:val="0"/>
                <w:bCs w:val="0"/>
                <w:color w:val="auto"/>
                <w:sz w:val="20"/>
                <w:szCs w:val="18"/>
                <w:highlight w:val="none"/>
                <w:lang w:eastAsia="zh-CN"/>
              </w:rPr>
            </w:pP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结束日下一个工作日为</w:t>
            </w:r>
            <w:r>
              <w:rPr>
                <w:rFonts w:hint="eastAsia" w:ascii="仿宋_GB2312" w:hAnsi="Times New Roman" w:eastAsia="仿宋_GB2312" w:cs="Times New Roman"/>
                <w:b w:val="0"/>
                <w:bCs w:val="0"/>
                <w:color w:val="auto"/>
                <w:sz w:val="20"/>
                <w:szCs w:val="18"/>
                <w:highlight w:val="none"/>
                <w:lang w:val="en-US" w:eastAsia="zh-CN"/>
              </w:rPr>
              <w:t>产品</w:t>
            </w: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清算日。</w:t>
            </w:r>
          </w:p>
          <w:p w14:paraId="26806C5E">
            <w:pPr>
              <w:pStyle w:val="3"/>
              <w:ind w:left="0" w:right="153"/>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3.规则：</w:t>
            </w:r>
          </w:p>
          <w:p w14:paraId="02B101CC">
            <w:pPr>
              <w:pStyle w:val="3"/>
              <w:numPr>
                <w:ilvl w:val="-1"/>
                <w:numId w:val="0"/>
              </w:numPr>
              <w:spacing w:before="0"/>
              <w:ind w:left="0" w:right="153" w:firstLine="0" w:firstLineChars="0"/>
              <w:jc w:val="both"/>
              <w:rPr>
                <w:rFonts w:hint="eastAsia" w:ascii="仿宋_GB2312" w:hAnsi="Times New Roman" w:eastAsia="仿宋_GB2312" w:cs="Times New Roman"/>
                <w:b/>
                <w:bCs/>
                <w:color w:val="auto"/>
                <w:sz w:val="20"/>
                <w:szCs w:val="18"/>
                <w:highlight w:val="none"/>
                <w:u w:val="single"/>
                <w:lang w:val="en-US" w:eastAsia="zh-CN"/>
              </w:rPr>
            </w:pPr>
            <w:r>
              <w:rPr>
                <w:rFonts w:hint="eastAsia" w:ascii="仿宋_GB2312" w:hAnsi="Times New Roman" w:eastAsia="仿宋_GB2312" w:cs="Times New Roman"/>
                <w:b/>
                <w:bCs/>
                <w:color w:val="auto"/>
                <w:sz w:val="20"/>
                <w:szCs w:val="18"/>
                <w:highlight w:val="none"/>
                <w:lang w:val="en-US" w:eastAsia="zh-CN"/>
              </w:rPr>
              <w:t>在贵阳农商银行自有销售渠道购买并持有满一个封闭期的投资者可在该期间通过贵阳农商银行营业网点申请赎回持有的产品份额，赎回宽限期内申请赎回交易的，将统一在赎回宽限期清算日确认赎回份额，赎回金额将于清算确认后</w:t>
            </w:r>
            <w:r>
              <w:rPr>
                <w:rFonts w:hint="eastAsia" w:ascii="仿宋_GB2312" w:hAnsi="Times New Roman" w:eastAsia="仿宋_GB2312" w:cs="Times New Roman"/>
                <w:b/>
                <w:bCs/>
                <w:color w:val="auto"/>
                <w:sz w:val="20"/>
                <w:szCs w:val="18"/>
                <w:highlight w:val="none"/>
                <w:u w:val="single"/>
                <w:lang w:val="en-US" w:eastAsia="zh-CN"/>
              </w:rPr>
              <w:t xml:space="preserve">3 </w:t>
            </w:r>
            <w:r>
              <w:rPr>
                <w:rFonts w:hint="eastAsia" w:ascii="仿宋_GB2312" w:hAnsi="Times New Roman" w:eastAsia="仿宋_GB2312" w:cs="Times New Roman"/>
                <w:b/>
                <w:bCs/>
                <w:color w:val="auto"/>
                <w:sz w:val="20"/>
                <w:szCs w:val="18"/>
                <w:highlight w:val="none"/>
                <w:lang w:val="en-US" w:eastAsia="zh-CN"/>
              </w:rPr>
              <w:t>个工作日内到账，</w:t>
            </w:r>
            <w:r>
              <w:rPr>
                <w:rFonts w:hint="eastAsia" w:ascii="仿宋_GB2312" w:eastAsia="仿宋_GB2312" w:cs="Times New Roman" w:hAnsiTheme="minorEastAsia"/>
                <w:b/>
                <w:bCs/>
                <w:color w:val="auto"/>
                <w:sz w:val="20"/>
                <w:szCs w:val="18"/>
                <w:highlight w:val="none"/>
                <w:lang w:val="en-US" w:eastAsia="zh-CN"/>
              </w:rPr>
              <w:t>赎回宽限期清算日</w:t>
            </w:r>
            <w:r>
              <w:rPr>
                <w:rFonts w:hint="eastAsia" w:ascii="仿宋_GB2312" w:eastAsia="仿宋_GB2312" w:cs="Times New Roman" w:hAnsiTheme="minorEastAsia"/>
                <w:b/>
                <w:color w:val="auto"/>
                <w:sz w:val="20"/>
                <w:highlight w:val="none"/>
                <w:lang w:eastAsia="zh-CN"/>
              </w:rPr>
              <w:t>至资金到账日（不含）不计利息。</w:t>
            </w:r>
            <w:r>
              <w:rPr>
                <w:rFonts w:hint="eastAsia" w:ascii="仿宋_GB2312" w:hAnsi="Times New Roman" w:eastAsia="仿宋_GB2312" w:cs="Times New Roman"/>
                <w:b/>
                <w:bCs/>
                <w:color w:val="auto"/>
                <w:sz w:val="20"/>
                <w:szCs w:val="18"/>
                <w:highlight w:val="none"/>
                <w:u w:val="single"/>
                <w:lang w:eastAsia="zh-CN"/>
              </w:rPr>
              <w:t>赎回金额采用赎回宽限期清算日前一工作日产品净值</w:t>
            </w:r>
            <w:r>
              <w:rPr>
                <w:rFonts w:hint="eastAsia" w:ascii="仿宋_GB2312" w:hAnsi="Times New Roman" w:eastAsia="仿宋_GB2312" w:cs="Times New Roman"/>
                <w:b/>
                <w:bCs/>
                <w:color w:val="auto"/>
                <w:sz w:val="20"/>
                <w:szCs w:val="18"/>
                <w:highlight w:val="none"/>
                <w:u w:val="single"/>
                <w:lang w:val="en-US" w:eastAsia="zh-CN"/>
              </w:rPr>
              <w:t>进行确认。</w:t>
            </w:r>
          </w:p>
          <w:p w14:paraId="34034DD8">
            <w:pPr>
              <w:pStyle w:val="3"/>
              <w:numPr>
                <w:ilvl w:val="-1"/>
                <w:numId w:val="0"/>
              </w:numPr>
              <w:spacing w:before="0"/>
              <w:ind w:left="0" w:right="153" w:firstLine="0" w:firstLineChars="0"/>
              <w:jc w:val="both"/>
              <w:rPr>
                <w:rFonts w:hint="default" w:ascii="仿宋_GB2312" w:hAnsi="Times New Roman" w:eastAsia="仿宋_GB2312" w:cs="Times New Roman"/>
                <w:b/>
                <w:bCs/>
                <w:color w:val="auto"/>
                <w:sz w:val="20"/>
                <w:szCs w:val="18"/>
                <w:highlight w:val="none"/>
                <w:u w:val="single"/>
                <w:lang w:val="en-US" w:eastAsia="zh-CN"/>
              </w:rPr>
            </w:pPr>
            <w:r>
              <w:rPr>
                <w:rFonts w:hint="eastAsia" w:ascii="仿宋_GB2312" w:hAnsi="Times New Roman" w:eastAsia="仿宋_GB2312" w:cs="Times New Roman"/>
                <w:b/>
                <w:bCs/>
                <w:color w:val="auto"/>
                <w:sz w:val="20"/>
                <w:szCs w:val="18"/>
                <w:highlight w:val="none"/>
                <w:u w:val="single"/>
                <w:lang w:val="en-US" w:eastAsia="zh-CN"/>
              </w:rPr>
              <w:t>如投资者在赎回宽限期申请赎回时，购买的理财产品未持有满一个封闭期的，则贵阳农商银行不予受理该类赎回申请。</w:t>
            </w:r>
          </w:p>
          <w:p w14:paraId="3B2C2A63">
            <w:pPr>
              <w:pStyle w:val="3"/>
              <w:numPr>
                <w:ilvl w:val="-1"/>
                <w:numId w:val="0"/>
              </w:numPr>
              <w:spacing w:before="0"/>
              <w:ind w:left="0" w:right="153" w:firstLine="0" w:firstLineChars="0"/>
              <w:jc w:val="both"/>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示例如下：</w:t>
            </w:r>
          </w:p>
          <w:tbl>
            <w:tblPr>
              <w:tblStyle w:val="5"/>
              <w:tblpPr w:leftFromText="180" w:rightFromText="180" w:vertAnchor="text" w:horzAnchor="page" w:tblpX="195" w:tblpY="88"/>
              <w:tblOverlap w:val="never"/>
              <w:tblW w:w="6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0"/>
              <w:gridCol w:w="1315"/>
              <w:gridCol w:w="1550"/>
              <w:gridCol w:w="2692"/>
            </w:tblGrid>
            <w:tr w14:paraId="5A966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0E8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计算示例</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05F1">
                  <w:pPr>
                    <w:keepNext w:val="0"/>
                    <w:keepLines w:val="0"/>
                    <w:widowControl/>
                    <w:suppressLineNumbers w:val="0"/>
                    <w:jc w:val="center"/>
                    <w:textAlignment w:val="center"/>
                    <w:rPr>
                      <w:rFonts w:hint="eastAsia" w:ascii="仿宋_GB2312" w:hAnsi="仿宋_GB2312" w:eastAsia="仿宋_GB2312" w:cs="仿宋_GB2312"/>
                      <w:i w:val="0"/>
                      <w:iCs w:val="0"/>
                      <w:color w:val="auto"/>
                      <w:sz w:val="16"/>
                      <w:szCs w:val="16"/>
                      <w:highlight w:val="none"/>
                      <w:u w:val="none"/>
                    </w:rPr>
                  </w:pPr>
                  <w:r>
                    <w:rPr>
                      <w:rFonts w:hint="eastAsia" w:ascii="仿宋_GB2312" w:hAnsi="仿宋_GB2312" w:eastAsia="仿宋_GB2312" w:cs="仿宋_GB2312"/>
                      <w:i w:val="0"/>
                      <w:iCs w:val="0"/>
                      <w:color w:val="auto"/>
                      <w:kern w:val="0"/>
                      <w:sz w:val="16"/>
                      <w:szCs w:val="16"/>
                      <w:highlight w:val="none"/>
                      <w:u w:val="none"/>
                      <w:lang w:val="en-US" w:eastAsia="zh-CN" w:bidi="ar"/>
                    </w:rPr>
                    <w:t>投资者持有份额(份)</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590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赎回宽限期清算日前一工作日理财产品单位净值</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807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投资者可得资金（元）</w:t>
                  </w:r>
                </w:p>
              </w:tc>
            </w:tr>
            <w:tr w14:paraId="16845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1D1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情景1</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81F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A56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1.0010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5943">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r>
                    <w:rPr>
                      <w:rFonts w:hint="eastAsia" w:ascii="仿宋_GB2312" w:hAnsi="仿宋_GB2312" w:eastAsia="仿宋_GB2312" w:cs="仿宋_GB2312"/>
                      <w:color w:val="auto"/>
                      <w:sz w:val="20"/>
                      <w:highlight w:val="none"/>
                      <w:lang w:eastAsia="zh-CN"/>
                    </w:rPr>
                    <w:t>×</w:t>
                  </w:r>
                  <w:r>
                    <w:rPr>
                      <w:rFonts w:hint="eastAsia" w:ascii="仿宋_GB2312" w:hAnsi="仿宋_GB2312" w:eastAsia="仿宋_GB2312" w:cs="仿宋_GB2312"/>
                      <w:i w:val="0"/>
                      <w:iCs w:val="0"/>
                      <w:color w:val="auto"/>
                      <w:kern w:val="0"/>
                      <w:sz w:val="16"/>
                      <w:szCs w:val="16"/>
                      <w:highlight w:val="none"/>
                      <w:u w:val="none"/>
                      <w:lang w:val="en-US" w:eastAsia="zh-CN" w:bidi="ar"/>
                    </w:rPr>
                    <w:t>1.0010=100,100.00</w:t>
                  </w:r>
                </w:p>
              </w:tc>
            </w:tr>
            <w:tr w14:paraId="073D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A2C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情景2</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04E2">
                  <w:pPr>
                    <w:keepNext w:val="0"/>
                    <w:keepLines w:val="0"/>
                    <w:widowControl/>
                    <w:suppressLineNumbers w:val="0"/>
                    <w:jc w:val="center"/>
                    <w:textAlignment w:val="center"/>
                    <w:rPr>
                      <w:rFonts w:hint="eastAsia" w:ascii="仿宋_GB2312" w:hAnsi="仿宋_GB2312" w:eastAsia="仿宋_GB2312" w:cs="仿宋_GB2312"/>
                      <w:i w:val="0"/>
                      <w:iCs w:val="0"/>
                      <w:color w:val="auto"/>
                      <w:sz w:val="16"/>
                      <w:szCs w:val="16"/>
                      <w:highlight w:val="none"/>
                      <w:u w:val="none"/>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60B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0.9990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CA93">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r>
                    <w:rPr>
                      <w:rFonts w:hint="eastAsia" w:ascii="仿宋_GB2312" w:hAnsi="仿宋_GB2312" w:eastAsia="仿宋_GB2312" w:cs="仿宋_GB2312"/>
                      <w:color w:val="auto"/>
                      <w:sz w:val="20"/>
                      <w:highlight w:val="none"/>
                      <w:lang w:eastAsia="zh-CN"/>
                    </w:rPr>
                    <w:t>×</w:t>
                  </w:r>
                  <w:r>
                    <w:rPr>
                      <w:rFonts w:hint="eastAsia" w:ascii="仿宋_GB2312" w:hAnsi="仿宋_GB2312" w:eastAsia="仿宋_GB2312" w:cs="仿宋_GB2312"/>
                      <w:i w:val="0"/>
                      <w:iCs w:val="0"/>
                      <w:color w:val="auto"/>
                      <w:kern w:val="0"/>
                      <w:sz w:val="16"/>
                      <w:szCs w:val="16"/>
                      <w:highlight w:val="none"/>
                      <w:u w:val="none"/>
                      <w:lang w:val="en-US" w:eastAsia="zh-CN" w:bidi="ar"/>
                    </w:rPr>
                    <w:t>0.9990=99,900.00</w:t>
                  </w:r>
                </w:p>
              </w:tc>
            </w:tr>
          </w:tbl>
          <w:p w14:paraId="439C78B5">
            <w:pPr>
              <w:pStyle w:val="3"/>
              <w:ind w:left="0" w:right="153"/>
              <w:jc w:val="left"/>
              <w:rPr>
                <w:rFonts w:hint="eastAsia" w:ascii="仿宋_GB2312" w:hAnsi="Times New Roman" w:eastAsia="仿宋_GB2312" w:cs="Times New Roman"/>
                <w:b w:val="0"/>
                <w:bCs w:val="0"/>
                <w:color w:val="auto"/>
                <w:sz w:val="20"/>
                <w:szCs w:val="18"/>
                <w:highlight w:val="none"/>
                <w:lang w:val="en-US" w:eastAsia="zh-CN"/>
              </w:rPr>
            </w:pPr>
          </w:p>
          <w:p w14:paraId="6985C474">
            <w:pPr>
              <w:pStyle w:val="3"/>
              <w:ind w:left="0" w:leftChars="0" w:right="153" w:rightChars="0"/>
              <w:rPr>
                <w:rFonts w:hint="eastAsia" w:ascii="仿宋_GB2312" w:hAnsi="Times New Roman" w:eastAsia="仿宋_GB2312" w:cs="Times New Roman"/>
                <w:color w:val="auto"/>
                <w:sz w:val="20"/>
                <w:szCs w:val="18"/>
                <w:highlight w:val="none"/>
                <w:lang w:val="en-US" w:eastAsia="zh-CN"/>
              </w:rPr>
            </w:pPr>
          </w:p>
        </w:tc>
      </w:tr>
      <w:tr w14:paraId="31DAA92C">
        <w:tblPrEx>
          <w:tblCellMar>
            <w:top w:w="0" w:type="dxa"/>
            <w:left w:w="0" w:type="dxa"/>
            <w:bottom w:w="0" w:type="dxa"/>
            <w:right w:w="0" w:type="dxa"/>
          </w:tblCellMar>
        </w:tblPrEx>
        <w:trPr>
          <w:trHeight w:val="174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A194D55">
            <w:pPr>
              <w:pStyle w:val="9"/>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4B536BA4">
            <w:pPr>
              <w:pStyle w:val="9"/>
              <w:numPr>
                <w:ilvl w:val="-1"/>
                <w:numId w:val="0"/>
              </w:numPr>
              <w:ind w:left="54" w:right="41" w:firstLine="0"/>
              <w:jc w:val="both"/>
              <w:rPr>
                <w:rFonts w:hint="eastAsia" w:ascii="仿宋_GB2312" w:eastAsia="仿宋_GB2312" w:cs="Times New Roman" w:hAnsiTheme="minorEastAsia"/>
                <w:sz w:val="20"/>
                <w:szCs w:val="18"/>
                <w:u w:val="single"/>
                <w:lang w:val="en-US" w:eastAsia="zh-CN"/>
              </w:rPr>
            </w:pPr>
            <w:r>
              <w:rPr>
                <w:rFonts w:hint="eastAsia" w:ascii="仿宋_GB2312" w:eastAsia="仿宋_GB2312" w:cs="Times New Roman" w:hAnsiTheme="minorEastAsia"/>
                <w:sz w:val="20"/>
                <w:szCs w:val="18"/>
                <w:lang w:val="en-US" w:eastAsia="zh-CN"/>
              </w:rPr>
              <w:t>1.</w:t>
            </w:r>
            <w:r>
              <w:rPr>
                <w:rFonts w:hint="eastAsia" w:ascii="仿宋_GB2312" w:eastAsia="仿宋_GB2312" w:cs="Times New Roman" w:hAnsiTheme="minorEastAsia"/>
                <w:sz w:val="20"/>
                <w:szCs w:val="18"/>
                <w:lang w:eastAsia="zh-CN"/>
              </w:rPr>
              <w:t>预约赎回期为整个产品封闭期（若有调整，</w:t>
            </w:r>
            <w:r>
              <w:rPr>
                <w:rFonts w:hint="eastAsia" w:ascii="仿宋_GB2312" w:eastAsia="仿宋_GB2312" w:cs="Times New Roman" w:hAnsiTheme="minorEastAsia"/>
                <w:sz w:val="20"/>
                <w:szCs w:val="18"/>
                <w:lang w:val="en-US" w:eastAsia="zh-CN"/>
              </w:rPr>
              <w:t>调整公告于开放期结束日前3</w:t>
            </w:r>
          </w:p>
          <w:p w14:paraId="2D3058F7">
            <w:pPr>
              <w:pStyle w:val="9"/>
              <w:numPr>
                <w:ilvl w:val="0"/>
                <w:numId w:val="0"/>
              </w:numPr>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val="en-US" w:eastAsia="zh-CN"/>
              </w:rPr>
              <w:t>个工作日内通过贵阳农商银行官方网站等渠道公布</w:t>
            </w:r>
            <w:r>
              <w:rPr>
                <w:rFonts w:hint="eastAsia" w:ascii="仿宋_GB2312" w:eastAsia="仿宋_GB2312" w:cs="Times New Roman" w:hAnsiTheme="minorEastAsia"/>
                <w:sz w:val="20"/>
                <w:szCs w:val="18"/>
                <w:lang w:eastAsia="zh-CN"/>
              </w:rPr>
              <w:t>）。</w:t>
            </w:r>
          </w:p>
          <w:p w14:paraId="61EC0FB3">
            <w:pPr>
              <w:pStyle w:val="9"/>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17508CDC">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EB533B1">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5CCB35">
            <w:pPr>
              <w:pStyle w:val="11"/>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1024F09F">
            <w:pPr>
              <w:pStyle w:val="11"/>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5D55FD91">
            <w:pPr>
              <w:pStyle w:val="11"/>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45B28410">
            <w:pPr>
              <w:pStyle w:val="11"/>
              <w:jc w:val="both"/>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6187533C">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FA54A5A">
            <w:pPr>
              <w:pStyle w:val="9"/>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5D502ADE">
            <w:pPr>
              <w:pStyle w:val="9"/>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2256DA31">
        <w:tblPrEx>
          <w:tblCellMar>
            <w:top w:w="0" w:type="dxa"/>
            <w:left w:w="0" w:type="dxa"/>
            <w:bottom w:w="0" w:type="dxa"/>
            <w:right w:w="0" w:type="dxa"/>
          </w:tblCellMar>
        </w:tblPrEx>
        <w:trPr>
          <w:trHeight w:val="288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29AF1E7">
            <w:pPr>
              <w:pStyle w:val="9"/>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5A08ABCE">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715F72F1">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1FA139CE">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3DC12B29">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6D5B9B79">
            <w:pPr>
              <w:pStyle w:val="9"/>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6A9E53CF">
            <w:pPr>
              <w:pStyle w:val="9"/>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56A9248D">
            <w:pPr>
              <w:pStyle w:val="9"/>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7BC05F0B">
            <w:pPr>
              <w:pStyle w:val="9"/>
              <w:numPr>
                <w:ilvl w:val="-1"/>
                <w:numId w:val="0"/>
              </w:numPr>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3199AFED">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463A09A5">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5B912DA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18157C02">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565314A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1F918C2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589AA7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1D638A6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58213BC7">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5AAA5F3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3D98731B">
      <w:pPr>
        <w:pStyle w:val="3"/>
        <w:numPr>
          <w:ilvl w:val="0"/>
          <w:numId w:val="2"/>
        </w:numPr>
        <w:spacing w:before="0"/>
        <w:ind w:left="0" w:right="151" w:firstLine="402" w:firstLineChars="20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50613F18">
      <w:pPr>
        <w:pStyle w:val="3"/>
        <w:numPr>
          <w:ilvl w:val="0"/>
          <w:numId w:val="3"/>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22FBD242">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w:t>
      </w:r>
      <w:r>
        <w:rPr>
          <w:rFonts w:hint="eastAsia" w:ascii="仿宋_GB2312" w:eastAsia="仿宋_GB2312" w:cs="Times New Roman" w:hAnsiTheme="minorEastAsia"/>
          <w:kern w:val="0"/>
          <w:sz w:val="20"/>
          <w:szCs w:val="18"/>
          <w:lang w:val="en-US" w:eastAsia="zh-CN" w:bidi="ar-SA"/>
        </w:rPr>
        <w:t>购</w:t>
      </w:r>
      <w:r>
        <w:rPr>
          <w:rFonts w:hint="eastAsia" w:ascii="仿宋_GB2312" w:eastAsia="仿宋_GB2312" w:cs="Times New Roman" w:hAnsiTheme="minorEastAsia"/>
          <w:sz w:val="20"/>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/赎回</w:t>
      </w:r>
      <w:r>
        <w:rPr>
          <w:rFonts w:hint="eastAsia" w:ascii="仿宋_GB2312" w:eastAsia="仿宋_GB2312" w:cs="Times New Roman" w:hAnsiTheme="minorEastAsia"/>
          <w:kern w:val="0"/>
          <w:sz w:val="20"/>
          <w:szCs w:val="18"/>
          <w:lang w:val="en-US" w:eastAsia="zh-CN" w:bidi="ar-SA"/>
        </w:rPr>
        <w:t>申请</w:t>
      </w:r>
      <w:r>
        <w:rPr>
          <w:rFonts w:hint="eastAsia" w:ascii="仿宋_GB2312" w:eastAsia="仿宋_GB2312" w:cs="Times New Roman" w:hAnsiTheme="minorEastAsia"/>
          <w:color w:val="auto"/>
          <w:kern w:val="0"/>
          <w:sz w:val="20"/>
          <w:szCs w:val="18"/>
          <w:highlight w:val="none"/>
          <w:lang w:val="en-US" w:eastAsia="zh-CN" w:bidi="ar-SA"/>
        </w:rPr>
        <w:t>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1CB499EB">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2.产品托管人：南京银行股份有限公司</w:t>
      </w:r>
    </w:p>
    <w:p w14:paraId="333AB421">
      <w:pPr>
        <w:pStyle w:val="3"/>
        <w:numPr>
          <w:ilvl w:val="0"/>
          <w:numId w:val="0"/>
        </w:numPr>
        <w:spacing w:before="19"/>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3ECA6236">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78DA1677">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b w:val="0"/>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eastAsia="仿宋_GB2312" w:cs="Times New Roman" w:hAnsiTheme="minorEastAsia"/>
          <w:kern w:val="0"/>
          <w:sz w:val="20"/>
          <w:szCs w:val="18"/>
          <w:lang w:val="en-US" w:eastAsia="zh-CN" w:bidi="ar-SA"/>
        </w:rPr>
        <w:t>。</w:t>
      </w:r>
    </w:p>
    <w:p w14:paraId="3B9525C7">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234DD038">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6E907373">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1A83ABC2">
      <w:pPr>
        <w:pStyle w:val="3"/>
        <w:spacing w:before="0"/>
        <w:ind w:left="0" w:right="153" w:firstLine="400" w:firstLineChars="200"/>
        <w:jc w:val="both"/>
        <w:rPr>
          <w:rFonts w:hint="eastAsia" w:ascii="仿宋_GB2312" w:eastAsia="仿宋_GB2312" w:cs="Times New Roman" w:hAnsiTheme="minorEastAsia"/>
          <w:sz w:val="20"/>
          <w:szCs w:val="18"/>
          <w:highlight w:val="none"/>
          <w:lang w:val="en-US"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50000万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w:t>
      </w:r>
      <w:r>
        <w:rPr>
          <w:rFonts w:hint="eastAsia" w:ascii="仿宋_GB2312" w:eastAsia="仿宋_GB2312" w:cs="Times New Roman" w:hAnsiTheme="minorEastAsia"/>
          <w:sz w:val="20"/>
          <w:lang w:val="en-US" w:eastAsia="zh-CN"/>
        </w:rPr>
        <w:t>和存续期</w:t>
      </w:r>
      <w:r>
        <w:rPr>
          <w:rFonts w:ascii="仿宋_GB2312" w:eastAsia="仿宋_GB2312" w:cs="Times New Roman" w:hAnsiTheme="minorEastAsia"/>
          <w:sz w:val="20"/>
          <w:lang w:eastAsia="zh-CN"/>
        </w:rPr>
        <w:t>内，对本期产品的认购</w:t>
      </w:r>
      <w:r>
        <w:rPr>
          <w:rFonts w:hint="eastAsia" w:ascii="仿宋_GB2312" w:eastAsia="仿宋_GB2312" w:cs="Times New Roman" w:hAnsiTheme="minorEastAsia"/>
          <w:sz w:val="20"/>
          <w:lang w:val="en-US" w:eastAsia="zh-CN"/>
        </w:rPr>
        <w:t>/申购金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，已经认购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240B89A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szCs w:val="18"/>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permStart w:id="0" w:edGrp="everyone"/>
      <w:r>
        <w:rPr>
          <w:rFonts w:hint="eastAsia" w:ascii="仿宋_GB2312" w:eastAsia="仿宋_GB2312" w:cs="Times New Roman" w:hAnsiTheme="minorEastAsia"/>
          <w:b/>
          <w:bCs/>
          <w:sz w:val="20"/>
          <w:szCs w:val="18"/>
          <w:u w:val="none"/>
          <w:lang w:val="en-US" w:eastAsia="zh-CN"/>
        </w:rPr>
        <w:t>1000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b w:val="0"/>
          <w:bCs w:val="0"/>
          <w:sz w:val="20"/>
          <w:u w:val="none"/>
          <w:lang w:eastAsia="zh-CN"/>
        </w:rPr>
        <w:t>元</w:t>
      </w:r>
      <w:permEnd w:id="0"/>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32FF5A8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3</w:t>
      </w:r>
      <w:r>
        <w:rPr>
          <w:rFonts w:ascii="仿宋_GB2312" w:eastAsia="仿宋_GB2312" w:cs="Times New Roman" w:hAnsiTheme="minorEastAsia"/>
          <w:sz w:val="20"/>
          <w:lang w:eastAsia="zh-CN"/>
        </w:rPr>
        <w:t>.贵阳农商银行可根据市场情况等调整产品规模上、下限，并至少于调整规模上下限之日之前</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8"/>
          <w:rFonts w:hint="eastAsia"/>
          <w:lang w:eastAsia="zh-CN"/>
        </w:rPr>
        <w:t>。</w:t>
      </w:r>
    </w:p>
    <w:p w14:paraId="41A54826">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（二）认购/申购/赎回/到期</w:t>
      </w:r>
    </w:p>
    <w:p w14:paraId="57B43E21">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（不含）期间，认购/申购</w:t>
      </w:r>
      <w:r>
        <w:rPr>
          <w:rFonts w:hint="eastAsia" w:ascii="仿宋_GB2312" w:eastAsia="仿宋_GB2312" w:cs="Times New Roman" w:hAnsiTheme="minorEastAsia"/>
          <w:b/>
          <w:bCs w:val="0"/>
          <w:sz w:val="20"/>
          <w:lang w:val="en-US" w:eastAsia="zh-CN"/>
        </w:rPr>
        <w:t>资金</w:t>
      </w:r>
      <w:r>
        <w:rPr>
          <w:rFonts w:hint="eastAsia" w:ascii="仿宋_GB2312" w:eastAsia="仿宋_GB2312" w:cs="Times New Roman" w:hAnsiTheme="minorEastAsia"/>
          <w:b/>
          <w:bCs w:val="0"/>
          <w:sz w:val="20"/>
          <w:lang w:eastAsia="zh-CN"/>
        </w:rPr>
        <w:t>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将转入投资者认购/申购账户</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14E1753D">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7AFE6AE3">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default" w:ascii="仿宋_GB2312" w:eastAsia="仿宋_GB2312" w:cs="Times New Roman" w:hAnsiTheme="minorEastAsia"/>
          <w:b/>
          <w:bCs/>
          <w:sz w:val="20"/>
          <w:lang w:val="en-US" w:eastAsia="zh-CN"/>
        </w:rPr>
        <w:t>封闭</w:t>
      </w:r>
      <w:r>
        <w:rPr>
          <w:rFonts w:ascii="仿宋_GB2312" w:eastAsia="仿宋_GB2312" w:cs="Times New Roman" w:hAnsiTheme="minorEastAsia"/>
          <w:b/>
          <w:bCs/>
          <w:sz w:val="20"/>
          <w:lang w:eastAsia="zh-CN"/>
        </w:rPr>
        <w:t>期间，不开放申购、赎回。</w:t>
      </w:r>
    </w:p>
    <w:p w14:paraId="75F53D66">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204F4B01">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6F6086A7">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77EBB10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04062D9C">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389A0C28">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3E30F2A1">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1858273E">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F7ED2C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65C459A8">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3C2B444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5C74803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37A07E0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7174F7B1">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 xml:space="preserve">债券回购以成本(含回购费用)列示,按回购利率在实际持有期间内逐日计提利息。 </w:t>
      </w:r>
    </w:p>
    <w:p w14:paraId="6CEB3502">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7E509ED">
      <w:pPr>
        <w:widowControl/>
        <w:spacing w:beforeLines="0" w:after="0" w:afterLines="0" w:line="240" w:lineRule="auto"/>
        <w:ind w:firstLine="400" w:firstLineChars="200"/>
        <w:jc w:val="both"/>
        <w:rPr>
          <w:rFonts w:hint="eastAsia"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 公布的在估值日的估值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进行估值。若中债登对同一债券给出多个估值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，优先使用有“推荐”标注（若有）的</w:t>
      </w:r>
      <w:r>
        <w:rPr>
          <w:rFonts w:hint="eastAsia" w:ascii="仿宋_GB2312" w:hAnsi="仿宋_GB2312" w:eastAsia="仿宋_GB2312" w:cs="仿宋_GB2312"/>
          <w:sz w:val="20"/>
          <w:szCs w:val="20"/>
          <w:highlight w:val="none"/>
          <w:lang w:val="en-US" w:eastAsia="zh-CN" w:bidi="ar"/>
        </w:rPr>
        <w:t>估值数据</w:t>
      </w:r>
      <w:r>
        <w:rPr>
          <w:rFonts w:hint="eastAsia" w:ascii="仿宋_GB2312" w:hAnsi="仿宋_GB2312" w:eastAsia="仿宋_GB2312" w:cs="仿宋_GB2312"/>
          <w:color w:val="000000"/>
          <w:sz w:val="20"/>
          <w:szCs w:val="20"/>
          <w:highlight w:val="none"/>
          <w:lang w:eastAsia="zh-CN" w:bidi="ar"/>
        </w:rPr>
        <w:t xml:space="preserve">。其中对于含投资人回售权的标准化债权类资产，回售登记期截止日（含当日）后未行使回售权的按照长待偿期所对应的价格进行估值。未上市债券按成本估值。 </w:t>
      </w:r>
    </w:p>
    <w:p w14:paraId="56FA9312">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w:t>
      </w:r>
      <w:r>
        <w:rPr>
          <w:rFonts w:hint="eastAsia" w:ascii="仿宋_GB2312" w:hAnsi="仿宋_GB2312" w:eastAsia="仿宋_GB2312" w:cs="仿宋_GB2312"/>
          <w:color w:val="000000"/>
          <w:sz w:val="20"/>
          <w:szCs w:val="20"/>
          <w:highlight w:val="none"/>
          <w:lang w:val="en-US" w:eastAsia="zh-CN" w:bidi="ar"/>
        </w:rPr>
        <w:t>数据</w:t>
      </w:r>
      <w:r>
        <w:rPr>
          <w:rFonts w:hint="eastAsia" w:ascii="仿宋_GB2312" w:hAnsi="仿宋_GB2312" w:eastAsia="仿宋_GB2312" w:cs="仿宋_GB2312"/>
          <w:color w:val="000000"/>
          <w:sz w:val="20"/>
          <w:szCs w:val="20"/>
          <w:highlight w:val="none"/>
          <w:lang w:eastAsia="zh-CN" w:bidi="ar"/>
        </w:rPr>
        <w:t>进行估值。</w:t>
      </w: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w:t>
      </w:r>
      <w:r>
        <w:rPr>
          <w:rFonts w:hint="eastAsia" w:ascii="仿宋_GB2312" w:hAnsi="仿宋_GB2312" w:eastAsia="仿宋_GB2312" w:cs="仿宋_GB2312"/>
          <w:color w:val="000000"/>
          <w:sz w:val="20"/>
          <w:szCs w:val="20"/>
          <w:highlight w:val="none"/>
          <w:lang w:eastAsia="zh-CN" w:bidi="ar"/>
        </w:rPr>
        <w:t>未上市债券按成本估值。</w:t>
      </w:r>
    </w:p>
    <w:p w14:paraId="1A502E62">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45D2412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4AD77C00">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19F0D05E">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1F62E80A">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53E7A5F5">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74AF7E88">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60FEADDD">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暂停估值/恢复估值时，贵阳农商银行将于</w:t>
      </w:r>
      <w:r>
        <w:rPr>
          <w:rFonts w:hint="eastAsia" w:ascii="仿宋_GB2312" w:eastAsia="仿宋_GB2312" w:cs="Times New Roman" w:hAnsiTheme="minorEastAsia"/>
          <w:sz w:val="20"/>
          <w:szCs w:val="18"/>
          <w:lang w:val="en-US" w:eastAsia="zh-CN"/>
        </w:rPr>
        <w:t>官方网站等渠道通知投资者。</w:t>
      </w:r>
    </w:p>
    <w:p w14:paraId="5FB87B38">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w:t>
      </w:r>
      <w:r>
        <w:rPr>
          <w:rFonts w:hint="eastAsia" w:ascii="Times New Roman" w:hAnsi="黑体" w:eastAsia="黑体" w:cs="Times New Roman"/>
          <w:lang w:val="en-US" w:eastAsia="zh-CN"/>
        </w:rPr>
        <w:t>与</w:t>
      </w:r>
      <w:r>
        <w:rPr>
          <w:rFonts w:hint="eastAsia" w:ascii="Times New Roman" w:hAnsi="黑体" w:eastAsia="黑体" w:cs="Times New Roman"/>
          <w:highlight w:val="none"/>
          <w:lang w:val="en-US" w:eastAsia="zh-CN"/>
        </w:rPr>
        <w:t>费用、税收</w:t>
      </w:r>
      <w:r>
        <w:rPr>
          <w:rFonts w:ascii="Times New Roman" w:hAnsi="黑体" w:eastAsia="黑体" w:cs="Times New Roman"/>
          <w:lang w:eastAsia="zh-CN"/>
        </w:rPr>
        <w:t>说明</w:t>
      </w:r>
    </w:p>
    <w:p w14:paraId="45B593A9">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60272FB6">
      <w:pPr>
        <w:pStyle w:val="3"/>
        <w:spacing w:before="0"/>
        <w:ind w:left="0" w:right="153" w:firstLine="402" w:firstLineChars="200"/>
        <w:jc w:val="both"/>
        <w:rPr>
          <w:rFonts w:hint="default"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1.</w:t>
      </w:r>
      <w:r>
        <w:rPr>
          <w:rFonts w:hint="eastAsia" w:ascii="仿宋_GB2312" w:eastAsia="仿宋_GB2312" w:cs="Times New Roman" w:hAnsiTheme="minorEastAsia"/>
          <w:b/>
          <w:bCs/>
          <w:sz w:val="20"/>
          <w:highlight w:val="none"/>
          <w:lang w:val="en-US" w:eastAsia="zh-CN"/>
        </w:rPr>
        <w:t>本产品产生以下费用：</w:t>
      </w:r>
    </w:p>
    <w:p w14:paraId="47FB3142">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lang w:eastAsia="zh-CN"/>
        </w:rPr>
        <w:t>固定销售费：</w:t>
      </w:r>
      <w:r>
        <w:rPr>
          <w:rFonts w:ascii="仿宋_GB2312" w:eastAsia="仿宋_GB2312" w:cs="Times New Roman" w:hAnsiTheme="minorEastAsia"/>
          <w:sz w:val="20"/>
          <w:lang w:eastAsia="zh-CN"/>
        </w:rPr>
        <w:t>本产品销售费按前一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%÷当年天数，S为每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日应计提的销售费，E为前一</w:t>
      </w:r>
      <w:r>
        <w:rPr>
          <w:rFonts w:hint="eastAsia" w:ascii="仿宋_GB2312" w:eastAsia="仿宋_GB2312" w:cs="Times New Roman" w:hAnsiTheme="minorEastAsia"/>
          <w:sz w:val="20"/>
          <w:u w:val="none"/>
          <w:lang w:val="en-US" w:eastAsia="zh-CN"/>
        </w:rPr>
        <w:t>自然</w:t>
      </w:r>
      <w:r>
        <w:rPr>
          <w:rFonts w:ascii="仿宋_GB2312" w:eastAsia="仿宋_GB2312" w:cs="Times New Roman" w:hAnsiTheme="minorEastAsia"/>
          <w:sz w:val="20"/>
          <w:u w:val="none"/>
          <w:lang w:eastAsia="zh-CN"/>
        </w:rPr>
        <w:t>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p>
    <w:p w14:paraId="12CA0169">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固定管理费</w:t>
      </w:r>
      <w:r>
        <w:rPr>
          <w:rFonts w:ascii="仿宋_GB2312" w:eastAsia="仿宋_GB2312" w:cs="Times New Roman" w:hAnsiTheme="minorEastAsia"/>
          <w:sz w:val="20"/>
          <w:u w:val="none"/>
          <w:lang w:eastAsia="zh-CN"/>
        </w:rPr>
        <w:t>：本产品管理费按前一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%÷当年天数，M为每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041601E3">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w:t>
      </w:r>
      <w:r>
        <w:rPr>
          <w:rFonts w:hint="eastAsia" w:ascii="仿宋_GB2312" w:eastAsia="仿宋_GB2312" w:cs="Times New Roman" w:hAnsiTheme="minorEastAsia"/>
          <w:b/>
          <w:bCs/>
          <w:sz w:val="20"/>
          <w:u w:val="none"/>
          <w:lang w:val="en-US" w:eastAsia="zh-CN"/>
        </w:rPr>
        <w:t>托管</w:t>
      </w:r>
      <w:r>
        <w:rPr>
          <w:rFonts w:ascii="仿宋_GB2312" w:eastAsia="仿宋_GB2312" w:cs="Times New Roman" w:hAnsiTheme="minorEastAsia"/>
          <w:b/>
          <w:bCs/>
          <w:sz w:val="20"/>
          <w:u w:val="none"/>
          <w:lang w:eastAsia="zh-CN"/>
        </w:rPr>
        <w:t>费</w:t>
      </w:r>
      <w:r>
        <w:rPr>
          <w:rFonts w:ascii="仿宋_GB2312" w:eastAsia="仿宋_GB2312" w:cs="Times New Roman" w:hAnsiTheme="minorEastAsia"/>
          <w:sz w:val="20"/>
          <w:u w:val="none"/>
          <w:lang w:eastAsia="zh-CN"/>
        </w:rPr>
        <w:t>：本产品</w:t>
      </w:r>
      <w:r>
        <w:rPr>
          <w:rFonts w:hint="eastAsia" w:ascii="仿宋_GB2312" w:eastAsia="仿宋_GB2312" w:cs="Times New Roman" w:hAnsiTheme="minorEastAsia"/>
          <w:sz w:val="20"/>
          <w:u w:val="none"/>
          <w:lang w:val="en-US" w:eastAsia="zh-CN"/>
        </w:rPr>
        <w:t>托管费</w:t>
      </w:r>
      <w:r>
        <w:rPr>
          <w:rFonts w:ascii="仿宋_GB2312" w:eastAsia="仿宋_GB2312" w:cs="Times New Roman" w:hAnsiTheme="minorEastAsia"/>
          <w:sz w:val="20"/>
          <w:u w:val="none"/>
          <w:lang w:eastAsia="zh-CN"/>
        </w:rPr>
        <w:t>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%年费率计提。</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=E×</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%÷当年天数，</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w:t>
      </w:r>
      <w:r>
        <w:rPr>
          <w:rFonts w:hint="eastAsia" w:ascii="仿宋_GB2312" w:eastAsia="仿宋_GB2312" w:cs="Times New Roman" w:hAnsiTheme="minorEastAsia"/>
          <w:sz w:val="20"/>
          <w:u w:val="none"/>
          <w:lang w:val="en-US" w:eastAsia="zh-CN"/>
        </w:rPr>
        <w:t>托管</w:t>
      </w:r>
      <w:r>
        <w:rPr>
          <w:rFonts w:ascii="仿宋_GB2312" w:eastAsia="仿宋_GB2312" w:cs="Times New Roman" w:hAnsiTheme="minorEastAsia"/>
          <w:sz w:val="20"/>
          <w:u w:val="none"/>
          <w:lang w:eastAsia="zh-CN"/>
        </w:rPr>
        <w:t>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0E514632">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lang w:eastAsia="zh-CN"/>
        </w:rPr>
        <w:t>超额业绩报酬：</w:t>
      </w:r>
      <w:r>
        <w:rPr>
          <w:rFonts w:hint="eastAsia" w:ascii="仿宋_GB2312" w:eastAsia="仿宋_GB2312" w:cs="Times New Roman" w:hAnsiTheme="minorEastAsia"/>
          <w:sz w:val="20"/>
          <w:lang w:eastAsia="zh-CN"/>
        </w:rPr>
        <w:t>本产品</w:t>
      </w:r>
      <w:r>
        <w:rPr>
          <w:rFonts w:hint="eastAsia" w:ascii="仿宋_GB2312" w:eastAsia="仿宋_GB2312" w:cs="Times New Roman" w:hAnsiTheme="minorEastAsia"/>
          <w:sz w:val="20"/>
          <w:lang w:val="en-US" w:eastAsia="zh-CN"/>
        </w:rPr>
        <w:t>设定</w:t>
      </w:r>
      <w:r>
        <w:rPr>
          <w:rFonts w:hint="eastAsia" w:ascii="仿宋_GB2312" w:eastAsia="仿宋_GB2312" w:cs="Times New Roman" w:hAnsiTheme="minorEastAsia"/>
          <w:sz w:val="20"/>
          <w:lang w:eastAsia="zh-CN"/>
        </w:rPr>
        <w:t>业绩比较基准，产品年化收益率超过</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区间的最低值时，产品管理人有权收取超额业绩报酬，但固定管理费与超额业绩报酬合计最高不超过产品总投资收益的</w:t>
      </w:r>
      <w:r>
        <w:rPr>
          <w:rFonts w:hint="eastAsia" w:ascii="仿宋_GB2312" w:eastAsia="仿宋_GB2312" w:cs="Times New Roman" w:hAnsiTheme="minorEastAsia"/>
          <w:b/>
          <w:bCs/>
          <w:sz w:val="20"/>
          <w:lang w:val="en-US" w:eastAsia="zh-CN"/>
        </w:rPr>
        <w:t>30</w:t>
      </w:r>
      <w:r>
        <w:rPr>
          <w:rFonts w:hint="eastAsia" w:ascii="仿宋_GB2312" w:eastAsia="仿宋_GB2312" w:cs="Times New Roman" w:hAnsiTheme="minorEastAsia"/>
          <w:sz w:val="20"/>
          <w:lang w:eastAsia="zh-CN"/>
        </w:rPr>
        <w:t>%。</w:t>
      </w:r>
    </w:p>
    <w:p w14:paraId="4AD516B6">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产品年化收益率&gt;产品说明书展示的业绩比较基准区间最低值时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w:t>
      </w:r>
      <w:r>
        <w:rPr>
          <w:rFonts w:hint="eastAsia" w:ascii="仿宋_GB2312" w:eastAsia="仿宋_GB2312" w:cs="Times New Roman" w:hAnsiTheme="minorEastAsia"/>
          <w:sz w:val="20"/>
          <w:lang w:val="en-US" w:eastAsia="zh-CN"/>
        </w:rPr>
        <w:t>其他相关费用</w:t>
      </w:r>
      <w:r>
        <w:rPr>
          <w:rFonts w:hint="eastAsia" w:ascii="仿宋_GB2312" w:eastAsia="仿宋_GB2312" w:cs="Times New Roman" w:hAnsiTheme="minorEastAsia"/>
          <w:sz w:val="20"/>
          <w:lang w:eastAsia="zh-CN"/>
        </w:rPr>
        <w:t>（如有）-</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区间最低值计算出的收益）</w:t>
      </w:r>
      <w:r>
        <w:rPr>
          <w:rFonts w:hint="eastAsia" w:ascii="仿宋_GB2312" w:hAnsi="仿宋_GB2312" w:eastAsia="仿宋_GB2312" w:cs="仿宋_GB2312"/>
          <w:sz w:val="20"/>
          <w:highlight w:val="none"/>
          <w:lang w:eastAsia="zh-CN"/>
        </w:rPr>
        <w:t>×</w:t>
      </w:r>
      <w:r>
        <w:rPr>
          <w:rFonts w:hint="eastAsia" w:ascii="仿宋_GB2312" w:eastAsia="仿宋_GB2312" w:cs="Times New Roman" w:hAnsiTheme="minorEastAsia"/>
          <w:b/>
          <w:bCs/>
          <w:sz w:val="20"/>
          <w:u w:val="none"/>
          <w:lang w:val="en-US" w:eastAsia="zh-CN"/>
        </w:rPr>
        <w:t>70</w:t>
      </w:r>
      <w:r>
        <w:rPr>
          <w:rFonts w:hint="eastAsia" w:ascii="仿宋_GB2312" w:eastAsia="仿宋_GB2312" w:cs="Times New Roman" w:hAnsiTheme="minorEastAsia"/>
          <w:sz w:val="20"/>
          <w:lang w:eastAsia="zh-CN"/>
        </w:rPr>
        <w:t>%。</w:t>
      </w:r>
    </w:p>
    <w:p w14:paraId="3DDC7E71">
      <w:pPr>
        <w:pStyle w:val="3"/>
        <w:numPr>
          <w:ilvl w:val="-1"/>
          <w:numId w:val="0"/>
        </w:numPr>
        <w:spacing w:before="0"/>
        <w:ind w:left="0" w:leftChars="0" w:right="153" w:firstLine="400"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清算</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30172A37">
      <w:pPr>
        <w:pStyle w:val="3"/>
        <w:numPr>
          <w:ilvl w:val="-1"/>
          <w:numId w:val="0"/>
        </w:numPr>
        <w:spacing w:before="0"/>
        <w:ind w:left="440" w:leftChars="200" w:right="153" w:firstLine="0" w:firstLineChars="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（5）其他相关费用</w:t>
      </w:r>
    </w:p>
    <w:p w14:paraId="018EC583">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38296926">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3B27E5E0">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permStart w:id="1" w:edGrp="everyone"/>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permEnd w:id="1"/>
      <w:r>
        <w:rPr>
          <w:rFonts w:ascii="仿宋_GB2312" w:eastAsia="仿宋_GB2312" w:cs="Times New Roman" w:hAnsiTheme="minorEastAsia"/>
          <w:b/>
          <w:bCs/>
          <w:sz w:val="20"/>
          <w:highlight w:val="none"/>
          <w:lang w:eastAsia="zh-CN"/>
        </w:rPr>
        <w:t>/年、固定托管费</w:t>
      </w:r>
      <w:permStart w:id="2"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2"/>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25AE9AAC">
      <w:pPr>
        <w:pStyle w:val="3"/>
        <w:spacing w:before="0"/>
        <w:ind w:left="0" w:right="153" w:firstLine="402" w:firstLineChars="200"/>
        <w:jc w:val="both"/>
        <w:rPr>
          <w:rFonts w:ascii="仿宋_GB2312" w:eastAsia="仿宋_GB2312" w:cs="Times New Roman" w:hAnsiTheme="minorEastAsia"/>
          <w:b/>
          <w:color w:val="auto"/>
          <w:sz w:val="20"/>
          <w:szCs w:val="20"/>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w:t>
      </w:r>
      <w:r>
        <w:rPr>
          <w:rFonts w:hint="eastAsia" w:ascii="仿宋_GB2312" w:eastAsia="仿宋_GB2312" w:cs="Times New Roman" w:hAnsiTheme="minorEastAsia"/>
          <w:b/>
          <w:bCs/>
          <w:sz w:val="20"/>
          <w:highlight w:val="none"/>
          <w:lang w:eastAsia="zh-CN"/>
        </w:rPr>
        <w:t>的基准和</w:t>
      </w:r>
      <w:r>
        <w:rPr>
          <w:rFonts w:ascii="仿宋_GB2312" w:eastAsia="仿宋_GB2312" w:cs="Times New Roman" w:hAnsiTheme="minorEastAsia"/>
          <w:b/>
          <w:bCs/>
          <w:sz w:val="20"/>
          <w:highlight w:val="none"/>
          <w:lang w:eastAsia="zh-CN"/>
        </w:rPr>
        <w:t>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7CEFDAFB">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1E48607B">
      <w:pPr>
        <w:pStyle w:val="3"/>
        <w:spacing w:before="0" w:beforeLines="0" w:afterLines="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r>
        <w:rPr>
          <w:rFonts w:hint="eastAsia" w:ascii="仿宋_GB2312" w:hAnsi="仿宋_GB2312" w:eastAsia="仿宋_GB2312" w:cs="仿宋_GB2312"/>
          <w:color w:val="auto"/>
          <w:sz w:val="20"/>
          <w:szCs w:val="20"/>
          <w:lang w:eastAsia="zh-CN"/>
        </w:rPr>
        <w:t>本产品运作期间，投资者按份额赎回所持有的理财产品，赎回金额按净值计算，</w:t>
      </w:r>
      <w:r>
        <w:rPr>
          <w:rFonts w:hint="eastAsia" w:ascii="仿宋_GB2312" w:hAnsi="仿宋_GB2312" w:eastAsia="仿宋_GB2312" w:cs="仿宋_GB2312"/>
          <w:color w:val="auto"/>
          <w:sz w:val="20"/>
          <w:szCs w:val="20"/>
          <w:lang w:val="en-US" w:eastAsia="zh-CN"/>
        </w:rPr>
        <w:t>投资者可得资金计算公式如下：</w:t>
      </w:r>
    </w:p>
    <w:p w14:paraId="680AF7F1">
      <w:pPr>
        <w:pStyle w:val="3"/>
        <w:spacing w:before="0" w:beforeLines="0" w:afterLines="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投资者可得资金</w:t>
      </w:r>
      <w:r>
        <w:rPr>
          <w:rFonts w:hint="eastAsia" w:ascii="仿宋_GB2312" w:hAnsi="仿宋_GB2312" w:eastAsia="仿宋_GB2312" w:cs="仿宋_GB2312"/>
          <w:color w:val="auto"/>
          <w:sz w:val="20"/>
          <w:szCs w:val="20"/>
          <w:lang w:eastAsia="zh-CN"/>
        </w:rPr>
        <w:t>=赎回份额</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w:t>
      </w:r>
    </w:p>
    <w:p w14:paraId="0B868D80">
      <w:pPr>
        <w:pStyle w:val="3"/>
        <w:spacing w:before="0"/>
        <w:ind w:left="0" w:right="153" w:firstLine="402" w:firstLineChars="200"/>
        <w:jc w:val="both"/>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b/>
          <w:bCs/>
          <w:color w:val="auto"/>
          <w:sz w:val="20"/>
          <w:szCs w:val="20"/>
          <w:lang w:val="en-US" w:eastAsia="zh-CN"/>
        </w:rPr>
        <w:t>计算</w:t>
      </w:r>
      <w:r>
        <w:rPr>
          <w:rFonts w:hint="eastAsia" w:ascii="仿宋_GB2312" w:hAnsi="仿宋_GB2312" w:eastAsia="仿宋_GB2312" w:cs="仿宋_GB2312"/>
          <w:b/>
          <w:bCs/>
          <w:color w:val="auto"/>
          <w:sz w:val="20"/>
          <w:szCs w:val="20"/>
          <w:lang w:eastAsia="zh-CN"/>
        </w:rPr>
        <w:t>示例</w:t>
      </w:r>
    </w:p>
    <w:p w14:paraId="65AABACB">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情景1</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份，开放期内投资者赎回全部持有的份额，赎回时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净值为1.0630</w:t>
      </w:r>
      <w:r>
        <w:rPr>
          <w:rFonts w:hint="eastAsia" w:ascii="仿宋_GB2312" w:hAnsi="仿宋_GB2312" w:eastAsia="仿宋_GB2312" w:cs="仿宋_GB2312"/>
          <w:color w:val="auto"/>
          <w:sz w:val="20"/>
          <w:szCs w:val="20"/>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6254F42E">
      <w:pPr>
        <w:pStyle w:val="3"/>
        <w:spacing w:before="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1.0630=106,300.00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元</w:t>
      </w:r>
      <w:r>
        <w:rPr>
          <w:rFonts w:hint="eastAsia" w:ascii="仿宋_GB2312" w:hAnsi="仿宋_GB2312" w:eastAsia="仿宋_GB2312" w:cs="仿宋_GB2312"/>
          <w:color w:val="auto"/>
          <w:sz w:val="20"/>
          <w:szCs w:val="20"/>
          <w:lang w:val="en-US" w:eastAsia="zh-CN"/>
        </w:rPr>
        <w:t>）</w:t>
      </w:r>
    </w:p>
    <w:p w14:paraId="34B17BDD">
      <w:pPr>
        <w:pStyle w:val="3"/>
        <w:spacing w:before="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=6,300.00（元）</w:t>
      </w:r>
    </w:p>
    <w:p w14:paraId="75F33081">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情景2</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b/>
          <w:bCs/>
          <w:sz w:val="20"/>
          <w:highlight w:val="none"/>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5F07E642">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可</w:t>
      </w:r>
      <w:r>
        <w:rPr>
          <w:rFonts w:hint="eastAsia" w:ascii="仿宋_GB2312" w:hAnsi="仿宋_GB2312" w:eastAsia="仿宋_GB2312" w:cs="仿宋_GB2312"/>
          <w:sz w:val="20"/>
          <w:highlight w:val="none"/>
          <w:lang w:eastAsia="zh-CN"/>
        </w:rPr>
        <w:t>得资金=100,000.00×0.9800=98,000.00（元）</w:t>
      </w:r>
    </w:p>
    <w:p w14:paraId="24A4B44F">
      <w:pPr>
        <w:pStyle w:val="3"/>
        <w:spacing w:before="0"/>
        <w:ind w:left="0" w:right="153" w:firstLine="400"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15E1D4D6">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为准，投资须谨慎；如发生最不利情况，投资者将损失全部本金。</w:t>
      </w:r>
    </w:p>
    <w:p w14:paraId="6E7F079F">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w:t>
      </w:r>
      <w:r>
        <w:rPr>
          <w:rFonts w:hint="default" w:ascii="仿宋_GB2312" w:eastAsia="仿宋_GB2312" w:cs="Times New Roman" w:hAnsiTheme="minorEastAsia"/>
          <w:b/>
          <w:bCs/>
          <w:color w:val="auto"/>
          <w:sz w:val="20"/>
          <w:szCs w:val="18"/>
          <w:highlight w:val="none"/>
          <w:lang w:eastAsia="zh-CN"/>
        </w:rPr>
        <w:t>或赎回</w:t>
      </w:r>
      <w:r>
        <w:rPr>
          <w:rFonts w:hint="eastAsia" w:ascii="仿宋_GB2312" w:hAnsi="仿宋_GB2312" w:eastAsia="仿宋_GB2312" w:cs="仿宋_GB2312"/>
          <w:b/>
          <w:bCs/>
          <w:color w:val="auto"/>
          <w:sz w:val="20"/>
          <w:szCs w:val="18"/>
          <w:highlight w:val="none"/>
          <w:lang w:eastAsia="zh-CN"/>
        </w:rPr>
        <w:t>时产品管理人实际支付的收益为准。产品历史业绩不代表其未来表现，不等于理财产品实际收益，更不构成本产品业绩表现的保证，投资须谨慎。</w:t>
      </w:r>
    </w:p>
    <w:p w14:paraId="0E7F37BC">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60F5E357">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098BD46F">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4291F7F4">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投资者在产品开放期内可对理财产品进行赎回，除正常赎回外，投资者无权提前终止该产品。</w:t>
      </w:r>
    </w:p>
    <w:p w14:paraId="483C35C8">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个工作日内</w:t>
      </w:r>
      <w:r>
        <w:rPr>
          <w:rFonts w:hint="eastAsia" w:ascii="仿宋_GB2312" w:eastAsia="仿宋_GB2312" w:cs="Times New Roman" w:hAnsiTheme="minorEastAsia"/>
          <w:b/>
          <w:sz w:val="20"/>
          <w:lang w:val="en-US" w:eastAsia="zh-CN"/>
        </w:rPr>
        <w:t>将投资者理财资金划转至</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none"/>
          <w:lang w:eastAsia="zh-CN"/>
        </w:rPr>
        <w:t>不计息</w:t>
      </w:r>
      <w:r>
        <w:rPr>
          <w:rFonts w:ascii="仿宋_GB2312" w:eastAsia="仿宋_GB2312" w:cs="Times New Roman" w:hAnsiTheme="minorEastAsia"/>
          <w:b/>
          <w:sz w:val="20"/>
          <w:lang w:eastAsia="zh-CN"/>
        </w:rPr>
        <w:t>。</w:t>
      </w:r>
    </w:p>
    <w:p w14:paraId="43E9485F">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169762FF">
      <w:pPr>
        <w:pStyle w:val="3"/>
        <w:spacing w:before="0"/>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lang w:val="en-US" w:eastAsia="zh-CN"/>
        </w:rPr>
        <w:t>万元，产品可提前终止；</w:t>
      </w:r>
    </w:p>
    <w:p w14:paraId="76B8B7A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2.因不可抗力原因导致理财产品无法继续运作；                                   </w:t>
      </w:r>
    </w:p>
    <w:p w14:paraId="18B75D3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3.遇有市场剧烈波动、异常风险事件等情形导致理财产品净值出现大幅波动或严重影响理财产品的资产安全；                                                            </w:t>
      </w:r>
    </w:p>
    <w:p w14:paraId="6EE7FF6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1586B1D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28412EC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49F195D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04DAFF0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5B403B92">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59292368">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w:t>
      </w:r>
      <w:r>
        <w:rPr>
          <w:rFonts w:hint="eastAsia" w:ascii="仿宋_GB2312" w:hAnsi="仿宋_GB2312" w:eastAsia="仿宋_GB2312" w:cs="仿宋_GB2312"/>
          <w:color w:val="auto"/>
          <w:sz w:val="20"/>
          <w:szCs w:val="20"/>
          <w:highlight w:val="none"/>
          <w:lang w:val="en-US" w:eastAsia="zh-CN"/>
        </w:rPr>
        <w:t>投资者在产品提前终止日</w:t>
      </w:r>
      <w:r>
        <w:rPr>
          <w:rFonts w:ascii="仿宋_GB2312" w:eastAsia="仿宋_GB2312" w:cs="Times New Roman" w:hAnsiTheme="minorEastAsia"/>
          <w:sz w:val="20"/>
          <w:lang w:eastAsia="zh-CN"/>
        </w:rPr>
        <w:t>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可得资金为</w:t>
      </w:r>
      <w:r>
        <w:rPr>
          <w:rFonts w:ascii="仿宋_GB2312" w:eastAsia="仿宋_GB2312" w:cs="Times New Roman" w:hAnsiTheme="minorEastAsia"/>
          <w:sz w:val="20"/>
          <w:lang w:eastAsia="zh-CN"/>
        </w:rPr>
        <w:t>：</w:t>
      </w:r>
    </w:p>
    <w:p w14:paraId="7CBE5EA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w:t>
      </w:r>
      <w:r>
        <w:rPr>
          <w:rFonts w:ascii="仿宋_GB2312" w:eastAsia="仿宋_GB2312" w:cs="Times New Roman" w:hAnsiTheme="minorEastAsia"/>
          <w:sz w:val="20"/>
          <w:lang w:eastAsia="zh-CN"/>
        </w:rPr>
        <w:t>＝100,000.00×1.0565=105,650.00（元）</w:t>
      </w:r>
    </w:p>
    <w:p w14:paraId="5D434EDE">
      <w:pPr>
        <w:pStyle w:val="3"/>
        <w:spacing w:before="0"/>
        <w:ind w:left="0" w:right="151" w:firstLine="390" w:firstLineChars="200"/>
        <w:jc w:val="both"/>
        <w:rPr>
          <w:rFonts w:ascii="Times New Roman" w:hAnsi="Times New Roman" w:cs="Times New Roman" w:eastAsiaTheme="minorEastAsia"/>
          <w:lang w:eastAsia="zh-CN"/>
        </w:rPr>
      </w:pPr>
      <w:r>
        <w:rPr>
          <w:rFonts w:hint="eastAsia" w:ascii="仿宋_GB2312" w:eastAsia="仿宋_GB2312" w:cs="Times New Roman" w:hAnsiTheme="minorEastAsia"/>
          <w:b/>
          <w:bCs/>
          <w:spacing w:val="-3"/>
          <w:sz w:val="20"/>
          <w:lang w:eastAsia="zh-CN"/>
        </w:rPr>
        <w:t>上述示例采用假设数据计算，仅作为告知投资者公式计算方法使用，但测算收益不等于实际收益，实际收益以兑付为准，投资须谨慎；如发生最不利情况，投资者将损失全部本金。</w:t>
      </w:r>
    </w:p>
    <w:p w14:paraId="1363C5F1">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78A257C3">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6DD4C91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可得</w:t>
      </w:r>
      <w:r>
        <w:rPr>
          <w:rFonts w:hint="eastAsia" w:ascii="仿宋_GB2312" w:eastAsia="仿宋_GB2312" w:cs="Times New Roman" w:hAnsiTheme="minorEastAsia"/>
          <w:sz w:val="20"/>
          <w:highlight w:val="none"/>
          <w:lang w:eastAsia="zh-CN"/>
        </w:rPr>
        <w:t>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w:t>
      </w:r>
      <w:r>
        <w:rPr>
          <w:rFonts w:hint="default" w:ascii="仿宋_GB2312" w:eastAsia="仿宋_GB2312" w:cs="Times New Roman" w:hAnsiTheme="minorEastAsia"/>
          <w:sz w:val="20"/>
          <w:lang w:eastAsia="zh-CN"/>
        </w:rPr>
        <w:t>购</w:t>
      </w:r>
      <w:r>
        <w:rPr>
          <w:rFonts w:hint="default"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2C4181C6">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）展期</w:t>
      </w:r>
    </w:p>
    <w:p w14:paraId="061A1B85">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471497E6">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三</w:t>
      </w:r>
      <w:r>
        <w:rPr>
          <w:rFonts w:ascii="仿宋_GB2312" w:eastAsia="仿宋_GB2312" w:cs="Times New Roman" w:hAnsiTheme="minorEastAsia"/>
          <w:b/>
          <w:sz w:val="20"/>
          <w:lang w:eastAsia="zh-CN"/>
        </w:rPr>
        <w:t>）非正常情况</w:t>
      </w:r>
      <w:r>
        <w:rPr>
          <w:rFonts w:hint="eastAsia" w:ascii="仿宋_GB2312" w:eastAsia="仿宋_GB2312" w:cs="Times New Roman" w:hAnsiTheme="minorEastAsia"/>
          <w:b/>
          <w:sz w:val="20"/>
          <w:lang w:eastAsia="zh-CN"/>
        </w:rPr>
        <w:t>兑付</w:t>
      </w:r>
    </w:p>
    <w:p w14:paraId="582F3DE6">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lang w:eastAsia="zh-CN"/>
        </w:rPr>
        <w:t>，造成本产品的基础资产无法及时、足额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w:t>
      </w:r>
      <w:r>
        <w:rPr>
          <w:rFonts w:hint="eastAsia" w:ascii="仿宋_GB2312" w:eastAsia="仿宋_GB2312" w:cs="Times New Roman" w:hAnsiTheme="minorEastAsia"/>
          <w:sz w:val="20"/>
          <w:lang w:val="en-US" w:eastAsia="zh-CN"/>
        </w:rPr>
        <w:t>有权</w:t>
      </w:r>
      <w:r>
        <w:rPr>
          <w:rFonts w:ascii="仿宋_GB2312" w:eastAsia="仿宋_GB2312" w:cs="Times New Roman" w:hAnsiTheme="minorEastAsia"/>
          <w:sz w:val="20"/>
          <w:lang w:eastAsia="zh-CN"/>
        </w:rPr>
        <w:t>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w:t>
      </w:r>
      <w:r>
        <w:rPr>
          <w:rFonts w:hint="eastAsia" w:ascii="仿宋_GB2312" w:eastAsia="仿宋_GB2312" w:cs="Times New Roman" w:hAnsiTheme="minorEastAsia"/>
          <w:sz w:val="20"/>
          <w:lang w:val="en-US" w:eastAsia="zh-CN"/>
        </w:rPr>
        <w:t>延期</w:t>
      </w:r>
      <w:r>
        <w:rPr>
          <w:rFonts w:ascii="仿宋_GB2312" w:eastAsia="仿宋_GB2312" w:cs="Times New Roman" w:hAnsiTheme="minorEastAsia"/>
          <w:sz w:val="20"/>
          <w:lang w:eastAsia="zh-CN"/>
        </w:rPr>
        <w:t>兑付或者分次兑付</w:t>
      </w:r>
      <w:r>
        <w:rPr>
          <w:rFonts w:hint="eastAsia" w:ascii="仿宋_GB2312" w:eastAsia="仿宋_GB2312" w:cs="Times New Roman" w:hAnsiTheme="minorEastAsia"/>
          <w:sz w:val="20"/>
          <w:highlight w:val="none"/>
          <w:lang w:val="en-US" w:eastAsia="zh-CN"/>
        </w:rPr>
        <w:t>等方式向投资者进行兑付，并于具体实施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44B0F59D">
      <w:pPr>
        <w:pStyle w:val="12"/>
        <w:spacing w:line="236" w:lineRule="auto"/>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182CA8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725BC565">
      <w:pPr>
        <w:pStyle w:val="3"/>
        <w:keepNext w:val="0"/>
        <w:keepLines w:val="0"/>
        <w:pageBreakBefore w:val="0"/>
        <w:widowControl w:val="0"/>
        <w:kinsoku/>
        <w:wordWrap w:val="0"/>
        <w:overflowPunct/>
        <w:topLinePunct w:val="0"/>
        <w:autoSpaceDE/>
        <w:autoSpaceDN/>
        <w:bidi w:val="0"/>
        <w:adjustRightInd/>
        <w:snapToGrid/>
        <w:spacing w:before="0" w:line="236" w:lineRule="auto"/>
        <w:ind w:left="0" w:right="153" w:firstLine="400" w:firstLineChars="200"/>
        <w:jc w:val="both"/>
        <w:textAlignment w:val="auto"/>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t>
      </w:r>
      <w:r>
        <w:rPr>
          <w:rFonts w:hint="eastAsia" w:ascii="仿宋_GB2312" w:hAnsi="仿宋_GB2312" w:eastAsia="仿宋_GB2312" w:cs="仿宋_GB2312"/>
          <w:color w:val="auto"/>
          <w:kern w:val="0"/>
          <w:sz w:val="20"/>
          <w:szCs w:val="20"/>
          <w:highlight w:val="none"/>
          <w:lang w:val="en-US" w:eastAsia="zh-CN" w:bidi="ar"/>
        </w:rPr>
        <w:t>https://www.gznxbank.com/html/2010000/index.html</w:t>
      </w:r>
      <w:r>
        <w:rPr>
          <w:rFonts w:ascii="仿宋_GB2312" w:eastAsia="仿宋_GB2312" w:cs="Times New Roman" w:hAnsiTheme="minorEastAsia"/>
          <w:sz w:val="20"/>
          <w:lang w:eastAsia="zh-CN"/>
        </w:rPr>
        <w:t>）</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5ED05CF2">
      <w:pPr>
        <w:pStyle w:val="3"/>
        <w:numPr>
          <w:ilvl w:val="-1"/>
          <w:numId w:val="0"/>
        </w:numPr>
        <w:spacing w:before="0" w:line="236" w:lineRule="auto"/>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116968A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48A0B9D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26A0398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70721C16">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47347213">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3CA303FD">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4D2181A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5223993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2EDDB0F6">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35B63F33">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4DA27968">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42C8C21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根据《中华人民共和国消费者权益保护法》《中国人民银行金融消费者权益保护实施办法》 </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lang w:eastAsia="zh-CN"/>
        </w:rPr>
        <w:t>《商业银行理财业务监督管理办法》</w:t>
      </w:r>
      <w:r>
        <w:rPr>
          <w:rFonts w:hint="eastAsia" w:ascii="仿宋_GB2312" w:eastAsia="仿宋_GB2312" w:cs="Times New Roman" w:hAnsiTheme="minorEastAsia"/>
          <w:sz w:val="20"/>
          <w:lang w:val="en-US" w:eastAsia="zh-CN"/>
        </w:rPr>
        <w:t>等</w:t>
      </w:r>
      <w:r>
        <w:rPr>
          <w:rFonts w:hint="eastAsia" w:ascii="仿宋_GB2312" w:eastAsia="仿宋_GB2312" w:cs="Times New Roman" w:hAnsiTheme="minorEastAsia"/>
          <w:sz w:val="20"/>
          <w:lang w:eastAsia="zh-CN"/>
        </w:rPr>
        <w:t>的要求，主动、真实、准确、完整、及时地向理财投资者提供理财产品信息披露服务。</w:t>
      </w:r>
    </w:p>
    <w:p w14:paraId="34C7C779">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1EA204E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450BE248">
      <w:pPr>
        <w:pStyle w:val="3"/>
        <w:spacing w:before="0" w:line="236" w:lineRule="auto"/>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925467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3DDEAAA7">
      <w:pPr>
        <w:pStyle w:val="12"/>
        <w:spacing w:line="236" w:lineRule="auto"/>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54368FE5">
      <w:pPr>
        <w:pStyle w:val="3"/>
        <w:spacing w:line="236" w:lineRule="auto"/>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70C5900D">
      <w:pPr>
        <w:pStyle w:val="3"/>
        <w:spacing w:before="0" w:beforeLines="0" w:after="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326FAFFF">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515A7056">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ACCAC36">
      <w:pPr>
        <w:pStyle w:val="3"/>
        <w:spacing w:before="0"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42E2BC1C">
      <w:pPr>
        <w:pStyle w:val="3"/>
        <w:spacing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722D0E3D">
      <w:pPr>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br w:type="page"/>
      </w:r>
    </w:p>
    <w:p w14:paraId="1151430D">
      <w:pPr>
        <w:pStyle w:val="3"/>
        <w:ind w:left="0" w:right="153" w:firstLine="400" w:firstLineChars="200"/>
        <w:jc w:val="both"/>
        <w:rPr>
          <w:rFonts w:hint="eastAsia" w:ascii="仿宋_GB2312" w:eastAsia="仿宋_GB2312" w:cs="Times New Roman" w:hAnsiTheme="minorEastAsia"/>
          <w:sz w:val="20"/>
          <w:lang w:eastAsia="zh-CN"/>
        </w:rPr>
      </w:pPr>
    </w:p>
    <w:p w14:paraId="7C5BC3C1">
      <w:pPr>
        <w:pStyle w:val="3"/>
        <w:ind w:left="0" w:right="153" w:firstLine="400" w:firstLineChars="200"/>
        <w:jc w:val="both"/>
        <w:rPr>
          <w:rFonts w:hint="eastAsia" w:ascii="仿宋_GB2312" w:eastAsia="仿宋_GB2312" w:cs="Times New Roman" w:hAnsiTheme="minorEastAsia"/>
          <w:sz w:val="20"/>
          <w:lang w:eastAsia="zh-CN"/>
        </w:rPr>
      </w:pPr>
    </w:p>
    <w:p w14:paraId="11D7B8C5">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259401CF">
      <w:pPr>
        <w:pStyle w:val="12"/>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4FDB5E4E">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2898DB13">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35190ED9">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4595B3B5">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6D8FC16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654E7CF5">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31B41877">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4C7FB0C1">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5D3ADA25">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b/>
          <w:bCs/>
          <w:sz w:val="20"/>
          <w:szCs w:val="20"/>
          <w:lang w:val="en-US" w:eastAsia="zh-CN"/>
        </w:rPr>
        <w:t>但因甲方</w:t>
      </w:r>
      <w:r>
        <w:rPr>
          <w:rFonts w:hint="default" w:ascii="仿宋_GB2312" w:hAnsi="宋体" w:eastAsia="仿宋_GB2312" w:cstheme="minorBidi"/>
          <w:b/>
          <w:bCs/>
          <w:sz w:val="20"/>
          <w:szCs w:val="20"/>
          <w:lang w:eastAsia="zh-CN"/>
        </w:rPr>
        <w:t>认购/申购</w:t>
      </w:r>
      <w:r>
        <w:rPr>
          <w:rFonts w:hint="eastAsia" w:ascii="仿宋_GB2312" w:hAnsi="宋体" w:eastAsia="仿宋_GB2312" w:cstheme="minorBidi"/>
          <w:b/>
          <w:bCs/>
          <w:sz w:val="20"/>
          <w:szCs w:val="20"/>
          <w:lang w:val="en-US" w:eastAsia="zh-CN"/>
        </w:rPr>
        <w:t>账户状态异常导致乙方划扣不成功的，由甲方自行承担责任。</w:t>
      </w:r>
      <w:r>
        <w:rPr>
          <w:rFonts w:hint="eastAsia" w:ascii="仿宋_GB2312" w:hAnsi="宋体" w:eastAsia="仿宋_GB2312" w:cstheme="minorBidi"/>
          <w:b/>
          <w:bCs/>
          <w:sz w:val="20"/>
          <w:szCs w:val="20"/>
          <w:highlight w:val="none"/>
          <w:lang w:val="en-US" w:eastAsia="zh-CN"/>
        </w:rPr>
        <w:t>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70D45D74">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、因甲方认购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lang w:eastAsia="zh-CN"/>
        </w:rPr>
        <w:t>账户资金余额不足或其他原因(如冻结、挂失、换卡、有权机关查冻扣等)，导致认购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不成功，本协议自动终止。协议终止后，除理财认购账户资金活期利息外，乙方不计付本理财产品的任何收益，并且乙方对此不承担任何责任。如理财认购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账户资金遇有权机关扣划的，自资金被扣划之日起，乙方不再支付利息。</w:t>
      </w:r>
    </w:p>
    <w:p w14:paraId="3A962DF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b w:val="0"/>
          <w:bCs w:val="0"/>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default" w:ascii="仿宋_GB2312" w:hAnsi="宋体" w:eastAsia="仿宋_GB2312" w:cstheme="minorBidi"/>
          <w:b/>
          <w:bCs/>
          <w:sz w:val="20"/>
          <w:szCs w:val="20"/>
          <w:lang w:eastAsia="zh-CN"/>
        </w:rPr>
        <w:t>/申购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2BAB2760">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00033D4">
      <w:pPr>
        <w:snapToGrid w:val="0"/>
        <w:spacing w:before="0" w:line="240" w:lineRule="exact"/>
        <w:ind w:left="0" w:right="153" w:firstLine="402" w:firstLineChars="200"/>
        <w:jc w:val="both"/>
        <w:rPr>
          <w:rFonts w:hint="eastAsia" w:ascii="仿宋_GB2312" w:eastAsia="仿宋_GB2312" w:cs="Times New Roman" w:hAnsiTheme="minorEastAsia"/>
          <w:sz w:val="20"/>
          <w:szCs w:val="20"/>
          <w:lang w:eastAsia="zh-CN"/>
        </w:rPr>
      </w:pPr>
      <w:r>
        <w:rPr>
          <w:rFonts w:hint="eastAsia" w:ascii="仿宋_GB2312" w:hAnsi="宋体" w:eastAsia="仿宋_GB2312"/>
          <w:b/>
          <w:bCs/>
          <w:sz w:val="20"/>
          <w:szCs w:val="20"/>
          <w:lang w:val="en-US" w:eastAsia="zh-CN"/>
        </w:rPr>
        <w:t>九</w:t>
      </w:r>
      <w:r>
        <w:rPr>
          <w:rFonts w:hint="eastAsia" w:ascii="仿宋_GB2312" w:hAnsi="宋体" w:eastAsia="仿宋_GB2312"/>
          <w:b/>
          <w:bCs/>
          <w:sz w:val="20"/>
          <w:szCs w:val="20"/>
          <w:lang w:eastAsia="zh-CN"/>
        </w:rPr>
        <w:t>、发生下列情况之一时，乙方有权单方提前终止本协议：</w:t>
      </w:r>
    </w:p>
    <w:p w14:paraId="34B022F6">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产品募集</w:t>
      </w:r>
      <w:r>
        <w:rPr>
          <w:rFonts w:hint="eastAsia" w:ascii="仿宋_GB2312" w:eastAsia="仿宋_GB2312" w:cs="Times New Roman" w:hAnsiTheme="minorEastAsia"/>
          <w:sz w:val="20"/>
          <w:szCs w:val="20"/>
          <w:lang w:val="en-US" w:eastAsia="zh-CN"/>
        </w:rPr>
        <w:t>金额</w:t>
      </w:r>
      <w:r>
        <w:rPr>
          <w:rFonts w:hint="eastAsia" w:ascii="仿宋_GB2312" w:eastAsia="仿宋_GB2312" w:cs="Times New Roman" w:hAnsiTheme="minorEastAsia"/>
          <w:sz w:val="20"/>
          <w:szCs w:val="20"/>
          <w:lang w:eastAsia="zh-CN"/>
        </w:rPr>
        <w:t>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432645A9">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4AB2310E">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 xml:space="preserve">）因不可抗力原因导致理财产品无法继续运作；                                   </w:t>
      </w:r>
    </w:p>
    <w:p w14:paraId="4269115A">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 xml:space="preserve">）遇有市场剧烈波动、异常风险事件等情形导致理财产品净值出现大幅波动或严重影响理财产品的资产安全；                                                            </w:t>
      </w:r>
    </w:p>
    <w:p w14:paraId="3B10D0B5">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因投资者赎回导致理财产品剩余资产无法满足相关法律法规规定、所投资市场要求或与第三方签订的投资协议等相关法律文件约定，或者继续存续无法实现投资目标；</w:t>
      </w:r>
    </w:p>
    <w:p w14:paraId="260C4154">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0FB7B28B">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相关投资管理机构或运用理财资金的第三方主体实施符合法律法规规定或与第三方签订的投资协议等相关法律文件约定的行为导致理财产品被动提前终止；</w:t>
      </w:r>
    </w:p>
    <w:p w14:paraId="1AF8B3F5">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5AEC61C2">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九）</w:t>
      </w:r>
      <w:r>
        <w:rPr>
          <w:rFonts w:hint="eastAsia" w:ascii="仿宋_GB2312" w:eastAsia="仿宋_GB2312" w:cs="Times New Roman" w:hAnsiTheme="minorEastAsia"/>
          <w:sz w:val="20"/>
          <w:szCs w:val="20"/>
          <w:lang w:eastAsia="zh-CN"/>
        </w:rPr>
        <w:t>法律法规规定或监管部门认定的其他情形。</w:t>
      </w:r>
    </w:p>
    <w:p w14:paraId="19D57CD7">
      <w:pPr>
        <w:snapToGrid w:val="0"/>
        <w:spacing w:line="240" w:lineRule="exact"/>
        <w:ind w:firstLine="402" w:firstLineChars="200"/>
        <w:jc w:val="both"/>
        <w:rPr>
          <w:rFonts w:ascii="仿宋_GB2312" w:hAnsi="宋体" w:eastAsia="仿宋_GB2312"/>
          <w:b/>
          <w:bCs/>
          <w:sz w:val="20"/>
          <w:szCs w:val="20"/>
          <w:u w:val="single"/>
          <w:lang w:eastAsia="zh-CN"/>
        </w:rPr>
      </w:pPr>
      <w:r>
        <w:rPr>
          <w:rFonts w:hint="eastAsia" w:ascii="仿宋_GB2312" w:hAnsi="宋体" w:eastAsia="仿宋_GB2312"/>
          <w:b/>
          <w:bCs/>
          <w:sz w:val="20"/>
          <w:szCs w:val="20"/>
          <w:u w:val="single"/>
          <w:lang w:val="en-US" w:eastAsia="zh-CN"/>
        </w:rPr>
        <w:t>十</w:t>
      </w:r>
      <w:r>
        <w:rPr>
          <w:rFonts w:hint="eastAsia" w:ascii="仿宋_GB2312" w:hAnsi="宋体" w:eastAsia="仿宋_GB2312"/>
          <w:b/>
          <w:bCs/>
          <w:sz w:val="20"/>
          <w:szCs w:val="20"/>
          <w:u w:val="single"/>
          <w:lang w:eastAsia="zh-CN"/>
        </w:rPr>
        <w:t>、</w:t>
      </w:r>
      <w:r>
        <w:rPr>
          <w:rFonts w:hint="eastAsia" w:ascii="仿宋_GB2312" w:hAnsi="宋体" w:eastAsia="仿宋_GB2312"/>
          <w:b/>
          <w:bCs/>
          <w:sz w:val="20"/>
          <w:szCs w:val="20"/>
          <w:highlight w:val="none"/>
          <w:u w:val="single"/>
          <w:lang w:eastAsia="zh-CN"/>
        </w:rPr>
        <w:t>乙方单方提前终止本协议时，</w:t>
      </w:r>
      <w:r>
        <w:rPr>
          <w:rFonts w:hint="eastAsia" w:ascii="仿宋_GB2312" w:hAnsi="宋体" w:eastAsia="仿宋_GB2312"/>
          <w:b/>
          <w:bCs/>
          <w:sz w:val="20"/>
          <w:szCs w:val="20"/>
          <w:u w:val="single"/>
          <w:lang w:eastAsia="zh-CN"/>
        </w:rPr>
        <w:t>甲</w:t>
      </w:r>
      <w:r>
        <w:rPr>
          <w:rFonts w:hint="eastAsia" w:ascii="仿宋_GB2312" w:hAnsi="宋体" w:eastAsia="仿宋_GB2312"/>
          <w:b/>
          <w:bCs/>
          <w:sz w:val="20"/>
          <w:szCs w:val="20"/>
          <w:u w:val="single"/>
          <w:lang w:val="en-US" w:eastAsia="zh-CN"/>
        </w:rPr>
        <w:t>方</w:t>
      </w:r>
      <w:r>
        <w:rPr>
          <w:rFonts w:hint="eastAsia" w:ascii="仿宋_GB2312" w:hAnsi="宋体" w:eastAsia="仿宋_GB2312"/>
          <w:b/>
          <w:bCs/>
          <w:sz w:val="20"/>
          <w:szCs w:val="20"/>
          <w:u w:val="single"/>
          <w:lang w:eastAsia="zh-CN"/>
        </w:rPr>
        <w:t>同意乙方可采取任意一种或多种方式通知甲方，通知方式包括但不限于短信、电话、乙方网站公告、信函、</w:t>
      </w:r>
      <w:r>
        <w:rPr>
          <w:rFonts w:hint="eastAsia" w:ascii="仿宋_GB2312" w:hAnsi="宋体" w:eastAsia="仿宋_GB2312"/>
          <w:b/>
          <w:bCs/>
          <w:sz w:val="20"/>
          <w:szCs w:val="20"/>
          <w:u w:val="single"/>
          <w:lang w:val="en-US" w:eastAsia="zh-CN"/>
        </w:rPr>
        <w:t>营业网点等</w:t>
      </w:r>
      <w:r>
        <w:rPr>
          <w:rFonts w:hint="eastAsia" w:ascii="仿宋_GB2312" w:hAnsi="宋体" w:eastAsia="仿宋_GB2312"/>
          <w:b/>
          <w:bCs/>
          <w:sz w:val="20"/>
          <w:szCs w:val="20"/>
          <w:u w:val="single"/>
          <w:lang w:eastAsia="zh-CN"/>
        </w:rPr>
        <w:t>。无论乙方是否以前述方式通知甲方，甲方同意乙方将行使提前终止权的</w:t>
      </w:r>
      <w:r>
        <w:rPr>
          <w:rFonts w:hint="eastAsia" w:ascii="仿宋_GB2312" w:hAnsi="宋体" w:eastAsia="仿宋_GB2312"/>
          <w:b/>
          <w:bCs/>
          <w:sz w:val="20"/>
          <w:szCs w:val="20"/>
          <w:u w:val="single"/>
          <w:lang w:val="en-US" w:eastAsia="zh-CN"/>
        </w:rPr>
        <w:t>应兑付资金</w:t>
      </w:r>
      <w:r>
        <w:rPr>
          <w:rFonts w:hint="eastAsia" w:ascii="仿宋_GB2312" w:hAnsi="宋体" w:eastAsia="仿宋_GB2312"/>
          <w:b/>
          <w:bCs/>
          <w:sz w:val="20"/>
          <w:szCs w:val="20"/>
          <w:u w:val="single"/>
          <w:lang w:eastAsia="zh-CN"/>
        </w:rPr>
        <w:t>划入甲方</w:t>
      </w:r>
      <w:r>
        <w:rPr>
          <w:rFonts w:hint="eastAsia" w:ascii="仿宋_GB2312" w:hAnsi="宋体" w:eastAsia="仿宋_GB2312"/>
          <w:b/>
          <w:bCs/>
          <w:sz w:val="20"/>
          <w:szCs w:val="20"/>
          <w:u w:val="single"/>
          <w:lang w:val="en-US" w:eastAsia="zh-CN"/>
        </w:rPr>
        <w:t>认购/申购</w:t>
      </w:r>
      <w:r>
        <w:rPr>
          <w:rFonts w:hint="eastAsia" w:ascii="仿宋_GB2312" w:hAnsi="宋体" w:eastAsia="仿宋_GB2312"/>
          <w:b/>
          <w:bCs/>
          <w:sz w:val="20"/>
          <w:szCs w:val="20"/>
          <w:u w:val="single"/>
          <w:lang w:eastAsia="zh-CN"/>
        </w:rPr>
        <w:t>账户，即视同乙方已经通知甲方。甲方不得以未知晓乙方提前终止而向乙方提出任何损失赔偿。</w:t>
      </w:r>
    </w:p>
    <w:p w14:paraId="2F8DEA11">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7818630E">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0D00A5D4">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645EE90F">
      <w:pPr>
        <w:snapToGrid w:val="0"/>
        <w:spacing w:line="240" w:lineRule="exact"/>
        <w:ind w:firstLine="402" w:firstLineChars="200"/>
        <w:jc w:val="both"/>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00759A24">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0089AD5B">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420E23FB">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51AD338C">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3FD613C1">
      <w:pPr>
        <w:snapToGrid w:val="0"/>
        <w:spacing w:line="240" w:lineRule="exact"/>
        <w:ind w:firstLine="400" w:firstLineChars="200"/>
        <w:jc w:val="both"/>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601AF8D3">
      <w:pPr>
        <w:snapToGrid w:val="0"/>
        <w:spacing w:line="240" w:lineRule="exact"/>
        <w:ind w:firstLine="360" w:firstLineChars="200"/>
        <w:rPr>
          <w:rFonts w:hint="eastAsia" w:ascii="仿宋_GB2312" w:hAnsi="宋体" w:eastAsia="仿宋_GB2312"/>
          <w:sz w:val="18"/>
          <w:szCs w:val="18"/>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28A1C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286" w:type="dxa"/>
            <w:noWrap w:val="0"/>
            <w:vAlign w:val="top"/>
          </w:tcPr>
          <w:p w14:paraId="1E479F56">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2F7D5E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2FCDD87D">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所有条款的情况下，再签署</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，对于不理解的内容，您有权向贵阳农商银行工作人员进行咨询并得到答复。</w:t>
            </w:r>
          </w:p>
          <w:p w14:paraId="60281144">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全部条款，请您不要签署本提示及本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w:t>
            </w:r>
          </w:p>
          <w:p w14:paraId="61699507">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233F2252">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项下全部条款。</w:t>
            </w:r>
          </w:p>
          <w:p w14:paraId="5D5CD4D4">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4C1080C2">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相关条款进行了解释及说明。</w:t>
            </w:r>
          </w:p>
          <w:p w14:paraId="2839E04F">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356594AC">
            <w:pPr>
              <w:snapToGrid w:val="0"/>
              <w:spacing w:line="400" w:lineRule="exact"/>
              <w:ind w:firstLine="360" w:firstLineChars="200"/>
              <w:rPr>
                <w:rFonts w:ascii="仿宋_GB2312" w:hAnsi="宋体" w:eastAsia="仿宋_GB2312"/>
                <w:sz w:val="18"/>
                <w:szCs w:val="18"/>
                <w:lang w:eastAsia="zh-CN"/>
              </w:rPr>
            </w:pPr>
          </w:p>
          <w:p w14:paraId="0233225F">
            <w:pPr>
              <w:snapToGrid w:val="0"/>
              <w:spacing w:line="400" w:lineRule="exact"/>
              <w:ind w:firstLine="360" w:firstLineChars="200"/>
              <w:rPr>
                <w:rFonts w:ascii="仿宋_GB2312" w:hAnsi="宋体" w:eastAsia="仿宋_GB2312"/>
                <w:sz w:val="18"/>
                <w:szCs w:val="18"/>
                <w:lang w:eastAsia="zh-CN"/>
              </w:rPr>
            </w:pPr>
          </w:p>
          <w:p w14:paraId="5B50B368">
            <w:pPr>
              <w:snapToGrid w:val="0"/>
              <w:spacing w:line="400" w:lineRule="exact"/>
              <w:ind w:firstLine="360" w:firstLineChars="200"/>
              <w:rPr>
                <w:rFonts w:ascii="仿宋_GB2312" w:hAnsi="宋体" w:eastAsia="仿宋_GB2312"/>
                <w:sz w:val="18"/>
                <w:szCs w:val="18"/>
                <w:lang w:eastAsia="zh-CN"/>
              </w:rPr>
            </w:pPr>
          </w:p>
          <w:p w14:paraId="1A5060D6">
            <w:pPr>
              <w:spacing w:line="500" w:lineRule="exact"/>
              <w:ind w:firstLine="0" w:firstLineChars="0"/>
              <w:rPr>
                <w:rFonts w:ascii="黑体" w:hAnsi="黑体" w:eastAsia="黑体"/>
                <w:color w:val="000000"/>
                <w:sz w:val="21"/>
                <w:szCs w:val="21"/>
                <w:u w:val="single"/>
              </w:rPr>
            </w:pPr>
          </w:p>
          <w:p w14:paraId="625665B4">
            <w:pPr>
              <w:spacing w:line="500" w:lineRule="exact"/>
              <w:ind w:firstLine="5040" w:firstLineChars="24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5D1CD589">
            <w:pPr>
              <w:spacing w:line="500" w:lineRule="exact"/>
              <w:rPr>
                <w:rFonts w:hint="eastAsia" w:ascii="仿宋_GB2312" w:hAnsi="宋体" w:eastAsia="仿宋_GB2312"/>
                <w:color w:val="000000"/>
                <w:sz w:val="21"/>
                <w:szCs w:val="21"/>
              </w:rPr>
            </w:pPr>
          </w:p>
        </w:tc>
      </w:tr>
    </w:tbl>
    <w:p w14:paraId="73B9DA86">
      <w:pPr>
        <w:snapToGrid w:val="0"/>
        <w:spacing w:line="240" w:lineRule="exact"/>
        <w:ind w:firstLine="360" w:firstLineChars="200"/>
        <w:rPr>
          <w:rFonts w:hint="eastAsia" w:ascii="仿宋_GB2312" w:hAnsi="宋体" w:eastAsia="仿宋_GB2312"/>
          <w:sz w:val="18"/>
          <w:szCs w:val="18"/>
          <w:lang w:eastAsia="zh-CN"/>
        </w:rPr>
      </w:pPr>
    </w:p>
    <w:p w14:paraId="72A66023">
      <w:pPr>
        <w:rPr>
          <w:rFonts w:ascii="仿宋_GB2312" w:hAnsi="宋体" w:eastAsia="仿宋_GB2312"/>
          <w:sz w:val="18"/>
          <w:szCs w:val="18"/>
          <w:lang w:eastAsia="zh-CN"/>
        </w:rPr>
      </w:pPr>
      <w:r>
        <w:rPr>
          <w:rFonts w:ascii="仿宋_GB2312" w:hAnsi="宋体" w:eastAsia="仿宋_GB2312"/>
          <w:sz w:val="18"/>
          <w:szCs w:val="18"/>
          <w:lang w:eastAsia="zh-CN"/>
        </w:rPr>
        <w:br w:type="page"/>
      </w:r>
    </w:p>
    <w:p w14:paraId="43A67D75">
      <w:pPr>
        <w:widowControl/>
        <w:rPr>
          <w:rFonts w:ascii="仿宋_GB2312" w:hAnsi="宋体" w:eastAsia="仿宋_GB2312"/>
          <w:sz w:val="20"/>
          <w:szCs w:val="18"/>
          <w:lang w:eastAsia="zh-CN"/>
        </w:rPr>
      </w:pPr>
    </w:p>
    <w:p w14:paraId="59574706">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2AD5E516">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6CDE2285">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55830970">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4B9CFAD5">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14209564">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w:t>
      </w:r>
      <w:permStart w:id="3" w:edGrp="everyone"/>
      <w:r>
        <w:rPr>
          <w:rFonts w:hint="eastAsia" w:ascii="仿宋_GB2312" w:eastAsia="仿宋_GB2312" w:cs="Times New Roman" w:hAnsiTheme="minorEastAsia"/>
          <w:sz w:val="20"/>
          <w:lang w:eastAsia="zh-CN"/>
        </w:rPr>
        <w:t>营业网点</w:t>
      </w:r>
      <w:r>
        <w:rPr>
          <w:rFonts w:hint="eastAsia" w:ascii="仿宋_GB2312" w:eastAsia="仿宋_GB2312" w:cs="Times New Roman" w:hAnsiTheme="minorEastAsia"/>
          <w:sz w:val="20"/>
          <w:lang w:val="en-US" w:eastAsia="zh-CN"/>
        </w:rPr>
        <w:t>和</w:t>
      </w:r>
      <w:r>
        <w:rPr>
          <w:rFonts w:hint="eastAsia" w:ascii="仿宋_GB2312" w:eastAsia="仿宋_GB2312" w:cs="Times New Roman" w:hAnsiTheme="minorEastAsia"/>
          <w:sz w:val="20"/>
          <w:lang w:eastAsia="zh-CN"/>
        </w:rPr>
        <w:t>手机银行等电子渠道</w:t>
      </w:r>
      <w:permEnd w:id="3"/>
      <w:r>
        <w:rPr>
          <w:rFonts w:hint="eastAsia" w:ascii="仿宋_GB2312" w:eastAsia="仿宋_GB2312" w:cs="Times New Roman" w:hAnsiTheme="minorEastAsia"/>
          <w:sz w:val="20"/>
          <w:lang w:eastAsia="zh-CN"/>
        </w:rPr>
        <w:t>办理理财业务，具体办理时间以贵阳农商银行发布的信息为准。</w:t>
      </w:r>
    </w:p>
    <w:p w14:paraId="469F615F">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3748E7AD">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，详细了解本期理财产品情况。</w:t>
      </w:r>
    </w:p>
    <w:p w14:paraId="7A58121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w:t>
      </w:r>
    </w:p>
    <w:p w14:paraId="0256AF93">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426D7226">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4378D920">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291340FE">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val="0"/>
          <w:bCs/>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5"/>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1C22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270E8BE8">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09831C95">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2DB65BDB">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6BDFE233">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00A9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2CA0C98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148E3034">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2C7269EE">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0F2FFAE8">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4DC6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56DCF188">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6FBB1836">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1F04DAD0">
            <w:pPr>
              <w:pStyle w:val="11"/>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4ED76287">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1E58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3C706D89">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28C42C4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3F3D227A">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56E52356">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7562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2062F91C">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0DC3379">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010C194">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751D603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6B3E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41DD886D">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687F8ECF">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26EA72CD">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3803B068">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2D186669">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4A49CF2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070F4952">
      <w:pPr>
        <w:pStyle w:val="3"/>
        <w:keepNext w:val="0"/>
        <w:keepLines w:val="0"/>
        <w:pageBreakBefore w:val="0"/>
        <w:widowControl w:val="0"/>
        <w:kinsoku/>
        <w:wordWrap w:val="0"/>
        <w:overflowPunct/>
        <w:topLinePunct w:val="0"/>
        <w:autoSpaceDE/>
        <w:autoSpaceDN/>
        <w:bidi w:val="0"/>
        <w:adjustRightInd/>
        <w:snapToGrid/>
        <w:spacing w:before="0"/>
        <w:ind w:left="0" w:right="153" w:firstLine="400" w:firstLineChars="200"/>
        <w:jc w:val="both"/>
        <w:textAlignment w:val="auto"/>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t>
      </w:r>
      <w:r>
        <w:rPr>
          <w:rFonts w:hint="eastAsia" w:ascii="仿宋_GB2312" w:hAnsi="仿宋_GB2312" w:eastAsia="仿宋_GB2312" w:cs="仿宋_GB2312"/>
          <w:color w:val="auto"/>
          <w:kern w:val="0"/>
          <w:sz w:val="20"/>
          <w:szCs w:val="20"/>
          <w:highlight w:val="none"/>
          <w:lang w:val="en-US" w:eastAsia="zh-CN" w:bidi="ar"/>
        </w:rPr>
        <w:t>https://www.gznxbank.com/html/2010000/index.html</w:t>
      </w:r>
      <w:r>
        <w:rPr>
          <w:rFonts w:ascii="仿宋_GB2312" w:eastAsia="仿宋_GB2312" w:cs="Times New Roman" w:hAnsiTheme="minorEastAsia"/>
          <w:sz w:val="20"/>
          <w:lang w:eastAsia="zh-CN"/>
        </w:rPr>
        <w:t>）</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58F7111B">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3848F520">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0640FEA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5F43EB8A">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62BB7FC9">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665824F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5003C3A0">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08B4C033">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7AEF9ED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6660BF9A">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6B903989">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6F3ABE04">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w:t>
      </w:r>
      <w:r>
        <w:rPr>
          <w:rFonts w:hint="eastAsia" w:ascii="仿宋_GB2312" w:eastAsia="仿宋_GB2312" w:cs="Times New Roman" w:hAnsiTheme="minorEastAsia"/>
          <w:b/>
          <w:bCs w:val="0"/>
          <w:sz w:val="20"/>
          <w:lang w:val="en-US" w:eastAsia="zh-CN"/>
        </w:rPr>
        <w:t>688</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72E168E">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w:t>
      </w:r>
      <w:r>
        <w:rPr>
          <w:rFonts w:hint="eastAsia" w:ascii="仿宋_GB2312" w:eastAsia="仿宋_GB2312" w:cs="Times New Roman" w:hAnsiTheme="minorEastAsia"/>
          <w:b/>
          <w:bCs w:val="0"/>
          <w:sz w:val="20"/>
          <w:lang w:val="en-US" w:eastAsia="zh-CN"/>
        </w:rPr>
        <w:t>688</w:t>
      </w:r>
      <w:r>
        <w:rPr>
          <w:rFonts w:hint="eastAsia" w:ascii="仿宋_GB2312" w:eastAsia="仿宋_GB2312" w:cs="Times New Roman" w:hAnsiTheme="minorEastAsia"/>
          <w:b/>
          <w:bCs w:val="0"/>
          <w:sz w:val="20"/>
          <w:lang w:eastAsia="zh-CN"/>
        </w:rPr>
        <w:t>投诉；</w:t>
      </w:r>
      <w:r>
        <w:rPr>
          <w:rFonts w:hint="eastAsia" w:ascii="仿宋_GB2312" w:eastAsia="仿宋_GB2312" w:cs="Times New Roman" w:hAnsiTheme="minorEastAsia"/>
          <w:b/>
          <w:bCs w:val="0"/>
          <w:sz w:val="20"/>
          <w:highlight w:val="none"/>
          <w:lang w:eastAsia="zh-CN"/>
        </w:rPr>
        <w:t xml:space="preserve">2. </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0ADC340B">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169914D6">
      <w:pPr>
        <w:rPr>
          <w:rFonts w:ascii="Times New Roman" w:hAnsi="Times New Roman" w:eastAsia="方正小标宋简体" w:cs="Times New Roman"/>
          <w:spacing w:val="1"/>
          <w:lang w:eastAsia="zh-CN"/>
        </w:rPr>
      </w:pPr>
    </w:p>
    <w:p w14:paraId="1D99A14F">
      <w:pPr>
        <w:pStyle w:val="13"/>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6255AAF2">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6610672F">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4F0EBC14">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49445A71">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w:t>
      </w:r>
      <w:r>
        <w:rPr>
          <w:rFonts w:hint="eastAsia" w:ascii="仿宋_GB2312" w:hAnsi="黑体" w:eastAsia="仿宋_GB2312" w:cs="Times New Roman"/>
          <w:spacing w:val="2"/>
          <w:sz w:val="20"/>
          <w:szCs w:val="20"/>
          <w:lang w:val="en-US" w:eastAsia="zh-CN"/>
        </w:rPr>
        <w:t>运行</w:t>
      </w:r>
      <w:r>
        <w:rPr>
          <w:rFonts w:ascii="仿宋_GB2312" w:hAnsi="黑体" w:eastAsia="仿宋_GB2312" w:cs="Times New Roman"/>
          <w:spacing w:val="2"/>
          <w:sz w:val="20"/>
          <w:szCs w:val="20"/>
          <w:lang w:eastAsia="zh-CN"/>
        </w:rPr>
        <w:t>过程</w:t>
      </w:r>
      <w:r>
        <w:rPr>
          <w:rFonts w:hint="eastAsia" w:ascii="仿宋_GB2312" w:hAnsi="黑体" w:eastAsia="仿宋_GB2312" w:cs="Times New Roman"/>
          <w:spacing w:val="2"/>
          <w:sz w:val="20"/>
          <w:szCs w:val="20"/>
          <w:lang w:val="en-US" w:eastAsia="zh-CN"/>
        </w:rPr>
        <w:t>中</w:t>
      </w:r>
      <w:r>
        <w:rPr>
          <w:rFonts w:ascii="仿宋_GB2312" w:hAnsi="黑体" w:eastAsia="仿宋_GB2312" w:cs="Times New Roman"/>
          <w:spacing w:val="2"/>
          <w:sz w:val="20"/>
          <w:szCs w:val="20"/>
          <w:lang w:eastAsia="zh-CN"/>
        </w:rPr>
        <w:t>，可能会面临多种风险因素。因此，根据相关监管规定的要求，贵阳农商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377BB1D0">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601C37AF">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w:t>
      </w:r>
      <w:r>
        <w:rPr>
          <w:rFonts w:hint="eastAsia" w:ascii="仿宋_GB2312" w:hAnsi="黑体" w:eastAsia="仿宋_GB2312" w:cs="Times New Roman"/>
          <w:b/>
          <w:bCs/>
          <w:sz w:val="20"/>
          <w:szCs w:val="20"/>
          <w:lang w:val="en-US" w:eastAsia="zh-CN"/>
        </w:rPr>
        <w:t>开放</w:t>
      </w:r>
      <w:r>
        <w:rPr>
          <w:rFonts w:ascii="仿宋_GB2312" w:hAnsi="黑体" w:eastAsia="仿宋_GB2312" w:cs="Times New Roman"/>
          <w:b/>
          <w:bCs/>
          <w:sz w:val="20"/>
          <w:szCs w:val="20"/>
          <w:lang w:eastAsia="zh-CN"/>
        </w:rPr>
        <w:t>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赎回申请，开放期内接受申购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w:t>
      </w:r>
      <w:r>
        <w:rPr>
          <w:rFonts w:hint="eastAsia" w:ascii="仿宋_GB2312" w:hAnsi="黑体" w:eastAsia="仿宋_GB2312" w:cs="Times New Roman"/>
          <w:b/>
          <w:bCs/>
          <w:sz w:val="20"/>
          <w:szCs w:val="20"/>
          <w:lang w:eastAsia="zh-CN"/>
        </w:rPr>
        <w:t>，</w:t>
      </w:r>
      <w:r>
        <w:rPr>
          <w:rFonts w:hint="eastAsia" w:ascii="仿宋_GB2312" w:hAnsi="黑体" w:eastAsia="仿宋_GB2312" w:cs="Times New Roman"/>
          <w:b/>
          <w:bCs/>
          <w:sz w:val="20"/>
          <w:szCs w:val="20"/>
          <w:lang w:val="en-US" w:eastAsia="zh-CN"/>
        </w:rPr>
        <w:t>赎回宽限期内仅接受赎回申请</w:t>
      </w:r>
      <w:r>
        <w:rPr>
          <w:rFonts w:ascii="仿宋_GB2312" w:hAnsi="黑体" w:eastAsia="仿宋_GB2312" w:cs="Times New Roman"/>
          <w:b/>
          <w:bCs/>
          <w:sz w:val="20"/>
          <w:szCs w:val="20"/>
          <w:lang w:eastAsia="zh-CN"/>
        </w:rPr>
        <w:t>。</w:t>
      </w:r>
    </w:p>
    <w:p w14:paraId="583BC93F">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b/>
          <w:bCs/>
          <w:spacing w:val="-2"/>
          <w:sz w:val="20"/>
          <w:szCs w:val="20"/>
          <w:lang w:eastAsia="zh-CN"/>
        </w:rPr>
        <w:t>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07AF0CF1">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3A73B27D">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示例：若投资者持有理财产品份额100,000.00份，开放期内投资者赎回全部持有的份额，赎回时</w:t>
      </w:r>
      <w:r>
        <w:rPr>
          <w:rFonts w:hint="eastAsia" w:ascii="仿宋_GB2312" w:hAnsi="黑体" w:eastAsia="仿宋_GB2312" w:cs="Times New Roman"/>
          <w:spacing w:val="-2"/>
          <w:sz w:val="20"/>
          <w:szCs w:val="20"/>
          <w:lang w:val="en-US" w:eastAsia="zh-CN"/>
        </w:rPr>
        <w:t>理财</w:t>
      </w:r>
      <w:r>
        <w:rPr>
          <w:rFonts w:hint="eastAsia"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val="en-US" w:eastAsia="zh-CN"/>
        </w:rPr>
        <w:t>单位</w:t>
      </w:r>
      <w:r>
        <w:rPr>
          <w:rFonts w:hint="eastAsia" w:ascii="仿宋_GB2312" w:hAnsi="黑体" w:eastAsia="仿宋_GB2312" w:cs="Times New Roman"/>
          <w:spacing w:val="-2"/>
          <w:sz w:val="20"/>
          <w:szCs w:val="20"/>
          <w:lang w:eastAsia="zh-CN"/>
        </w:rPr>
        <w:t>净值为1.0630</w:t>
      </w:r>
      <w:r>
        <w:rPr>
          <w:rFonts w:hint="eastAsia" w:ascii="仿宋_GB2312" w:hAnsi="黑体" w:eastAsia="仿宋_GB2312" w:cs="Times New Roman"/>
          <w:spacing w:val="-2"/>
          <w:sz w:val="20"/>
          <w:szCs w:val="20"/>
          <w:lang w:val="en-US" w:eastAsia="zh-CN"/>
        </w:rPr>
        <w:t>元/份</w:t>
      </w:r>
      <w:r>
        <w:rPr>
          <w:rFonts w:ascii="仿宋_GB2312" w:hAnsi="黑体" w:eastAsia="仿宋_GB2312" w:cs="Times New Roman"/>
          <w:spacing w:val="-2"/>
          <w:sz w:val="20"/>
          <w:szCs w:val="20"/>
          <w:lang w:eastAsia="zh-CN"/>
        </w:rPr>
        <w:t>，除本金外，</w:t>
      </w:r>
      <w:r>
        <w:rPr>
          <w:rFonts w:hint="eastAsia" w:ascii="仿宋_GB2312" w:hAnsi="黑体" w:eastAsia="仿宋_GB2312" w:cs="Times New Roman"/>
          <w:spacing w:val="-2"/>
          <w:sz w:val="20"/>
          <w:szCs w:val="20"/>
          <w:lang w:val="en-US" w:eastAsia="zh-CN"/>
        </w:rPr>
        <w:t>投资者收益</w:t>
      </w:r>
      <w:r>
        <w:rPr>
          <w:rFonts w:ascii="仿宋_GB2312" w:hAnsi="黑体" w:eastAsia="仿宋_GB2312" w:cs="Times New Roman"/>
          <w:spacing w:val="-2"/>
          <w:sz w:val="20"/>
          <w:szCs w:val="20"/>
          <w:lang w:eastAsia="zh-CN"/>
        </w:rPr>
        <w:t>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1.0630-10</w:t>
      </w:r>
      <w:r>
        <w:rPr>
          <w:rFonts w:hint="eastAsia" w:ascii="仿宋_GB2312" w:hAnsi="黑体" w:eastAsia="仿宋_GB2312" w:cs="Times New Roman"/>
          <w:spacing w:val="-2"/>
          <w:sz w:val="20"/>
          <w:szCs w:val="20"/>
          <w:lang w:val="en-US" w:eastAsia="zh-CN"/>
        </w:rPr>
        <w:t>0</w:t>
      </w:r>
      <w:r>
        <w:rPr>
          <w:rFonts w:hint="eastAsia" w:ascii="仿宋_GB2312" w:hAnsi="黑体" w:eastAsia="仿宋_GB2312" w:cs="Times New Roman"/>
          <w:spacing w:val="-2"/>
          <w:sz w:val="20"/>
          <w:szCs w:val="20"/>
          <w:lang w:eastAsia="zh-CN"/>
        </w:rPr>
        <w:t>,000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w:t>
      </w:r>
      <w:r>
        <w:rPr>
          <w:rFonts w:hint="eastAsia" w:ascii="仿宋_GB2312" w:hAnsi="黑体" w:eastAsia="仿宋_GB2312" w:cs="Times New Roman"/>
          <w:spacing w:val="-2"/>
          <w:sz w:val="20"/>
          <w:szCs w:val="20"/>
          <w:lang w:val="en-US" w:eastAsia="zh-CN"/>
        </w:rPr>
        <w:t>3</w:t>
      </w:r>
      <w:r>
        <w:rPr>
          <w:rFonts w:hint="eastAsia" w:ascii="仿宋_GB2312" w:hAnsi="黑体" w:eastAsia="仿宋_GB2312" w:cs="Times New Roman"/>
          <w:spacing w:val="-2"/>
          <w:sz w:val="20"/>
          <w:szCs w:val="20"/>
          <w:lang w:eastAsia="zh-CN"/>
        </w:rPr>
        <w:t>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55FD0891">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692880D3">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5"/>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69AF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5E9C211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43C732E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15701D53">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2D79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6966C391">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54C3F1A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67FC2E6B">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05BBB68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4F5C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1C132EC3">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6811D47C">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1572948C">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186E30B4">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1AC7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7A957771">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3C300770">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3B78204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79D9D1A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4ED7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E90E3D0">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76F99E10">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26D77B5E">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704D46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2115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393E8CFB">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5F37A0C1">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045C3C35">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22B3A9FE">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36D57BDB">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7A4BD46F">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44D2467C">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2E1328A0">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4BB5B216">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在本产品存续期内的非开放日，投资者不能赎回</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w:t>
      </w:r>
      <w:r>
        <w:rPr>
          <w:rFonts w:hint="eastAsia" w:ascii="仿宋_GB2312" w:hAnsi="黑体" w:eastAsia="仿宋_GB2312" w:cs="Times New Roman"/>
          <w:b/>
          <w:bCs/>
          <w:spacing w:val="-4"/>
          <w:sz w:val="20"/>
          <w:szCs w:val="20"/>
          <w:lang w:val="en-US" w:eastAsia="zh-CN"/>
        </w:rPr>
        <w:t>交易</w:t>
      </w:r>
      <w:r>
        <w:rPr>
          <w:rFonts w:hint="default" w:ascii="仿宋_GB2312" w:hAnsi="黑体" w:eastAsia="仿宋_GB2312" w:cs="Times New Roman"/>
          <w:b/>
          <w:bCs/>
          <w:spacing w:val="-4"/>
          <w:sz w:val="20"/>
          <w:szCs w:val="20"/>
          <w:lang w:val="en-US" w:eastAsia="zh-CN"/>
        </w:rPr>
        <w:t>不活跃、成交量不足的情形，如果理财产品赎回量较大，可能会影响产品流动性管理。</w:t>
      </w:r>
    </w:p>
    <w:p w14:paraId="3E2219BC">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w:t>
      </w:r>
      <w:r>
        <w:rPr>
          <w:rFonts w:hint="eastAsia" w:ascii="仿宋_GB2312" w:hAnsi="黑体" w:eastAsia="仿宋_GB2312" w:cs="Times New Roman"/>
          <w:b/>
          <w:bCs/>
          <w:spacing w:val="-4"/>
          <w:sz w:val="20"/>
          <w:szCs w:val="20"/>
          <w:lang w:val="en-US" w:eastAsia="zh-CN"/>
        </w:rPr>
        <w:t>1</w:t>
      </w:r>
      <w:r>
        <w:rPr>
          <w:rFonts w:hint="default" w:ascii="仿宋_GB2312" w:hAnsi="黑体" w:eastAsia="仿宋_GB2312" w:cs="Times New Roman"/>
          <w:b/>
          <w:bCs/>
          <w:spacing w:val="-4"/>
          <w:sz w:val="20"/>
          <w:szCs w:val="20"/>
          <w:lang w:val="en-US" w:eastAsia="zh-CN"/>
        </w:rPr>
        <w:t>）认购风险应对措施，包括：设定单一投资者认购金额上限、设定理财产品单日净认购比例上限、拒绝大额认购、暂停认购，以及国务院银行业监督管理机构规定的其他措施。</w:t>
      </w:r>
      <w:r>
        <w:rPr>
          <w:rFonts w:hint="eastAsia" w:ascii="仿宋_GB2312" w:hAnsi="黑体" w:eastAsia="仿宋_GB2312" w:cs="Times New Roman"/>
          <w:b/>
          <w:bCs/>
          <w:spacing w:val="-4"/>
          <w:sz w:val="20"/>
          <w:szCs w:val="20"/>
          <w:lang w:val="en-US" w:eastAsia="zh-CN"/>
        </w:rPr>
        <w:t>（2</w:t>
      </w:r>
      <w:r>
        <w:rPr>
          <w:rFonts w:hint="default" w:ascii="仿宋_GB2312" w:hAnsi="黑体" w:eastAsia="仿宋_GB2312" w:cs="Times New Roman"/>
          <w:b/>
          <w:bCs/>
          <w:spacing w:val="-4"/>
          <w:sz w:val="20"/>
          <w:szCs w:val="20"/>
          <w:lang w:val="en-US" w:eastAsia="zh-CN"/>
        </w:rPr>
        <w:t>）赎回风险应对措施，包括：设置赎回上限、延期办理巨额赎回申请、暂停接受赎回申请、延缓支付赎回款项、暂停理财产品估值，以及国务院银行业监督管理机构规定的其他措施。</w:t>
      </w:r>
    </w:p>
    <w:p w14:paraId="55E2E14A">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2F83C0A6">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lang w:val="en-US" w:eastAsia="zh-CN"/>
        </w:rPr>
        <w:t>产品项</w:t>
      </w:r>
      <w:r>
        <w:rPr>
          <w:rFonts w:ascii="仿宋_GB2312" w:hAnsi="黑体" w:eastAsia="仿宋_GB2312" w:cs="Times New Roman"/>
          <w:sz w:val="20"/>
          <w:szCs w:val="20"/>
          <w:lang w:eastAsia="zh-CN"/>
        </w:rPr>
        <w:t>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项下理财资金遭受损失。</w:t>
      </w:r>
    </w:p>
    <w:p w14:paraId="18DC9A60">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2E843640">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10A47D5F">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20314EDB">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0537012F">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23E9049F">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38EED7E8">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lang w:val="en-US" w:eastAsia="zh-CN"/>
        </w:rPr>
        <w:t>甚至本金损失</w:t>
      </w:r>
      <w:r>
        <w:rPr>
          <w:rFonts w:ascii="仿宋_GB2312" w:hAnsi="黑体" w:eastAsia="仿宋_GB2312" w:cs="Times New Roman"/>
          <w:spacing w:val="-4"/>
          <w:sz w:val="20"/>
          <w:szCs w:val="20"/>
          <w:lang w:eastAsia="zh-CN"/>
        </w:rPr>
        <w:t>。对于由于不可抗力及意外事件风险导致的任何损失，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69E7D73D">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10FFD297">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2F1CED84">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2D4EDF59">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6D51DEC4">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41E35B9E">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11CE3163">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30FEF434">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6"/>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1662B1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00F1A38E">
            <w:pPr>
              <w:rPr>
                <w:rFonts w:ascii="仿宋_GB2312" w:hAnsi="宋体" w:eastAsia="仿宋_GB2312" w:cs="宋体"/>
                <w:sz w:val="21"/>
                <w:szCs w:val="21"/>
                <w:lang w:eastAsia="zh-CN"/>
              </w:rPr>
            </w:pPr>
          </w:p>
          <w:p w14:paraId="0FA8F29B">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1C305D20">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6A0ABA32">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31AEBB23">
            <w:pPr>
              <w:rPr>
                <w:rFonts w:ascii="仿宋_GB2312" w:hAnsi="宋体" w:eastAsia="仿宋_GB2312" w:cs="宋体"/>
                <w:sz w:val="18"/>
                <w:szCs w:val="18"/>
                <w:lang w:eastAsia="zh-CN"/>
              </w:rPr>
            </w:pPr>
          </w:p>
          <w:p w14:paraId="554BBEC0">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0809F636">
            <w:pPr>
              <w:rPr>
                <w:rFonts w:ascii="仿宋_GB2312" w:hAnsi="宋体" w:eastAsia="仿宋_GB2312" w:cs="宋体"/>
                <w:sz w:val="20"/>
                <w:szCs w:val="20"/>
                <w:lang w:eastAsia="zh-CN"/>
              </w:rPr>
            </w:pPr>
          </w:p>
          <w:p w14:paraId="0EAC231C">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278D6908">
            <w:pPr>
              <w:jc w:val="both"/>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w:t>
            </w:r>
            <w:r>
              <w:rPr>
                <w:rFonts w:hint="eastAsia" w:ascii="仿宋_GB2312" w:hAnsi="宋体" w:eastAsia="仿宋_GB2312" w:cs="宋体"/>
                <w:b/>
                <w:sz w:val="21"/>
                <w:szCs w:val="21"/>
                <w:lang w:val="en-US" w:eastAsia="zh-CN"/>
              </w:rPr>
              <w:t>本期产品的</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76277952">
            <w:pPr>
              <w:rPr>
                <w:rFonts w:ascii="仿宋_GB2312" w:hAnsi="宋体" w:eastAsia="仿宋_GB2312" w:cs="宋体"/>
                <w:sz w:val="21"/>
                <w:szCs w:val="21"/>
                <w:lang w:eastAsia="zh-CN"/>
              </w:rPr>
            </w:pPr>
          </w:p>
          <w:p w14:paraId="32126486">
            <w:pPr>
              <w:jc w:val="left"/>
              <w:rPr>
                <w:rFonts w:hint="eastAsia"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772053F5">
            <w:pPr>
              <w:jc w:val="right"/>
              <w:rPr>
                <w:rFonts w:hint="eastAsia" w:ascii="仿宋_GB2312" w:hAnsi="宋体" w:eastAsia="仿宋_GB2312" w:cs="宋体"/>
                <w:sz w:val="21"/>
                <w:szCs w:val="21"/>
                <w:lang w:eastAsia="zh-CN"/>
              </w:rPr>
            </w:pPr>
          </w:p>
          <w:p w14:paraId="7BA55A2D">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123A3B7C">
      <w:pPr>
        <w:ind w:right="131"/>
        <w:jc w:val="right"/>
        <w:rPr>
          <w:rFonts w:ascii="仿宋_GB2312" w:hAnsi="宋体" w:eastAsia="仿宋_GB2312" w:cs="Times New Roman"/>
          <w:sz w:val="21"/>
          <w:szCs w:val="24"/>
          <w:lang w:eastAsia="zh-CN"/>
        </w:rPr>
      </w:pPr>
    </w:p>
    <w:p w14:paraId="47A7C0EA">
      <w:pPr>
        <w:rPr>
          <w:rFonts w:ascii="Times New Roman" w:hAnsi="宋体" w:eastAsia="宋体" w:cs="Times New Roman"/>
          <w:sz w:val="24"/>
          <w:szCs w:val="24"/>
          <w:lang w:eastAsia="zh-CN"/>
        </w:rPr>
      </w:pPr>
      <w:r>
        <w:rPr>
          <w:rFonts w:ascii="Times New Roman" w:hAnsi="宋体" w:eastAsia="宋体" w:cs="Times New Roman"/>
          <w:sz w:val="24"/>
          <w:szCs w:val="24"/>
          <w:lang w:eastAsia="zh-CN"/>
        </w:rPr>
        <w:br w:type="page"/>
      </w:r>
    </w:p>
    <w:p w14:paraId="4E918096">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6532C357">
      <w:pPr>
        <w:pStyle w:val="3"/>
        <w:spacing w:before="0"/>
        <w:ind w:left="0" w:right="153" w:firstLine="400" w:firstLineChars="200"/>
        <w:jc w:val="both"/>
        <w:rPr>
          <w:rFonts w:ascii="仿宋_GB2312" w:eastAsia="仿宋_GB2312" w:cs="Times New Roman" w:hAnsiTheme="minorEastAsia"/>
          <w:sz w:val="20"/>
          <w:lang w:eastAsia="zh-CN"/>
        </w:rPr>
      </w:pPr>
    </w:p>
    <w:p w14:paraId="1CC0485B">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03D79EDE">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lang w:val="en-US" w:eastAsia="zh-CN"/>
        </w:rPr>
        <w:t>与</w:t>
      </w:r>
      <w:r>
        <w:rPr>
          <w:rFonts w:hint="eastAsia" w:ascii="仿宋_GB2312" w:eastAsia="仿宋_GB2312" w:cs="Times New Roman" w:hAnsiTheme="minorEastAsia"/>
          <w:b/>
          <w:bCs/>
          <w:sz w:val="20"/>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1A7945F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4A9A1B1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72BC451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343B4CC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23F9F0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614ADD4A">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0E40DA1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530E59C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5022339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1BE78C0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28FE894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242E049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7707BE9F">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2D4E3BC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73CA4D4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71739DA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60DB9DF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5673DAC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6AF27E3C">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397CB49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28FB236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1C8D21D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0154690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3B0BF6B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sz w:val="20"/>
          <w:lang w:val="en-US" w:eastAsia="zh-CN"/>
        </w:rPr>
        <w:t>电话</w:t>
      </w:r>
      <w:r>
        <w:rPr>
          <w:rFonts w:hint="eastAsia" w:ascii="仿宋_GB2312" w:eastAsia="仿宋_GB2312" w:cs="Times New Roman" w:hAnsiTheme="minorEastAsia"/>
          <w:b/>
          <w:bCs/>
          <w:sz w:val="20"/>
          <w:lang w:eastAsia="zh-CN"/>
        </w:rPr>
        <w:t>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w:t>
      </w:r>
      <w:r>
        <w:rPr>
          <w:rFonts w:hint="eastAsia" w:ascii="仿宋_GB2312" w:eastAsia="仿宋_GB2312" w:cs="Times New Roman" w:hAnsiTheme="minorEastAsia"/>
          <w:b/>
          <w:bCs/>
          <w:sz w:val="20"/>
          <w:lang w:val="en-US" w:eastAsia="zh-CN"/>
        </w:rPr>
        <w:t>688</w:t>
      </w:r>
      <w:r>
        <w:rPr>
          <w:rFonts w:hint="eastAsia" w:ascii="仿宋_GB2312" w:eastAsia="仿宋_GB2312" w:cs="Times New Roman" w:hAnsiTheme="minorEastAsia"/>
          <w:b/>
          <w:bCs/>
          <w:sz w:val="20"/>
          <w:lang w:eastAsia="zh-CN"/>
        </w:rPr>
        <w:t>联系以便为您处理。</w:t>
      </w:r>
    </w:p>
    <w:p w14:paraId="62035EC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00657C88">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36F2C4C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78F3BF2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180C1DEB">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十、特别提示</w:t>
      </w:r>
    </w:p>
    <w:p w14:paraId="2CAB419C">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0851-9</w:t>
      </w:r>
      <w:r>
        <w:rPr>
          <w:rFonts w:hint="eastAsia" w:ascii="仿宋_GB2312" w:eastAsia="仿宋_GB2312" w:cs="Times New Roman"/>
          <w:b/>
          <w:bCs/>
          <w:color w:val="auto"/>
          <w:sz w:val="20"/>
          <w:highlight w:val="none"/>
          <w:lang w:val="en-US" w:eastAsia="zh-CN"/>
        </w:rPr>
        <w:t>6688</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3D5EFB4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749A90C5">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49D9D2D6">
      <w:pPr>
        <w:pStyle w:val="3"/>
        <w:spacing w:before="0"/>
        <w:ind w:left="0" w:right="153" w:firstLine="402" w:firstLineChars="200"/>
        <w:jc w:val="both"/>
        <w:rPr>
          <w:rFonts w:ascii="仿宋_GB2312" w:eastAsia="仿宋_GB2312" w:cs="Times New Roman" w:hAnsiTheme="minorEastAsia"/>
          <w:b/>
          <w:bCs/>
          <w:sz w:val="20"/>
          <w:lang w:eastAsia="zh-CN"/>
        </w:rPr>
      </w:pPr>
    </w:p>
    <w:p w14:paraId="3AD2B106">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161634A4">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AA2DD0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1354B4C2">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E6A9C2B">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6258A9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1F1DBB2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3A47C78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306AB67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5E0BB9B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104E80B3">
      <w:pPr>
        <w:pStyle w:val="3"/>
        <w:spacing w:before="0"/>
        <w:ind w:left="0" w:right="151"/>
        <w:jc w:val="both"/>
        <w:rPr>
          <w:rFonts w:ascii="Times New Roman" w:hAnsi="Times New Roman" w:cs="Times New Roman" w:eastAsiaTheme="minorEastAsia"/>
          <w:lang w:eastAsia="zh-CN"/>
        </w:rPr>
      </w:pPr>
    </w:p>
    <w:p w14:paraId="5BC9C0FE"/>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0B55D875">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14:paraId="2CC9A391">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7A9A4">
    <w:pPr>
      <w:pStyle w:val="4"/>
      <w:jc w:val="center"/>
    </w:pPr>
    <w:r>
      <w:fldChar w:fldCharType="begin"/>
    </w:r>
    <w:r>
      <w:instrText xml:space="preserve"> PAGE   \* MERGEFORMAT </w:instrText>
    </w:r>
    <w:r>
      <w:fldChar w:fldCharType="separate"/>
    </w:r>
    <w:r>
      <w:rPr>
        <w:lang w:val="zh-CN"/>
      </w:rPr>
      <w:t>15</w:t>
    </w:r>
    <w:r>
      <w:rPr>
        <w:lang w:val="zh-CN"/>
      </w:rPr>
      <w:fldChar w:fldCharType="end"/>
    </w:r>
  </w:p>
  <w:p w14:paraId="61E2116F">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C3873813"/>
    <w:multiLevelType w:val="singleLevel"/>
    <w:tmpl w:val="C3873813"/>
    <w:lvl w:ilvl="0" w:tentative="0">
      <w:start w:val="2"/>
      <w:numFmt w:val="chineseCounting"/>
      <w:suff w:val="nothing"/>
      <w:lvlText w:val="（%1）"/>
      <w:lvlJc w:val="left"/>
      <w:rPr>
        <w:rFonts w:hint="eastAsia"/>
      </w:rPr>
    </w:lvl>
  </w:abstractNum>
  <w:abstractNum w:abstractNumId="2">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dit="readOnly" w:enforcement="1" w:cryptProviderType="rsaFull" w:cryptAlgorithmClass="hash" w:cryptAlgorithmType="typeAny" w:cryptAlgorithmSid="4" w:cryptSpinCount="0" w:hash="8btwI48TNqpcsEig8mHXVXrGBQ4=" w:salt="MyMGJWluSAoGJhU9atGwn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B5787"/>
    <w:rsid w:val="0316692F"/>
    <w:rsid w:val="09BD958A"/>
    <w:rsid w:val="09EB2FFF"/>
    <w:rsid w:val="0D9F5B82"/>
    <w:rsid w:val="0F4B5787"/>
    <w:rsid w:val="14392E51"/>
    <w:rsid w:val="153349CE"/>
    <w:rsid w:val="16F03802"/>
    <w:rsid w:val="19D32D58"/>
    <w:rsid w:val="1C251DA3"/>
    <w:rsid w:val="1F761C3B"/>
    <w:rsid w:val="2231019A"/>
    <w:rsid w:val="30C15460"/>
    <w:rsid w:val="3E924C6F"/>
    <w:rsid w:val="41D70B8E"/>
    <w:rsid w:val="49B867AB"/>
    <w:rsid w:val="4B1E2CA7"/>
    <w:rsid w:val="5E9F6966"/>
    <w:rsid w:val="636D28C3"/>
    <w:rsid w:val="72CD54F1"/>
    <w:rsid w:val="78EE03C3"/>
    <w:rsid w:val="7A397F35"/>
    <w:rsid w:val="7F5B6973"/>
    <w:rsid w:val="FCBBE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qFormat/>
    <w:uiPriority w:val="1"/>
    <w:pPr>
      <w:spacing w:before="19"/>
      <w:ind w:left="479"/>
    </w:pPr>
    <w:rPr>
      <w:rFonts w:ascii="宋体" w:hAnsi="宋体" w:eastAsia="宋体"/>
      <w:sz w:val="18"/>
      <w:szCs w:val="18"/>
    </w:rPr>
  </w:style>
  <w:style w:type="paragraph" w:styleId="4">
    <w:name w:val="footer"/>
    <w:basedOn w:val="1"/>
    <w:unhideWhenUsed/>
    <w:qFormat/>
    <w:uiPriority w:val="99"/>
    <w:pPr>
      <w:tabs>
        <w:tab w:val="center" w:pos="4153"/>
        <w:tab w:val="right" w:pos="8306"/>
      </w:tabs>
      <w:snapToGrid w:val="0"/>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annotation reference"/>
    <w:basedOn w:val="7"/>
    <w:semiHidden/>
    <w:unhideWhenUsed/>
    <w:qFormat/>
    <w:uiPriority w:val="99"/>
    <w:rPr>
      <w:sz w:val="21"/>
      <w:szCs w:val="21"/>
    </w:rPr>
  </w:style>
  <w:style w:type="paragraph" w:customStyle="1" w:styleId="9">
    <w:name w:val="Table Paragraph"/>
    <w:basedOn w:val="1"/>
    <w:qFormat/>
    <w:uiPriority w:val="1"/>
  </w:style>
  <w:style w:type="table" w:customStyle="1" w:styleId="10">
    <w:name w:val="Table Normal"/>
    <w:semiHidden/>
    <w:unhideWhenUsed/>
    <w:qFormat/>
    <w:uiPriority w:val="2"/>
    <w:tblPr>
      <w:tblCellMar>
        <w:top w:w="0" w:type="dxa"/>
        <w:left w:w="0" w:type="dxa"/>
        <w:bottom w:w="0" w:type="dxa"/>
        <w:right w:w="0" w:type="dxa"/>
      </w:tblCellMar>
    </w:tblPr>
  </w:style>
  <w:style w:type="paragraph" w:customStyle="1" w:styleId="11">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2">
    <w:name w:val="标题 21"/>
    <w:basedOn w:val="1"/>
    <w:qFormat/>
    <w:uiPriority w:val="1"/>
    <w:pPr>
      <w:ind w:left="602"/>
      <w:outlineLvl w:val="2"/>
    </w:pPr>
    <w:rPr>
      <w:rFonts w:ascii="宋体" w:hAnsi="宋体" w:eastAsia="宋体"/>
      <w:sz w:val="24"/>
      <w:szCs w:val="24"/>
    </w:rPr>
  </w:style>
  <w:style w:type="paragraph" w:customStyle="1" w:styleId="13">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22883</Words>
  <Characters>23738</Characters>
  <Lines>0</Lines>
  <Paragraphs>0</Paragraphs>
  <TotalTime>6</TotalTime>
  <ScaleCrop>false</ScaleCrop>
  <LinksUpToDate>false</LinksUpToDate>
  <CharactersWithSpaces>24141</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2026-04-15T02:43:00Z</dcterms:created>
  <dc:creator>汪雁翔</dc:creator>
  <cp:lastModifiedBy>T</cp:lastModifiedBy>
  <dcterms:modified xsi:type="dcterms:W3CDTF">2026-07-09T07:45:31Z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E8E4E15E0CE24386B08BE21C06C365B7_11</vt:lpwstr>
  </property>
</Properties>
</file>