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半年5期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snapToGrid w:val="0"/>
          <w:color w:val="000000"/>
          <w:kern w:val="0"/>
          <w:sz w:val="20"/>
          <w:szCs w:val="20"/>
          <w:highlight w:val="none"/>
          <w:lang w:val="en-US" w:eastAsia="zh-CN"/>
        </w:rPr>
        <w:t>指贵阳农村商业银行股份有限公司，官方网站为（https://www.gznxbank.com/html/2010000/index.html）。</w:t>
      </w:r>
      <w:r>
        <w:rPr>
          <w:rFonts w:hint="eastAsia" w:ascii="仿宋_GB2312" w:hAnsi="仿宋_GB2312" w:eastAsia="仿宋_GB2312" w:cs="仿宋_GB2312"/>
          <w:snapToGrid w:val="0"/>
          <w:color w:val="000000"/>
          <w:kern w:val="0"/>
          <w:sz w:val="24"/>
          <w:szCs w:val="24"/>
          <w:highlight w:val="none"/>
          <w:lang w:val="en-US" w:eastAsia="zh-CN"/>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超值宝定开半年5期理财产品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半年5</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w:t>
            </w:r>
            <w:r>
              <w:rPr>
                <w:rFonts w:hint="eastAsia" w:ascii="仿宋_GB2312" w:hAnsi="Times New Roman" w:eastAsia="仿宋_GB2312" w:cs="Times New Roman"/>
                <w:sz w:val="20"/>
                <w:lang w:val="en-US" w:eastAsia="zh-CN"/>
              </w:rPr>
              <w:t>4</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A08B1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007</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val="0"/>
                <w:bCs w:val="0"/>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17:00</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w:t>
            </w:r>
            <w:bookmarkStart w:id="0" w:name="_GoBack"/>
            <w:bookmarkEnd w:id="0"/>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left"/>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w:t>
      </w:r>
      <w:r>
        <w:rPr>
          <w:rFonts w:hint="eastAsia" w:ascii="仿宋_GB2312" w:eastAsia="仿宋_GB2312" w:cs="Times New Roman" w:hAnsiTheme="minorEastAsia"/>
          <w:b/>
          <w:bCs w:val="0"/>
          <w:sz w:val="20"/>
          <w:lang w:val="en-US" w:eastAsia="zh-CN"/>
        </w:rPr>
        <w:t>96688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BFA76C2">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val="en-US" w:eastAsia="zh-CN"/>
        </w:rPr>
        <w:t>96688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w:t>
      </w:r>
      <w:r>
        <w:rPr>
          <w:rFonts w:hint="eastAsia" w:ascii="仿宋_GB2312" w:eastAsia="仿宋_GB2312" w:cs="Times New Roman"/>
          <w:b/>
          <w:bCs/>
          <w:color w:val="auto"/>
          <w:sz w:val="20"/>
          <w:highlight w:val="none"/>
          <w:lang w:val="en-US" w:eastAsia="zh-CN"/>
        </w:rPr>
        <w:t>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dit="readOnly" w:enforcement="1" w:cryptProviderType="rsaFull" w:cryptAlgorithmClass="hash" w:cryptAlgorithmType="typeAny" w:cryptAlgorithmSid="4" w:cryptSpinCount="0" w:hash="VEJBuRwLJqfxYOSejEYsA6PmNUw=" w:salt="bi28HoLudz5+RnEZaGk+q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5E72B35"/>
    <w:rsid w:val="06BE1BDC"/>
    <w:rsid w:val="088A3494"/>
    <w:rsid w:val="08B46C8A"/>
    <w:rsid w:val="09EB2FFF"/>
    <w:rsid w:val="0D900F26"/>
    <w:rsid w:val="0F4B5787"/>
    <w:rsid w:val="1F3A0DAB"/>
    <w:rsid w:val="280262DA"/>
    <w:rsid w:val="2A561E20"/>
    <w:rsid w:val="2FDB5069"/>
    <w:rsid w:val="30C15460"/>
    <w:rsid w:val="44542EF7"/>
    <w:rsid w:val="488C2D69"/>
    <w:rsid w:val="49F650E8"/>
    <w:rsid w:val="4B137294"/>
    <w:rsid w:val="593C72DA"/>
    <w:rsid w:val="5BC25EB0"/>
    <w:rsid w:val="60461714"/>
    <w:rsid w:val="68984A7D"/>
    <w:rsid w:val="6DE93821"/>
    <w:rsid w:val="71C32012"/>
    <w:rsid w:val="75CC331E"/>
    <w:rsid w:val="7A366DD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22895</Words>
  <Characters>23758</Characters>
  <Lines>0</Lines>
  <Paragraphs>0</Paragraphs>
  <TotalTime>9</TotalTime>
  <ScaleCrop>false</ScaleCrop>
  <LinksUpToDate>false</LinksUpToDate>
  <CharactersWithSpaces>24166</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T</cp:lastModifiedBy>
  <dcterms:modified xsi:type="dcterms:W3CDTF">2026-07-09T07:49:09Z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