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hint="eastAsia" w:ascii="仿宋_GB2312" w:hAnsi="仿宋_GB2312" w:eastAsia="仿宋_GB2312" w:cs="仿宋_GB2312"/>
          <w:b/>
          <w:i w:val="0"/>
          <w:iCs w:val="0"/>
          <w:sz w:val="32"/>
          <w:szCs w:val="32"/>
        </w:rPr>
      </w:pPr>
      <w:bookmarkStart w:id="0" w:name="OLE_LINK2"/>
      <w:bookmarkStart w:id="1" w:name="OLE_LINK1"/>
      <w:r>
        <w:rPr>
          <w:rFonts w:hint="eastAsia" w:ascii="仿宋_GB2312" w:hAnsi="仿宋_GB2312" w:eastAsia="仿宋_GB2312" w:cs="仿宋_GB2312"/>
          <w:b/>
          <w:i w:val="0"/>
          <w:iCs w:val="0"/>
          <w:sz w:val="32"/>
          <w:szCs w:val="32"/>
        </w:rPr>
        <w:t>附件1</w:t>
      </w:r>
    </w:p>
    <w:p>
      <w:pPr>
        <w:spacing w:line="560" w:lineRule="exact"/>
        <w:jc w:val="center"/>
        <w:rPr>
          <w:rFonts w:hint="eastAsia" w:ascii="仿宋_GB2312" w:hAnsi="仿宋_GB2312" w:eastAsia="仿宋_GB2312" w:cs="仿宋_GB2312"/>
          <w:bCs/>
          <w:i w:val="0"/>
          <w:iCs w:val="0"/>
          <w:sz w:val="32"/>
          <w:szCs w:val="32"/>
        </w:rPr>
      </w:pPr>
    </w:p>
    <w:p>
      <w:pPr>
        <w:spacing w:line="560" w:lineRule="exact"/>
        <w:jc w:val="center"/>
        <w:rPr>
          <w:rFonts w:hint="eastAsia" w:ascii="方正小标宋简体" w:hAnsi="方正小标宋简体" w:eastAsia="方正小标宋简体" w:cs="方正小标宋简体"/>
          <w:bCs/>
          <w:i w:val="0"/>
          <w:iCs w:val="0"/>
          <w:sz w:val="44"/>
          <w:szCs w:val="44"/>
        </w:rPr>
      </w:pPr>
      <w:r>
        <w:rPr>
          <w:rFonts w:hint="eastAsia" w:ascii="方正小标宋简体" w:hAnsi="方正小标宋简体" w:eastAsia="方正小标宋简体" w:cs="方正小标宋简体"/>
          <w:bCs/>
          <w:i w:val="0"/>
          <w:iCs w:val="0"/>
          <w:sz w:val="44"/>
          <w:szCs w:val="44"/>
        </w:rPr>
        <w:t>贵州普定农村商业银行股份有限公司</w:t>
      </w:r>
      <w:bookmarkEnd w:id="0"/>
      <w:bookmarkEnd w:id="1"/>
      <w:r>
        <w:rPr>
          <w:rFonts w:hint="eastAsia" w:ascii="方正小标宋简体" w:hAnsi="方正小标宋简体" w:eastAsia="方正小标宋简体" w:cs="方正小标宋简体"/>
          <w:bCs/>
          <w:i w:val="0"/>
          <w:iCs w:val="0"/>
          <w:sz w:val="44"/>
          <w:szCs w:val="44"/>
        </w:rPr>
        <w:t>关于公开处置一批报废UPS电池询价文件</w:t>
      </w:r>
    </w:p>
    <w:p>
      <w:pPr>
        <w:spacing w:line="560" w:lineRule="exact"/>
        <w:ind w:firstLine="640" w:firstLineChars="200"/>
        <w:jc w:val="left"/>
        <w:rPr>
          <w:rFonts w:hint="eastAsia" w:ascii="仿宋_GB2312" w:hAnsi="仿宋_GB2312" w:eastAsia="仿宋_GB2312" w:cs="仿宋_GB2312"/>
          <w:i w:val="0"/>
          <w:iCs w:val="0"/>
          <w:sz w:val="32"/>
          <w:szCs w:val="32"/>
        </w:rPr>
      </w:pPr>
    </w:p>
    <w:p>
      <w:pPr>
        <w:spacing w:line="560" w:lineRule="exact"/>
        <w:ind w:firstLine="640" w:firstLineChars="200"/>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为规范贵州普定农村商业银行股份有限公司（以下简称“我行”）资产管理，优化资源配置，根据《中华人民共和国企业国有资产法》及我行相关资产处置管理规定，现拟对一批已达到报废标准的UPS电池进行公开询价处置。为确保处置过程公开、公平、公正，现将有关事项公告如下：</w:t>
      </w:r>
    </w:p>
    <w:p>
      <w:pPr>
        <w:spacing w:line="560" w:lineRule="exact"/>
        <w:ind w:firstLine="640" w:firstLineChars="200"/>
        <w:jc w:val="left"/>
        <w:rPr>
          <w:rFonts w:hint="eastAsia" w:ascii="黑体" w:hAnsi="黑体" w:eastAsia="黑体" w:cs="黑体"/>
          <w:bCs/>
          <w:i w:val="0"/>
          <w:iCs w:val="0"/>
          <w:sz w:val="32"/>
          <w:szCs w:val="32"/>
        </w:rPr>
      </w:pPr>
      <w:r>
        <w:rPr>
          <w:rFonts w:hint="eastAsia" w:ascii="黑体" w:hAnsi="黑体" w:eastAsia="黑体" w:cs="黑体"/>
          <w:bCs/>
          <w:i w:val="0"/>
          <w:iCs w:val="0"/>
          <w:sz w:val="32"/>
          <w:szCs w:val="32"/>
        </w:rPr>
        <w:t>一、处置标的物概况</w:t>
      </w:r>
    </w:p>
    <w:p>
      <w:pPr>
        <w:spacing w:line="560" w:lineRule="exact"/>
        <w:ind w:firstLine="640" w:firstLineChars="200"/>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本次拟处置的标的物为我行一批报废的UPS电池。</w:t>
      </w:r>
    </w:p>
    <w:p>
      <w:pPr>
        <w:spacing w:line="560" w:lineRule="exact"/>
        <w:ind w:firstLine="643" w:firstLineChars="200"/>
        <w:jc w:val="left"/>
        <w:rPr>
          <w:rFonts w:hint="eastAsia" w:ascii="仿宋_GB2312" w:hAnsi="仿宋_GB2312" w:eastAsia="仿宋_GB2312" w:cs="仿宋_GB2312"/>
          <w:b/>
          <w:i w:val="0"/>
          <w:iCs w:val="0"/>
          <w:sz w:val="32"/>
          <w:szCs w:val="32"/>
        </w:rPr>
      </w:pPr>
      <w:r>
        <w:rPr>
          <w:rFonts w:hint="eastAsia" w:ascii="仿宋_GB2312" w:hAnsi="仿宋_GB2312" w:eastAsia="仿宋_GB2312" w:cs="仿宋_GB2312"/>
          <w:b/>
          <w:i w:val="0"/>
          <w:iCs w:val="0"/>
          <w:sz w:val="32"/>
          <w:szCs w:val="32"/>
        </w:rPr>
        <w:t>注：标的物按现状进行转让，转让方不承担标的物的瑕疵担保责任。</w:t>
      </w:r>
    </w:p>
    <w:p>
      <w:pPr>
        <w:spacing w:line="560" w:lineRule="exact"/>
        <w:ind w:firstLine="640" w:firstLineChars="200"/>
        <w:jc w:val="left"/>
        <w:rPr>
          <w:rFonts w:hint="eastAsia" w:ascii="黑体" w:hAnsi="黑体" w:eastAsia="黑体" w:cs="黑体"/>
          <w:bCs/>
          <w:i w:val="0"/>
          <w:iCs w:val="0"/>
          <w:sz w:val="32"/>
          <w:szCs w:val="32"/>
        </w:rPr>
      </w:pPr>
      <w:r>
        <w:rPr>
          <w:rFonts w:hint="eastAsia" w:ascii="黑体" w:hAnsi="黑体" w:eastAsia="黑体" w:cs="黑体"/>
          <w:bCs/>
          <w:i w:val="0"/>
          <w:iCs w:val="0"/>
          <w:sz w:val="32"/>
          <w:szCs w:val="32"/>
        </w:rPr>
        <w:t>二、意向受让方资格条件</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（一）意向受让方须为在中华人民共和国境内依法设立并有效存续的企业法人、其他组织或具有完全民事行为能力的自然人。</w:t>
      </w:r>
      <w:bookmarkStart w:id="2" w:name="_GoBack"/>
      <w:bookmarkEnd w:id="2"/>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（二）意向受让方未被“信用中国”网站列入失信被执行人、重大税收违法案件当事人名单、政府采购严重违法失信行为记录名单。</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（三）意向受让方法定代表人、控股股东或实际控制人与采购人高管人员及使用需求部门、采购部门关键岗位人员无夫妻、直系血亲、三代以内旁系血亲或者近姻亲关系。</w:t>
      </w:r>
    </w:p>
    <w:p>
      <w:pPr>
        <w:spacing w:line="560" w:lineRule="exact"/>
        <w:ind w:firstLine="640" w:firstLineChars="200"/>
        <w:outlineLvl w:val="0"/>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（四）意向受让方须对原有的UPS 备电系统拆除、并按环保部门要求对拆除UPS 备电系处理，参与单位须具备“危险废物经营许可证”；参与单位如没有“危险废物经营许可证”可以和具备“危险废物经营许可证”的公司联合投标。</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（五）成立年限不足半年，原则上不允许参加。</w:t>
      </w:r>
    </w:p>
    <w:p>
      <w:pPr>
        <w:spacing w:line="560" w:lineRule="exact"/>
        <w:ind w:firstLine="643"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b/>
          <w:bCs/>
          <w:i w:val="0"/>
          <w:iCs w:val="0"/>
          <w:sz w:val="32"/>
          <w:szCs w:val="32"/>
        </w:rPr>
        <w:t>【报名时，须提供以上资料复印件加盖公章一套，不提供或提供不齐全不予报名。】</w:t>
      </w:r>
    </w:p>
    <w:p>
      <w:pPr>
        <w:spacing w:line="560" w:lineRule="exact"/>
        <w:ind w:firstLine="640" w:firstLineChars="200"/>
        <w:jc w:val="left"/>
        <w:rPr>
          <w:rFonts w:hint="eastAsia" w:ascii="黑体" w:hAnsi="黑体" w:eastAsia="黑体" w:cs="黑体"/>
          <w:bCs/>
          <w:i w:val="0"/>
          <w:iCs w:val="0"/>
          <w:sz w:val="32"/>
          <w:szCs w:val="32"/>
        </w:rPr>
      </w:pPr>
      <w:r>
        <w:rPr>
          <w:rFonts w:hint="eastAsia" w:ascii="黑体" w:hAnsi="黑体" w:eastAsia="黑体" w:cs="黑体"/>
          <w:bCs/>
          <w:i w:val="0"/>
          <w:iCs w:val="0"/>
          <w:sz w:val="32"/>
          <w:szCs w:val="32"/>
        </w:rPr>
        <w:t>三、特别合规与安全提示</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楷体_GB2312" w:hAnsi="楷体_GB2312" w:eastAsia="楷体_GB2312" w:cs="楷体_GB2312"/>
          <w:bCs/>
          <w:i w:val="0"/>
          <w:iCs w:val="0"/>
          <w:sz w:val="32"/>
          <w:szCs w:val="32"/>
        </w:rPr>
        <w:t>（一）环保与合规。</w:t>
      </w:r>
      <w:r>
        <w:rPr>
          <w:rFonts w:hint="eastAsia" w:ascii="仿宋_GB2312" w:hAnsi="仿宋_GB2312" w:eastAsia="仿宋_GB2312" w:cs="仿宋_GB2312"/>
          <w:i w:val="0"/>
          <w:iCs w:val="0"/>
          <w:sz w:val="32"/>
          <w:szCs w:val="32"/>
        </w:rPr>
        <w:t>受让方对标的物的拆除及处置必须符合国家相关法律法规及环保要求。原则上标的物不允许二次流入市场使用，若因受让方强行维持使用或违规处置所造成的一切后果，由受让方自行承担。</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楷体_GB2312" w:hAnsi="楷体_GB2312" w:eastAsia="楷体_GB2312" w:cs="楷体_GB2312"/>
          <w:bCs/>
          <w:i w:val="0"/>
          <w:iCs w:val="0"/>
          <w:sz w:val="32"/>
          <w:szCs w:val="32"/>
        </w:rPr>
        <w:t>（二）安全责任。</w:t>
      </w:r>
      <w:r>
        <w:rPr>
          <w:rFonts w:hint="eastAsia" w:ascii="仿宋_GB2312" w:hAnsi="仿宋_GB2312" w:eastAsia="仿宋_GB2312" w:cs="仿宋_GB2312"/>
          <w:i w:val="0"/>
          <w:iCs w:val="0"/>
          <w:sz w:val="32"/>
          <w:szCs w:val="32"/>
        </w:rPr>
        <w:t>受让方自行负责转让标的的拆除、装载与运输，并承担在此过程中发生的一切费用、安全责任及可能造成的周边设施损坏赔偿。</w:t>
      </w:r>
    </w:p>
    <w:p>
      <w:pPr>
        <w:spacing w:line="560" w:lineRule="exact"/>
        <w:ind w:firstLine="640" w:firstLineChars="200"/>
        <w:jc w:val="left"/>
        <w:rPr>
          <w:rFonts w:hint="eastAsia" w:ascii="黑体" w:hAnsi="黑体" w:eastAsia="黑体" w:cs="黑体"/>
          <w:bCs/>
          <w:i w:val="0"/>
          <w:iCs w:val="0"/>
          <w:sz w:val="32"/>
          <w:szCs w:val="32"/>
        </w:rPr>
      </w:pPr>
      <w:r>
        <w:rPr>
          <w:rFonts w:hint="eastAsia" w:ascii="黑体" w:hAnsi="黑体" w:eastAsia="黑体" w:cs="黑体"/>
          <w:bCs/>
          <w:i w:val="0"/>
          <w:iCs w:val="0"/>
          <w:sz w:val="32"/>
          <w:szCs w:val="32"/>
        </w:rPr>
        <w:t>四、最低限价与询价方式</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楷体_GB2312" w:hAnsi="楷体_GB2312" w:eastAsia="楷体_GB2312" w:cs="楷体_GB2312"/>
          <w:bCs/>
          <w:i w:val="0"/>
          <w:iCs w:val="0"/>
          <w:sz w:val="32"/>
          <w:szCs w:val="32"/>
        </w:rPr>
        <w:t>（一）最低限价。</w:t>
      </w:r>
      <w:r>
        <w:rPr>
          <w:rFonts w:hint="eastAsia" w:ascii="仿宋_GB2312" w:hAnsi="仿宋_GB2312" w:eastAsia="仿宋_GB2312" w:cs="仿宋_GB2312"/>
          <w:i w:val="0"/>
          <w:iCs w:val="0"/>
          <w:sz w:val="32"/>
          <w:szCs w:val="32"/>
        </w:rPr>
        <w:t>经第三方评估机构评估，本次处置标的物的最低限价见下表。本次询价不接受低于最低限价的报价，低于该价格的报价视为无效报价。</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2749"/>
        <w:gridCol w:w="2479"/>
        <w:gridCol w:w="1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序号</w:t>
            </w:r>
          </w:p>
        </w:tc>
        <w:tc>
          <w:tcPr>
            <w:tcW w:w="274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标的物名称</w:t>
            </w:r>
          </w:p>
        </w:tc>
        <w:tc>
          <w:tcPr>
            <w:tcW w:w="247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标的物最低限价</w:t>
            </w:r>
          </w:p>
        </w:tc>
        <w:tc>
          <w:tcPr>
            <w:tcW w:w="177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1</w:t>
            </w:r>
          </w:p>
        </w:tc>
        <w:tc>
          <w:tcPr>
            <w:tcW w:w="274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UPS电池</w:t>
            </w:r>
          </w:p>
        </w:tc>
        <w:tc>
          <w:tcPr>
            <w:tcW w:w="2479" w:type="dxa"/>
            <w:vAlign w:val="center"/>
          </w:tcPr>
          <w:p>
            <w:pPr>
              <w:spacing w:line="560" w:lineRule="exact"/>
              <w:jc w:val="center"/>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123</w:t>
            </w:r>
          </w:p>
        </w:tc>
        <w:tc>
          <w:tcPr>
            <w:tcW w:w="1779" w:type="dxa"/>
            <w:vAlign w:val="center"/>
          </w:tcPr>
          <w:p>
            <w:pPr>
              <w:spacing w:line="560" w:lineRule="exact"/>
              <w:jc w:val="center"/>
              <w:rPr>
                <w:rFonts w:hint="eastAsia" w:ascii="仿宋_GB2312" w:hAnsi="仿宋_GB2312" w:eastAsia="仿宋_GB2312" w:cs="仿宋_GB2312"/>
                <w:i w:val="0"/>
                <w:iCs w:val="0"/>
                <w:sz w:val="32"/>
                <w:szCs w:val="32"/>
              </w:rPr>
            </w:pPr>
          </w:p>
        </w:tc>
      </w:tr>
    </w:tbl>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楷体_GB2312" w:hAnsi="楷体_GB2312" w:eastAsia="楷体_GB2312" w:cs="楷体_GB2312"/>
          <w:b w:val="0"/>
          <w:bCs/>
          <w:i w:val="0"/>
          <w:iCs w:val="0"/>
          <w:sz w:val="32"/>
          <w:szCs w:val="32"/>
        </w:rPr>
        <w:t>（二）询价方式：</w:t>
      </w:r>
      <w:r>
        <w:rPr>
          <w:rFonts w:hint="eastAsia" w:ascii="仿宋_GB2312" w:hAnsi="仿宋_GB2312" w:eastAsia="仿宋_GB2312" w:cs="仿宋_GB2312"/>
          <w:i w:val="0"/>
          <w:iCs w:val="0"/>
          <w:sz w:val="32"/>
          <w:szCs w:val="32"/>
        </w:rPr>
        <w:t xml:space="preserve"> </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1.本次处置采用密封报价的方式，按照“价高者得”的原则确定最终受让方。</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2.询价文件递交截止时间：2026年7月13日下午15点。</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3.开标时间：2026年7月13日下午15点30分。</w:t>
      </w:r>
    </w:p>
    <w:p>
      <w:pPr>
        <w:spacing w:line="560" w:lineRule="exact"/>
        <w:ind w:firstLine="643"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b/>
          <w:bCs/>
          <w:i w:val="0"/>
          <w:iCs w:val="0"/>
          <w:sz w:val="32"/>
          <w:szCs w:val="32"/>
        </w:rPr>
        <w:t>【逾期送达的、未送达指定地点的或者不按照要求密封的响应文件，将予以拒收。】</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楷体_GB2312" w:hAnsi="楷体_GB2312" w:eastAsia="楷体_GB2312" w:cs="楷体_GB2312"/>
          <w:b w:val="0"/>
          <w:bCs/>
          <w:i w:val="0"/>
          <w:iCs w:val="0"/>
          <w:sz w:val="32"/>
          <w:szCs w:val="32"/>
        </w:rPr>
        <w:t>（三）报名及看样时间。</w:t>
      </w:r>
      <w:r>
        <w:rPr>
          <w:rFonts w:hint="eastAsia" w:ascii="仿宋_GB2312" w:hAnsi="仿宋_GB2312" w:eastAsia="仿宋_GB2312" w:cs="仿宋_GB2312"/>
          <w:i w:val="0"/>
          <w:iCs w:val="0"/>
          <w:sz w:val="32"/>
          <w:szCs w:val="32"/>
        </w:rPr>
        <w:t>自本公告发布之日起至2026年7月13日止（工作日9:00-17:00）。意向受让方请提前预约现场看样，未看样者视为对标的物现状及瑕疵完全认可。</w:t>
      </w:r>
    </w:p>
    <w:p>
      <w:pPr>
        <w:spacing w:line="560" w:lineRule="exact"/>
        <w:ind w:firstLine="640" w:firstLineChars="200"/>
        <w:jc w:val="left"/>
        <w:rPr>
          <w:rFonts w:hint="eastAsia" w:ascii="黑体" w:hAnsi="黑体" w:eastAsia="黑体" w:cs="黑体"/>
          <w:bCs/>
          <w:i w:val="0"/>
          <w:iCs w:val="0"/>
          <w:sz w:val="32"/>
          <w:szCs w:val="32"/>
        </w:rPr>
      </w:pPr>
      <w:r>
        <w:rPr>
          <w:rFonts w:hint="eastAsia" w:ascii="黑体" w:hAnsi="黑体" w:eastAsia="黑体" w:cs="黑体"/>
          <w:bCs/>
          <w:i w:val="0"/>
          <w:iCs w:val="0"/>
          <w:sz w:val="32"/>
          <w:szCs w:val="32"/>
        </w:rPr>
        <w:t>五、咨询与联系方式</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联系人：杨发光</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联系电话：18690786543</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现场看样地址：贵州普定农村商业银行股份有限公司普罗旺斯库房</w:t>
      </w:r>
    </w:p>
    <w:p>
      <w:pPr>
        <w:spacing w:line="560" w:lineRule="exact"/>
        <w:ind w:firstLine="640" w:firstLineChars="200"/>
        <w:jc w:val="lef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特此公告。</w:t>
      </w:r>
    </w:p>
    <w:p>
      <w:pPr>
        <w:spacing w:line="560" w:lineRule="exact"/>
        <w:ind w:right="480"/>
        <w:jc w:val="right"/>
        <w:rPr>
          <w:rFonts w:hint="eastAsia" w:ascii="仿宋_GB2312" w:hAnsi="仿宋_GB2312" w:eastAsia="仿宋_GB2312" w:cs="仿宋_GB2312"/>
          <w:i w:val="0"/>
          <w:iCs w:val="0"/>
          <w:sz w:val="32"/>
          <w:szCs w:val="32"/>
        </w:rPr>
      </w:pPr>
    </w:p>
    <w:p>
      <w:pPr>
        <w:spacing w:line="560" w:lineRule="exact"/>
        <w:ind w:right="480"/>
        <w:jc w:val="right"/>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贵州普定农村商业银行股份有限公司</w:t>
      </w:r>
    </w:p>
    <w:p>
      <w:pPr>
        <w:spacing w:line="560" w:lineRule="exact"/>
        <w:ind w:right="960" w:firstLine="4160" w:firstLineChars="1300"/>
        <w:rPr>
          <w:rFonts w:hint="eastAsia" w:ascii="仿宋_GB2312" w:hAnsi="仿宋_GB2312" w:eastAsia="仿宋_GB2312" w:cs="仿宋_GB2312"/>
          <w:i w:val="0"/>
          <w:iCs w:val="0"/>
          <w:sz w:val="32"/>
          <w:szCs w:val="32"/>
        </w:rPr>
      </w:pPr>
      <w:r>
        <w:rPr>
          <w:rFonts w:hint="eastAsia" w:ascii="仿宋_GB2312" w:hAnsi="仿宋_GB2312" w:eastAsia="仿宋_GB2312" w:cs="仿宋_GB2312"/>
          <w:i w:val="0"/>
          <w:iCs w:val="0"/>
          <w:sz w:val="32"/>
          <w:szCs w:val="32"/>
        </w:rPr>
        <w:t>2026年7月9日</w:t>
      </w:r>
    </w:p>
    <w:sectPr>
      <w:footerReference r:id="rId3" w:type="default"/>
      <w:pgSz w:w="11900" w:h="15840"/>
      <w:pgMar w:top="1440" w:right="1800" w:bottom="1440" w:left="1800" w:header="720" w:footer="72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3073" o:spid="_x0000_s3073"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hdrShapeDefaults>
    <o:shapelayout v:ext="edit">
      <o:idmap v:ext="edit" data="3"/>
    </o:shapelayout>
  </w:hdrShapeDefaults>
  <w:compat>
    <w:ulTrailSpace/>
    <w:useFELayout/>
    <w:compatSetting w:name="compatibilityMode" w:uri="http://schemas.microsoft.com/office/word" w:val="12"/>
  </w:compat>
  <w:rsids>
    <w:rsidRoot w:val="00BE697F"/>
    <w:rsid w:val="00016E95"/>
    <w:rsid w:val="000F5FDD"/>
    <w:rsid w:val="001407F7"/>
    <w:rsid w:val="001801AC"/>
    <w:rsid w:val="001E1DDF"/>
    <w:rsid w:val="003D07CF"/>
    <w:rsid w:val="004B12A5"/>
    <w:rsid w:val="00525555"/>
    <w:rsid w:val="00577C2E"/>
    <w:rsid w:val="00731602"/>
    <w:rsid w:val="0077388F"/>
    <w:rsid w:val="007979CD"/>
    <w:rsid w:val="00937635"/>
    <w:rsid w:val="00A8178E"/>
    <w:rsid w:val="00AD0E69"/>
    <w:rsid w:val="00BE3CB8"/>
    <w:rsid w:val="00BE697F"/>
    <w:rsid w:val="00CD2918"/>
    <w:rsid w:val="00D963C6"/>
    <w:rsid w:val="00DC3F87"/>
    <w:rsid w:val="00FA68E3"/>
    <w:rsid w:val="00FE3627"/>
    <w:rsid w:val="3272639B"/>
    <w:rsid w:val="4A5E0F75"/>
    <w:rsid w:val="6C275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 w:type="paragraph" w:styleId="9">
    <w:name w:val="List Paragraph"/>
    <w:basedOn w:val="1"/>
    <w:qFormat/>
    <w:uiPriority w:val="34"/>
    <w:pPr>
      <w:ind w:firstLine="420" w:firstLineChars="200"/>
    </w:pPr>
  </w:style>
  <w:style w:type="character" w:customStyle="1" w:styleId="10">
    <w:name w:val="qk-md-text"/>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Pages>
  <Words>181</Words>
  <Characters>1033</Characters>
  <Lines>8</Lines>
  <Paragraphs>2</Paragraphs>
  <TotalTime>5</TotalTime>
  <ScaleCrop>false</ScaleCrop>
  <LinksUpToDate>false</LinksUpToDate>
  <CharactersWithSpaces>1212</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2026-07-09T03:45:00Z</dcterms:created>
  <dc:creator>Apache POI</dc:creator>
  <cp:lastModifiedBy>123675-龙彬</cp:lastModifiedBy>
  <dcterms:modified xsi:type="dcterms:W3CDTF">2026-07-09T03:53:56Z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{"ContentPropagator":"001191440101MA9Y9T4H7A00000","Label":"1","ReservedCode1":"WqdMtXsRikj+QnrJyVD3+Z8AYzAR8Mr0Hp0vrYsuais=","ProduceID":"doc_sgs:07cacf7d-b181-4cac-8f48-1b1748d3bf75","ReservedCode2":"WqdMtXsRikj+QnrJyVD3+Z8AYzAR8Mr0Hp0vrYsuais=","Propag</vt:lpwstr>
  </property>
  <property fmtid="{D5CDD505-2E9C-101B-9397-08002B2CF9AE}" pid="3" name="KSOProductBuildVer">
    <vt:lpwstr>2052-11.8.2.10393</vt:lpwstr>
  </property>
  <property fmtid="{D5CDD505-2E9C-101B-9397-08002B2CF9AE}" pid="4" name="ICV">
    <vt:lpwstr>D025569B2170414084150A4781F98B12_12</vt:lpwstr>
  </property>
</Properties>
</file>