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sz w:val="32"/>
          <w:szCs w:val="32"/>
        </w:rPr>
      </w:pPr>
      <w:bookmarkStart w:id="0" w:name="OLE_LINK2"/>
      <w:bookmarkStart w:id="1" w:name="OLE_LINK1"/>
      <w:r>
        <w:rPr>
          <w:rFonts w:hint="eastAsia" w:ascii="仿宋_GB2312" w:hAnsi="仿宋_GB2312" w:eastAsia="仿宋_GB2312" w:cs="仿宋_GB2312"/>
          <w:b/>
          <w:sz w:val="32"/>
          <w:szCs w:val="32"/>
        </w:rPr>
        <w:t>附件1</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贵州普定农村商业银行股份有限公司</w:t>
      </w:r>
      <w:bookmarkEnd w:id="0"/>
      <w:bookmarkEnd w:id="1"/>
      <w:r>
        <w:rPr>
          <w:rFonts w:hint="eastAsia" w:ascii="方正小标宋简体" w:hAnsi="方正小标宋简体" w:eastAsia="方正小标宋简体" w:cs="方正小标宋简体"/>
          <w:b w:val="0"/>
          <w:bCs/>
          <w:sz w:val="44"/>
          <w:szCs w:val="44"/>
        </w:rPr>
        <w:t>关于公开处置一批报废资产询价文件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规范贵州普定农村商业银行股份有限公司（以下简称“我行”）资产管理，优化资源配置，根据《中华人民共和国企业国有资产法》及我行相关资产处置管理规定，现拟对一批已达到报废标准的实物资产进行公开询价处置。为确保处置过程公开、公平、公正，现将有关事项公告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一、处置标的物概况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本次拟处置的标的物为我行一批已报废实物资产，主要包括：淘汰的</w:t>
      </w:r>
      <w:bookmarkStart w:id="2" w:name="OLE_LINK3"/>
      <w:bookmarkStart w:id="3" w:name="OLE_LINK4"/>
      <w:r>
        <w:rPr>
          <w:rFonts w:hint="eastAsia" w:ascii="仿宋_GB2312" w:hAnsi="仿宋_GB2312" w:eastAsia="仿宋_GB2312" w:cs="仿宋_GB2312"/>
          <w:sz w:val="32"/>
          <w:szCs w:val="32"/>
        </w:rPr>
        <w:t>自助设备（CRS）</w:t>
      </w:r>
      <w:bookmarkEnd w:id="2"/>
      <w:bookmarkEnd w:id="3"/>
      <w:r>
        <w:rPr>
          <w:rFonts w:hint="eastAsia" w:ascii="仿宋_GB2312" w:hAnsi="仿宋_GB2312" w:eastAsia="仿宋_GB2312" w:cs="仿宋_GB2312"/>
          <w:sz w:val="32"/>
          <w:szCs w:val="32"/>
        </w:rPr>
        <w:t>、UPS电源及废旧电池等（具体以现场看样实物为准）。</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b/>
          <w:bCs w:val="0"/>
          <w:i w:val="0"/>
          <w:iCs/>
          <w:sz w:val="32"/>
          <w:szCs w:val="32"/>
        </w:rPr>
      </w:pPr>
      <w:r>
        <w:rPr>
          <w:rFonts w:hint="eastAsia" w:ascii="仿宋_GB2312" w:hAnsi="仿宋_GB2312" w:eastAsia="仿宋_GB2312" w:cs="仿宋_GB2312"/>
          <w:b/>
          <w:bCs w:val="0"/>
          <w:i w:val="0"/>
          <w:iCs/>
          <w:sz w:val="32"/>
          <w:szCs w:val="32"/>
        </w:rPr>
        <w:t>注：标的物按现状进行转让，转让方不承担标的物的瑕疵担保责任。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二、意向受让方资格条件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（一）意向受让方须为在中华人民共和国境内依法设立并有效存续的企业法人、其他组织或具有完全民事行为能力的自然人。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（二）意向受让方未被“信用中国”网站列入失信被执行人、重大税收违法案件当事人名单、政府采购严重违法失信行为记录名单。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（三）意向受让方法定代表人、控股股东或实际控制人与采购人高管人员及使用需求部门、采购部门关键岗位人员无夫妻、直系血亲、三代以内旁系血亲或者近姻亲关系。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（四）意向受让方的营业执照经营范围须包含</w:t>
      </w:r>
      <w:r>
        <w:rPr>
          <w:rFonts w:hint="eastAsia" w:ascii="仿宋_GB2312" w:hAnsi="仿宋_GB2312" w:eastAsia="仿宋_GB2312" w:cs="仿宋_GB2312"/>
          <w:sz w:val="32"/>
          <w:szCs w:val="32"/>
          <w:lang w:val="en-US" w:eastAsia="zh-CN"/>
        </w:rPr>
        <w:t>再生资源回收、</w:t>
      </w:r>
      <w:r>
        <w:rPr>
          <w:rFonts w:hint="eastAsia" w:ascii="仿宋_GB2312" w:hAnsi="仿宋_GB2312" w:eastAsia="仿宋_GB2312" w:cs="仿宋_GB2312"/>
          <w:sz w:val="32"/>
          <w:szCs w:val="32"/>
        </w:rPr>
        <w:t>废旧物资回收、废旧通讯设备回收、废旧电器电子产品回收或废弃电子产品处理等相关资质。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rPr>
        <w:t>）成立年限不足半年，原则上不允许参加。</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【报名时，须提供以上资料复印件加盖公章一套，不提供或提供不齐全不予报名。】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三、特别合规与安全提示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val="0"/>
          <w:bCs/>
          <w:sz w:val="32"/>
          <w:szCs w:val="32"/>
        </w:rPr>
        <w:t>（一）信息安全</w:t>
      </w:r>
      <w:r>
        <w:rPr>
          <w:rFonts w:hint="eastAsia" w:ascii="楷体_GB2312" w:hAnsi="楷体_GB2312" w:eastAsia="楷体_GB2312" w:cs="楷体_GB2312"/>
          <w:b w:val="0"/>
          <w:bCs/>
          <w:sz w:val="32"/>
          <w:szCs w:val="32"/>
          <w:lang w:eastAsia="zh-CN"/>
        </w:rPr>
        <w:t>。</w:t>
      </w:r>
      <w:r>
        <w:rPr>
          <w:rFonts w:hint="eastAsia" w:ascii="仿宋_GB2312" w:hAnsi="仿宋_GB2312" w:eastAsia="仿宋_GB2312" w:cs="仿宋_GB2312"/>
          <w:sz w:val="32"/>
          <w:szCs w:val="32"/>
        </w:rPr>
        <w:t>涉及存取款一体机，我行将在移交前统一拆除并回收硬盘等存储介质及加密键盘。受让方在拆卸、搬运过程中，严禁私自拆解非成交标的范围内的设备，严禁试图恢复或窃取任何数据，否则我行将追究法律责任。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val="0"/>
          <w:bCs/>
          <w:sz w:val="32"/>
          <w:szCs w:val="32"/>
        </w:rPr>
        <w:t>（二）环保与合规</w:t>
      </w:r>
      <w:r>
        <w:rPr>
          <w:rFonts w:hint="eastAsia" w:ascii="楷体_GB2312" w:hAnsi="楷体_GB2312" w:eastAsia="楷体_GB2312" w:cs="楷体_GB2312"/>
          <w:b w:val="0"/>
          <w:bCs/>
          <w:sz w:val="32"/>
          <w:szCs w:val="32"/>
          <w:lang w:eastAsia="zh-CN"/>
        </w:rPr>
        <w:t>。</w:t>
      </w:r>
      <w:r>
        <w:rPr>
          <w:rFonts w:hint="eastAsia" w:ascii="仿宋_GB2312" w:hAnsi="仿宋_GB2312" w:eastAsia="仿宋_GB2312" w:cs="仿宋_GB2312"/>
          <w:sz w:val="32"/>
          <w:szCs w:val="32"/>
        </w:rPr>
        <w:t>受让方对标的物的拆除及处置必须符合国家相关法律法规及环保要求。原则上标的物不允许二次流入市场使用，若因受让方强行维持使用或违规处置所造成的一切后果，由受让方自行承担。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val="0"/>
          <w:bCs/>
          <w:sz w:val="32"/>
          <w:szCs w:val="32"/>
        </w:rPr>
        <w:t>（三）安全责任</w:t>
      </w:r>
      <w:r>
        <w:rPr>
          <w:rFonts w:hint="eastAsia" w:ascii="楷体_GB2312" w:hAnsi="楷体_GB2312" w:eastAsia="楷体_GB2312" w:cs="楷体_GB2312"/>
          <w:b w:val="0"/>
          <w:bCs/>
          <w:sz w:val="32"/>
          <w:szCs w:val="32"/>
          <w:lang w:eastAsia="zh-CN"/>
        </w:rPr>
        <w:t>。</w:t>
      </w:r>
      <w:r>
        <w:rPr>
          <w:rFonts w:hint="eastAsia" w:ascii="仿宋_GB2312" w:hAnsi="仿宋_GB2312" w:eastAsia="仿宋_GB2312" w:cs="仿宋_GB2312"/>
          <w:sz w:val="32"/>
          <w:szCs w:val="32"/>
        </w:rPr>
        <w:t>受让方自行负责转让标的的拆除、装载与运输，并承担在此过程中发生的一切费用、安全责任及可能造成的周边设施损坏赔偿。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四</w:t>
      </w:r>
      <w:r>
        <w:rPr>
          <w:rFonts w:hint="eastAsia" w:ascii="黑体" w:hAnsi="黑体" w:eastAsia="黑体" w:cs="黑体"/>
          <w:b w:val="0"/>
          <w:bCs/>
          <w:sz w:val="32"/>
          <w:szCs w:val="32"/>
          <w:lang w:eastAsia="zh-CN"/>
        </w:rPr>
        <w:t>、</w:t>
      </w:r>
      <w:r>
        <w:rPr>
          <w:rFonts w:hint="eastAsia" w:ascii="黑体" w:hAnsi="黑体" w:eastAsia="黑体" w:cs="黑体"/>
          <w:b w:val="0"/>
          <w:bCs/>
          <w:sz w:val="32"/>
          <w:szCs w:val="32"/>
        </w:rPr>
        <w:t>最低限价与询价方式</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（一）最低限价</w:t>
      </w:r>
      <w:r>
        <w:rPr>
          <w:rFonts w:hint="eastAsia" w:ascii="仿宋_GB2312" w:hAnsi="仿宋_GB2312" w:eastAsia="仿宋_GB2312" w:cs="仿宋_GB2312"/>
          <w:b/>
          <w:sz w:val="32"/>
          <w:szCs w:val="32"/>
          <w:lang w:eastAsia="zh-CN"/>
        </w:rPr>
        <w:t>。</w:t>
      </w:r>
      <w:r>
        <w:rPr>
          <w:rFonts w:hint="eastAsia" w:ascii="仿宋_GB2312" w:hAnsi="仿宋_GB2312" w:eastAsia="仿宋_GB2312" w:cs="仿宋_GB2312"/>
          <w:sz w:val="32"/>
          <w:szCs w:val="32"/>
        </w:rPr>
        <w:t>经第三方评估机构评估，本次处置标的物的最低限价见下表。本次询价不接受低于最低限价的报价，低于该价格的报价视为无效报价。</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9"/>
        <w:gridCol w:w="2749"/>
        <w:gridCol w:w="2479"/>
        <w:gridCol w:w="1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序号</w:t>
            </w:r>
          </w:p>
        </w:tc>
        <w:tc>
          <w:tcPr>
            <w:tcW w:w="274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标的物名称</w:t>
            </w:r>
          </w:p>
        </w:tc>
        <w:tc>
          <w:tcPr>
            <w:tcW w:w="247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标的物最低限价</w:t>
            </w:r>
          </w:p>
        </w:tc>
        <w:tc>
          <w:tcPr>
            <w:tcW w:w="177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p>
        </w:tc>
        <w:tc>
          <w:tcPr>
            <w:tcW w:w="274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自助设备（CRS）</w:t>
            </w:r>
          </w:p>
        </w:tc>
        <w:tc>
          <w:tcPr>
            <w:tcW w:w="247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683</w:t>
            </w:r>
          </w:p>
        </w:tc>
        <w:tc>
          <w:tcPr>
            <w:tcW w:w="177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p>
        </w:tc>
        <w:tc>
          <w:tcPr>
            <w:tcW w:w="274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UPS</w:t>
            </w:r>
            <w:r>
              <w:rPr>
                <w:rFonts w:hint="eastAsia" w:ascii="仿宋_GB2312" w:hAnsi="仿宋_GB2312" w:eastAsia="仿宋_GB2312" w:cs="仿宋_GB2312"/>
                <w:sz w:val="32"/>
                <w:szCs w:val="32"/>
              </w:rPr>
              <w:t>电源</w:t>
            </w:r>
          </w:p>
        </w:tc>
        <w:tc>
          <w:tcPr>
            <w:tcW w:w="247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200</w:t>
            </w:r>
          </w:p>
        </w:tc>
        <w:tc>
          <w:tcPr>
            <w:tcW w:w="177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p>
        </w:tc>
        <w:tc>
          <w:tcPr>
            <w:tcW w:w="274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UPS电池</w:t>
            </w:r>
          </w:p>
        </w:tc>
        <w:tc>
          <w:tcPr>
            <w:tcW w:w="247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123</w:t>
            </w:r>
          </w:p>
        </w:tc>
        <w:tc>
          <w:tcPr>
            <w:tcW w:w="177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rPr>
            </w:pPr>
          </w:p>
        </w:tc>
      </w:tr>
    </w:tbl>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（二）询价方式：</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1.本次处置采用密封报价的方式，按照“</w:t>
      </w:r>
      <w:r>
        <w:rPr>
          <w:rFonts w:hint="eastAsia" w:ascii="仿宋_GB2312" w:hAnsi="仿宋_GB2312" w:eastAsia="仿宋_GB2312" w:cs="仿宋_GB2312"/>
          <w:sz w:val="32"/>
          <w:szCs w:val="32"/>
          <w:lang w:val="en-US" w:eastAsia="zh-CN"/>
        </w:rPr>
        <w:t>单项</w:t>
      </w:r>
      <w:r>
        <w:rPr>
          <w:rFonts w:hint="eastAsia" w:ascii="仿宋_GB2312" w:hAnsi="仿宋_GB2312" w:eastAsia="仿宋_GB2312" w:cs="仿宋_GB2312"/>
          <w:sz w:val="32"/>
          <w:szCs w:val="32"/>
        </w:rPr>
        <w:t>价高者得”的原则确定最终受让方。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2.询价文件递交截止时间：2026年7月8日下午15点。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3.开标时间：2026年7月8日下午15</w:t>
      </w:r>
      <w:bookmarkStart w:id="4" w:name="_GoBack"/>
      <w:bookmarkEnd w:id="4"/>
      <w:r>
        <w:rPr>
          <w:rFonts w:hint="eastAsia" w:ascii="仿宋_GB2312" w:hAnsi="仿宋_GB2312" w:eastAsia="仿宋_GB2312" w:cs="仿宋_GB2312"/>
          <w:sz w:val="32"/>
          <w:szCs w:val="32"/>
        </w:rPr>
        <w:t>点30分。</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【逾期送达的、未送达指定地点的或者不按照要求密封的响应文件，将予以拒收。】</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（三）报名及看样时间</w:t>
      </w:r>
      <w:r>
        <w:rPr>
          <w:rFonts w:hint="eastAsia" w:ascii="仿宋_GB2312" w:hAnsi="仿宋_GB2312" w:eastAsia="仿宋_GB2312" w:cs="仿宋_GB2312"/>
          <w:b/>
          <w:sz w:val="32"/>
          <w:szCs w:val="32"/>
          <w:lang w:eastAsia="zh-CN"/>
        </w:rPr>
        <w:t>。</w:t>
      </w:r>
      <w:r>
        <w:rPr>
          <w:rFonts w:hint="eastAsia" w:ascii="仿宋_GB2312" w:hAnsi="仿宋_GB2312" w:eastAsia="仿宋_GB2312" w:cs="仿宋_GB2312"/>
          <w:sz w:val="32"/>
          <w:szCs w:val="32"/>
        </w:rPr>
        <w:t>自本公告发布之日起至2026年7月8日止（工作日9:00-17:00）。意向受让方请提前预约现场看样，未看样者视为对标的物现状及瑕疵完全认可。</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五、咨询与联系方式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联系人：杨发光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联系电话：18690786543</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现场看样地址：贵州普定农村商业银行股份有限公司普罗旺斯库房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特此公告。</w:t>
      </w:r>
    </w:p>
    <w:p>
      <w:pPr>
        <w:keepNext w:val="0"/>
        <w:keepLines w:val="0"/>
        <w:pageBreakBefore w:val="0"/>
        <w:widowControl w:val="0"/>
        <w:kinsoku/>
        <w:wordWrap/>
        <w:overflowPunct/>
        <w:topLinePunct w:val="0"/>
        <w:autoSpaceDE/>
        <w:autoSpaceDN/>
        <w:bidi w:val="0"/>
        <w:adjustRightInd/>
        <w:snapToGrid/>
        <w:spacing w:line="560" w:lineRule="exact"/>
        <w:ind w:right="480"/>
        <w:jc w:val="righ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480"/>
        <w:jc w:val="righ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480"/>
        <w:jc w:val="righ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48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贵州普定农村商业银行股份有限公司</w:t>
      </w:r>
    </w:p>
    <w:p>
      <w:pPr>
        <w:keepNext w:val="0"/>
        <w:keepLines w:val="0"/>
        <w:pageBreakBefore w:val="0"/>
        <w:widowControl w:val="0"/>
        <w:kinsoku/>
        <w:wordWrap/>
        <w:overflowPunct/>
        <w:topLinePunct w:val="0"/>
        <w:autoSpaceDE/>
        <w:autoSpaceDN/>
        <w:bidi w:val="0"/>
        <w:adjustRightInd/>
        <w:snapToGrid/>
        <w:spacing w:line="560" w:lineRule="exact"/>
        <w:ind w:right="960" w:firstLine="4160" w:firstLineChars="13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2026年7月3日</w:t>
      </w:r>
    </w:p>
    <w:sectPr>
      <w:pgSz w:w="1190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97F"/>
    <w:rsid w:val="001801AC"/>
    <w:rsid w:val="001E1DDF"/>
    <w:rsid w:val="00577C2E"/>
    <w:rsid w:val="00731602"/>
    <w:rsid w:val="007979CD"/>
    <w:rsid w:val="00A8178E"/>
    <w:rsid w:val="00AD0E69"/>
    <w:rsid w:val="00BE697F"/>
    <w:rsid w:val="00CD2918"/>
    <w:rsid w:val="00D963C6"/>
    <w:rsid w:val="00DC3F87"/>
    <w:rsid w:val="4A5E0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semiHidden/>
    <w:uiPriority w:val="99"/>
    <w:rPr>
      <w:sz w:val="18"/>
      <w:szCs w:val="18"/>
    </w:rPr>
  </w:style>
  <w:style w:type="character" w:customStyle="1" w:styleId="8">
    <w:name w:val="页脚 Char"/>
    <w:basedOn w:val="6"/>
    <w:link w:val="2"/>
    <w:semiHidden/>
    <w:uiPriority w:val="99"/>
    <w:rPr>
      <w:sz w:val="18"/>
      <w:szCs w:val="18"/>
    </w:rPr>
  </w:style>
  <w:style w:type="paragraph" w:styleId="9">
    <w:name w:val="List Paragraph"/>
    <w:basedOn w:val="1"/>
    <w:qFormat/>
    <w:uiPriority w:val="34"/>
    <w:pPr>
      <w:ind w:firstLine="420" w:firstLineChars="200"/>
    </w:pPr>
  </w:style>
  <w:style w:type="character" w:customStyle="1" w:styleId="10">
    <w:name w:val="qk-md-text"/>
    <w:basedOn w:val="6"/>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210</Words>
  <Characters>1198</Characters>
  <Lines>9</Lines>
  <Paragraphs>2</Paragraphs>
  <TotalTime>30</TotalTime>
  <ScaleCrop>false</ScaleCrop>
  <LinksUpToDate>false</LinksUpToDate>
  <CharactersWithSpaces>1406</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2026-07-03T01:22:00Z</dcterms:created>
  <dc:creator>Apache POI</dc:creator>
  <cp:lastModifiedBy>123675-龙彬</cp:lastModifiedBy>
  <dcterms:modified xsi:type="dcterms:W3CDTF">2026-07-03T02:12:49Z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{"ContentPropagator":"001191440101MA9Y9T4H7A00000","Label":"1","ReservedCode1":"WqdMtXsRikj+QnrJyVD3+Z8AYzAR8Mr0Hp0vrYsuais=","ProduceID":"doc_sgs:07cacf7d-b181-4cac-8f48-1b1748d3bf75","ReservedCode2":"WqdMtXsRikj+QnrJyVD3+Z8AYzAR8Mr0Hp0vrYsuais=","Propag</vt:lpwstr>
  </property>
  <property fmtid="{D5CDD505-2E9C-101B-9397-08002B2CF9AE}" pid="3" name="KSOProductBuildVer">
    <vt:lpwstr>2052-11.8.2.10393</vt:lpwstr>
  </property>
</Properties>
</file>