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overflowPunct/>
        <w:topLinePunct w:val="0"/>
        <w:autoSpaceDE/>
        <w:autoSpaceDN/>
        <w:bidi w:val="0"/>
        <w:spacing w:before="120" w:beforeLines="50" w:after="120" w:afterLines="50" w:line="560" w:lineRule="exact"/>
        <w:jc w:val="both"/>
        <w:textAlignment w:val="auto"/>
        <w:rPr>
          <w:rFonts w:hint="eastAsia" w:ascii="黑体" w:hAnsi="黑体" w:eastAsia="黑体" w:cs="黑体"/>
          <w:bCs/>
          <w:color w:val="auto"/>
          <w:sz w:val="28"/>
          <w:szCs w:val="28"/>
          <w:highlight w:val="none"/>
          <w:lang w:val="en-US" w:eastAsia="zh-CN"/>
        </w:rPr>
      </w:pPr>
      <w:r>
        <w:rPr>
          <w:rFonts w:hint="eastAsia" w:ascii="黑体" w:hAnsi="黑体" w:eastAsia="黑体" w:cs="黑体"/>
          <w:bCs/>
          <w:color w:val="auto"/>
          <w:sz w:val="28"/>
          <w:szCs w:val="28"/>
          <w:highlight w:val="none"/>
          <w:lang w:eastAsia="zh-CN"/>
        </w:rPr>
        <w:t>附件</w:t>
      </w:r>
      <w:r>
        <w:rPr>
          <w:rFonts w:hint="eastAsia" w:ascii="黑体" w:hAnsi="黑体" w:eastAsia="黑体" w:cs="黑体"/>
          <w:bCs/>
          <w:color w:val="auto"/>
          <w:sz w:val="28"/>
          <w:szCs w:val="28"/>
          <w:highlight w:val="none"/>
          <w:lang w:val="en-US" w:eastAsia="zh-CN"/>
        </w:rPr>
        <w:t>3：</w:t>
      </w:r>
    </w:p>
    <w:p>
      <w:pPr>
        <w:pageBreakBefore w:val="0"/>
        <w:widowControl w:val="0"/>
        <w:kinsoku/>
        <w:wordWrap/>
        <w:overflowPunct/>
        <w:topLinePunct w:val="0"/>
        <w:autoSpaceDE/>
        <w:autoSpaceDN/>
        <w:bidi w:val="0"/>
        <w:spacing w:line="560" w:lineRule="exact"/>
        <w:jc w:val="center"/>
        <w:textAlignment w:val="auto"/>
        <w:rPr>
          <w:rFonts w:ascii="方正大标宋简体" w:hAnsi="方正大标宋简体" w:eastAsia="方正大标宋简体" w:cs="方正大标宋简体"/>
          <w:color w:val="auto"/>
          <w:sz w:val="44"/>
          <w:szCs w:val="44"/>
          <w:highlight w:val="none"/>
        </w:rPr>
      </w:pPr>
      <w:r>
        <w:rPr>
          <w:rFonts w:hint="eastAsia" w:ascii="方正大标宋简体" w:hAnsi="方正大标宋简体" w:eastAsia="方正大标宋简体" w:cs="方正大标宋简体"/>
          <w:color w:val="auto"/>
          <w:sz w:val="44"/>
          <w:szCs w:val="44"/>
          <w:highlight w:val="none"/>
        </w:rPr>
        <w:t>江口县农村信用合作联社</w:t>
      </w:r>
      <w:r>
        <w:rPr>
          <w:rFonts w:hint="eastAsia" w:ascii="方正大标宋简体" w:hAnsi="方正大标宋简体" w:eastAsia="方正大标宋简体" w:cs="方正大标宋简体"/>
          <w:color w:val="auto"/>
          <w:sz w:val="44"/>
          <w:szCs w:val="44"/>
          <w:highlight w:val="none"/>
          <w:lang w:val="en-US" w:eastAsia="zh-CN"/>
        </w:rPr>
        <w:t>UPS蓄电池</w:t>
      </w:r>
      <w:r>
        <w:rPr>
          <w:rFonts w:hint="eastAsia" w:ascii="方正大标宋简体" w:hAnsi="方正大标宋简体" w:eastAsia="方正大标宋简体" w:cs="方正大标宋简体"/>
          <w:color w:val="auto"/>
          <w:sz w:val="44"/>
          <w:szCs w:val="44"/>
          <w:highlight w:val="none"/>
        </w:rPr>
        <w:t>项目招标</w:t>
      </w:r>
      <w:bookmarkStart w:id="4" w:name="_GoBack"/>
      <w:bookmarkEnd w:id="4"/>
      <w:r>
        <w:rPr>
          <w:rFonts w:hint="eastAsia" w:ascii="方正大标宋简体" w:hAnsi="方正大标宋简体" w:eastAsia="方正大标宋简体" w:cs="方正大标宋简体"/>
          <w:color w:val="auto"/>
          <w:sz w:val="44"/>
          <w:szCs w:val="44"/>
          <w:highlight w:val="none"/>
        </w:rPr>
        <w:t>技术方案</w:t>
      </w:r>
    </w:p>
    <w:p>
      <w:pPr>
        <w:pageBreakBefore w:val="0"/>
        <w:widowControl w:val="0"/>
        <w:kinsoku/>
        <w:wordWrap/>
        <w:overflowPunct/>
        <w:topLinePunct w:val="0"/>
        <w:autoSpaceDE/>
        <w:autoSpaceDN/>
        <w:bidi w:val="0"/>
        <w:spacing w:line="560" w:lineRule="exact"/>
        <w:ind w:left="482"/>
        <w:textAlignment w:val="auto"/>
        <w:rPr>
          <w:rFonts w:ascii="黑体" w:hAnsi="黑体" w:eastAsia="黑体"/>
          <w:bCs/>
          <w:color w:val="auto"/>
          <w:highlight w:val="none"/>
        </w:rPr>
      </w:pPr>
    </w:p>
    <w:p>
      <w:pPr>
        <w:pageBreakBefore w:val="0"/>
        <w:widowControl w:val="0"/>
        <w:kinsoku/>
        <w:wordWrap/>
        <w:overflowPunct/>
        <w:topLinePunct w:val="0"/>
        <w:autoSpaceDE/>
        <w:autoSpaceDN/>
        <w:bidi w:val="0"/>
        <w:spacing w:line="560" w:lineRule="exact"/>
        <w:ind w:firstLine="640" w:firstLineChars="200"/>
        <w:textAlignment w:val="auto"/>
        <w:rPr>
          <w:rFonts w:hint="eastAsia"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一、</w:t>
      </w:r>
      <w:r>
        <w:rPr>
          <w:rFonts w:hint="eastAsia" w:ascii="黑体" w:hAnsi="黑体" w:eastAsia="黑体" w:cs="黑体"/>
          <w:bCs/>
          <w:color w:val="auto"/>
          <w:sz w:val="32"/>
          <w:szCs w:val="32"/>
          <w:highlight w:val="none"/>
          <w:lang w:eastAsia="zh-CN"/>
        </w:rPr>
        <w:t>供应商</w:t>
      </w:r>
      <w:r>
        <w:rPr>
          <w:rFonts w:hint="eastAsia" w:ascii="黑体" w:hAnsi="黑体" w:eastAsia="黑体" w:cs="黑体"/>
          <w:bCs/>
          <w:color w:val="auto"/>
          <w:sz w:val="32"/>
          <w:szCs w:val="32"/>
          <w:highlight w:val="none"/>
        </w:rPr>
        <w:t>资格要求</w:t>
      </w:r>
    </w:p>
    <w:p>
      <w:pPr>
        <w:pageBreakBefore w:val="0"/>
        <w:widowControl w:val="0"/>
        <w:kinsoku/>
        <w:wordWrap/>
        <w:overflowPunct/>
        <w:topLinePunct w:val="0"/>
        <w:autoSpaceDE/>
        <w:autoSpaceDN/>
        <w:bidi w:val="0"/>
        <w:spacing w:line="560" w:lineRule="exact"/>
        <w:ind w:firstLine="48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eastAsia="zh-CN"/>
        </w:rPr>
        <w:t>供应商</w:t>
      </w:r>
      <w:r>
        <w:rPr>
          <w:rFonts w:hint="eastAsia" w:ascii="仿宋_GB2312" w:eastAsia="仿宋_GB2312"/>
          <w:color w:val="auto"/>
          <w:sz w:val="32"/>
          <w:szCs w:val="32"/>
          <w:highlight w:val="none"/>
        </w:rPr>
        <w:t>须具备以下资质条件、能力和信誉，否则视为废标。</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1.</w:t>
      </w:r>
      <w:r>
        <w:rPr>
          <w:rFonts w:hint="eastAsia" w:ascii="仿宋_GB2312" w:eastAsia="仿宋_GB2312"/>
          <w:color w:val="auto"/>
          <w:sz w:val="32"/>
          <w:szCs w:val="32"/>
          <w:highlight w:val="none"/>
          <w:lang w:eastAsia="zh-CN"/>
        </w:rPr>
        <w:t>供应商</w:t>
      </w:r>
      <w:r>
        <w:rPr>
          <w:rFonts w:hint="eastAsia" w:ascii="仿宋_GB2312" w:eastAsia="仿宋_GB2312"/>
          <w:color w:val="auto"/>
          <w:sz w:val="32"/>
          <w:szCs w:val="32"/>
          <w:highlight w:val="none"/>
        </w:rPr>
        <w:t>应是在中华人民共和国境内合法注册且存续有效的独立法人，具备相应技术服务能力的厂（商）家，提供有效期内证明文件加盖公章。</w:t>
      </w:r>
    </w:p>
    <w:p>
      <w:pPr>
        <w:pStyle w:val="4"/>
        <w:pageBreakBefore w:val="0"/>
        <w:widowControl w:val="0"/>
        <w:kinsoku/>
        <w:wordWrap/>
        <w:overflowPunct/>
        <w:topLinePunct w:val="0"/>
        <w:autoSpaceDE/>
        <w:autoSpaceDN/>
        <w:bidi w:val="0"/>
        <w:spacing w:line="560" w:lineRule="exact"/>
        <w:ind w:firstLine="640"/>
        <w:jc w:val="both"/>
        <w:textAlignment w:val="auto"/>
        <w:rPr>
          <w:rFonts w:hint="eastAsia" w:ascii="仿宋_GB2312" w:eastAsia="仿宋_GB2312"/>
          <w:color w:val="auto"/>
          <w:sz w:val="32"/>
          <w:szCs w:val="32"/>
          <w:highlight w:val="none"/>
        </w:rPr>
      </w:pPr>
      <w:r>
        <w:rPr>
          <w:rFonts w:hint="eastAsia" w:ascii="仿宋_GB2312" w:eastAsia="仿宋_GB2312" w:hAnsiTheme="minorHAnsi" w:cstheme="minorBidi"/>
          <w:bCs w:val="0"/>
          <w:color w:val="auto"/>
          <w:sz w:val="32"/>
          <w:szCs w:val="32"/>
          <w:highlight w:val="none"/>
        </w:rPr>
        <w:t>2.</w:t>
      </w:r>
      <w:r>
        <w:rPr>
          <w:rFonts w:hint="eastAsia" w:ascii="仿宋_GB2312" w:eastAsia="仿宋_GB2312" w:hAnsiTheme="minorHAnsi" w:cstheme="minorBidi"/>
          <w:bCs w:val="0"/>
          <w:color w:val="auto"/>
          <w:sz w:val="32"/>
          <w:szCs w:val="32"/>
          <w:highlight w:val="none"/>
          <w:lang w:eastAsia="zh-CN"/>
        </w:rPr>
        <w:t>供应商</w:t>
      </w:r>
      <w:r>
        <w:rPr>
          <w:rFonts w:hint="eastAsia" w:ascii="仿宋_GB2312" w:eastAsia="仿宋_GB2312" w:hAnsiTheme="minorHAnsi" w:cstheme="minorBidi"/>
          <w:bCs w:val="0"/>
          <w:color w:val="auto"/>
          <w:sz w:val="32"/>
          <w:szCs w:val="32"/>
          <w:highlight w:val="none"/>
        </w:rPr>
        <w:t>为授权代理商的，须提供本项目涉及各项</w:t>
      </w:r>
      <w:r>
        <w:rPr>
          <w:rFonts w:hint="eastAsia" w:ascii="仿宋_GB2312" w:eastAsia="仿宋_GB2312"/>
          <w:b/>
          <w:color w:val="auto"/>
          <w:sz w:val="32"/>
          <w:szCs w:val="32"/>
          <w:highlight w:val="none"/>
          <w:em w:val="dot"/>
        </w:rPr>
        <w:t>产品及服务的原厂授权</w:t>
      </w:r>
      <w:r>
        <w:rPr>
          <w:rFonts w:hint="eastAsia" w:ascii="仿宋_GB2312" w:eastAsia="仿宋_GB2312"/>
          <w:color w:val="auto"/>
          <w:sz w:val="32"/>
          <w:szCs w:val="32"/>
          <w:highlight w:val="none"/>
        </w:rPr>
        <w:t>。</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3.</w:t>
      </w:r>
      <w:r>
        <w:rPr>
          <w:rFonts w:hint="eastAsia" w:ascii="仿宋_GB2312" w:eastAsia="仿宋_GB2312"/>
          <w:color w:val="auto"/>
          <w:sz w:val="32"/>
          <w:szCs w:val="32"/>
          <w:highlight w:val="none"/>
          <w:lang w:eastAsia="zh-CN"/>
        </w:rPr>
        <w:t>供应商</w:t>
      </w:r>
      <w:r>
        <w:rPr>
          <w:rFonts w:hint="eastAsia" w:ascii="仿宋_GB2312" w:eastAsia="仿宋_GB2312"/>
          <w:color w:val="auto"/>
          <w:sz w:val="32"/>
          <w:szCs w:val="32"/>
          <w:highlight w:val="none"/>
        </w:rPr>
        <w:t>应具有良好的商业信誉，未处于被责令停业、投标资格被取消或者财产被接管、冻结和破产状态；企业没有因骗取中标或者严重违约等问题，被有关部门暂停投标资格并在暂停期内的。</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4.与招标人存在利害关系可能影响招标公正性的法人、其他组织或个人，不得参加投标；</w:t>
      </w:r>
      <w:r>
        <w:rPr>
          <w:rFonts w:hint="eastAsia" w:ascii="仿宋_GB2312" w:eastAsia="仿宋_GB2312"/>
          <w:color w:val="auto"/>
          <w:sz w:val="32"/>
          <w:szCs w:val="32"/>
          <w:highlight w:val="none"/>
          <w:lang w:eastAsia="zh-CN"/>
        </w:rPr>
        <w:t>供应商</w:t>
      </w:r>
      <w:r>
        <w:rPr>
          <w:rFonts w:hint="eastAsia" w:ascii="仿宋_GB2312" w:eastAsia="仿宋_GB2312"/>
          <w:color w:val="auto"/>
          <w:sz w:val="32"/>
          <w:szCs w:val="32"/>
          <w:highlight w:val="none"/>
        </w:rPr>
        <w:t>为同一法人的，其母公司、全资子公司及其控股公司等关联公司不得在本项目中同时投标。</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5.本项目不接受联合体投标。</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二、付款方式</w:t>
      </w:r>
    </w:p>
    <w:p>
      <w:pPr>
        <w:pageBreakBefore w:val="0"/>
        <w:widowControl w:val="0"/>
        <w:kinsoku/>
        <w:wordWrap/>
        <w:overflowPunct/>
        <w:topLinePunct w:val="0"/>
        <w:autoSpaceDE/>
        <w:autoSpaceDN/>
        <w:bidi w:val="0"/>
        <w:spacing w:line="560" w:lineRule="exact"/>
        <w:ind w:firstLine="800" w:firstLineChars="25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合同签订生效后，</w:t>
      </w:r>
      <w:r>
        <w:rPr>
          <w:rFonts w:hint="eastAsia" w:ascii="仿宋_GB2312" w:eastAsia="仿宋_GB2312"/>
          <w:color w:val="auto"/>
          <w:sz w:val="32"/>
          <w:szCs w:val="32"/>
          <w:highlight w:val="none"/>
          <w:lang w:val="en-US" w:eastAsia="zh-CN"/>
        </w:rPr>
        <w:t>产品安装</w:t>
      </w:r>
      <w:r>
        <w:rPr>
          <w:rFonts w:hint="eastAsia" w:ascii="仿宋_GB2312" w:eastAsia="仿宋_GB2312"/>
          <w:color w:val="auto"/>
          <w:sz w:val="32"/>
          <w:szCs w:val="32"/>
          <w:highlight w:val="none"/>
        </w:rPr>
        <w:t>部署完成，品牌、型号、授权、配置完全符合合同要求，经甲方验收合格，</w:t>
      </w:r>
      <w:r>
        <w:rPr>
          <w:rFonts w:hint="eastAsia" w:ascii="仿宋_GB2312" w:eastAsia="仿宋_GB2312"/>
          <w:color w:val="auto"/>
          <w:sz w:val="32"/>
          <w:szCs w:val="32"/>
          <w:highlight w:val="none"/>
          <w:lang w:val="en-US" w:eastAsia="zh-CN"/>
        </w:rPr>
        <w:t>且产品稳定运行</w:t>
      </w:r>
      <w:r>
        <w:rPr>
          <w:rFonts w:hint="eastAsia" w:ascii="仿宋_GB2312" w:eastAsia="仿宋_GB2312"/>
          <w:color w:val="auto"/>
          <w:sz w:val="32"/>
          <w:szCs w:val="32"/>
          <w:highlight w:val="none"/>
        </w:rPr>
        <w:t>运行</w:t>
      </w:r>
      <w:r>
        <w:rPr>
          <w:rFonts w:hint="eastAsia" w:ascii="仿宋_GB2312" w:eastAsia="仿宋_GB2312"/>
          <w:color w:val="auto"/>
          <w:sz w:val="32"/>
          <w:szCs w:val="32"/>
          <w:highlight w:val="none"/>
          <w:lang w:val="en-US" w:eastAsia="zh-CN"/>
        </w:rPr>
        <w:t>一</w:t>
      </w:r>
      <w:r>
        <w:rPr>
          <w:rFonts w:hint="eastAsia" w:ascii="仿宋_GB2312" w:eastAsia="仿宋_GB2312"/>
          <w:color w:val="auto"/>
          <w:sz w:val="32"/>
          <w:szCs w:val="32"/>
          <w:highlight w:val="none"/>
        </w:rPr>
        <w:t>个月后，由乙方提出书面申请，经甲方验收合格，</w:t>
      </w:r>
      <w:r>
        <w:rPr>
          <w:rFonts w:hint="eastAsia" w:ascii="仿宋_GB2312" w:eastAsia="仿宋_GB2312" w:cs="Times New Roman"/>
          <w:bCs/>
          <w:color w:val="auto"/>
          <w:sz w:val="32"/>
          <w:szCs w:val="32"/>
          <w:highlight w:val="none"/>
        </w:rPr>
        <w:t>双方签署《货物安装运行验收报告》，且甲方收到乙方出具的有效增值税发票后15个工作日内支付合同</w:t>
      </w:r>
      <w:r>
        <w:rPr>
          <w:rFonts w:hint="eastAsia" w:ascii="仿宋_GB2312" w:eastAsia="仿宋_GB2312" w:cs="Times New Roman"/>
          <w:bCs/>
          <w:color w:val="auto"/>
          <w:sz w:val="32"/>
          <w:szCs w:val="32"/>
          <w:highlight w:val="none"/>
          <w:lang w:val="en-US" w:eastAsia="zh-CN"/>
        </w:rPr>
        <w:t>全款</w:t>
      </w:r>
      <w:r>
        <w:rPr>
          <w:rFonts w:hint="eastAsia" w:ascii="仿宋_GB2312" w:eastAsia="仿宋_GB2312"/>
          <w:color w:val="auto"/>
          <w:sz w:val="32"/>
          <w:szCs w:val="32"/>
          <w:highlight w:val="none"/>
        </w:rPr>
        <w:t>。</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黑体" w:hAnsi="黑体" w:eastAsia="黑体" w:cs="黑体"/>
          <w:bCs/>
          <w:color w:val="auto"/>
          <w:sz w:val="32"/>
          <w:szCs w:val="32"/>
          <w:highlight w:val="none"/>
        </w:rPr>
      </w:pPr>
      <w:bookmarkStart w:id="0" w:name="_Toc60758346"/>
      <w:r>
        <w:rPr>
          <w:rFonts w:hint="eastAsia" w:ascii="黑体" w:hAnsi="黑体" w:eastAsia="黑体" w:cs="黑体"/>
          <w:bCs/>
          <w:color w:val="auto"/>
          <w:sz w:val="32"/>
          <w:szCs w:val="32"/>
          <w:highlight w:val="none"/>
        </w:rPr>
        <w:t>三、技术标准和要求</w:t>
      </w:r>
      <w:bookmarkEnd w:id="0"/>
    </w:p>
    <w:p>
      <w:pPr>
        <w:pStyle w:val="22"/>
        <w:pageBreakBefore w:val="0"/>
        <w:widowControl w:val="0"/>
        <w:kinsoku/>
        <w:wordWrap/>
        <w:overflowPunct/>
        <w:topLinePunct w:val="0"/>
        <w:autoSpaceDE/>
        <w:autoSpaceDN/>
        <w:bidi w:val="0"/>
        <w:spacing w:line="560" w:lineRule="exact"/>
        <w:ind w:left="440" w:leftChars="200" w:firstLine="315" w:firstLineChars="98"/>
        <w:textAlignment w:val="auto"/>
        <w:rPr>
          <w:rFonts w:hint="eastAsia" w:ascii="楷体_GB2312" w:eastAsia="楷体_GB2312"/>
          <w:b/>
          <w:color w:val="auto"/>
          <w:sz w:val="32"/>
          <w:szCs w:val="32"/>
          <w:highlight w:val="none"/>
        </w:rPr>
      </w:pPr>
      <w:r>
        <w:rPr>
          <w:rFonts w:hint="eastAsia" w:ascii="楷体_GB2312" w:eastAsia="楷体_GB2312"/>
          <w:b/>
          <w:color w:val="auto"/>
          <w:sz w:val="32"/>
          <w:szCs w:val="32"/>
          <w:highlight w:val="none"/>
        </w:rPr>
        <w:t>1.项目概况</w:t>
      </w:r>
    </w:p>
    <w:tbl>
      <w:tblPr>
        <w:tblStyle w:val="14"/>
        <w:tblW w:w="84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2"/>
        <w:gridCol w:w="1596"/>
        <w:gridCol w:w="2492"/>
        <w:gridCol w:w="764"/>
        <w:gridCol w:w="685"/>
        <w:gridCol w:w="1194"/>
        <w:gridCol w:w="9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742" w:type="dxa"/>
            <w:vAlign w:val="center"/>
          </w:tcPr>
          <w:p>
            <w:pPr>
              <w:pageBreakBefore w:val="0"/>
              <w:widowControl w:val="0"/>
              <w:kinsoku/>
              <w:wordWrap/>
              <w:overflowPunct/>
              <w:topLinePunct w:val="0"/>
              <w:autoSpaceDE/>
              <w:autoSpaceDN/>
              <w:bidi w:val="0"/>
              <w:adjustRightInd w:val="0"/>
              <w:snapToGrid w:val="0"/>
              <w:spacing w:line="560" w:lineRule="exact"/>
              <w:jc w:val="center"/>
              <w:rPr>
                <w:b/>
                <w:bCs/>
                <w:sz w:val="24"/>
              </w:rPr>
            </w:pPr>
            <w:r>
              <w:rPr>
                <w:b/>
                <w:bCs/>
                <w:sz w:val="24"/>
              </w:rPr>
              <w:t>序号</w:t>
            </w:r>
          </w:p>
        </w:tc>
        <w:tc>
          <w:tcPr>
            <w:tcW w:w="1596" w:type="dxa"/>
            <w:vAlign w:val="center"/>
          </w:tcPr>
          <w:p>
            <w:pPr>
              <w:pageBreakBefore w:val="0"/>
              <w:widowControl w:val="0"/>
              <w:kinsoku/>
              <w:wordWrap/>
              <w:overflowPunct/>
              <w:topLinePunct w:val="0"/>
              <w:autoSpaceDE/>
              <w:autoSpaceDN/>
              <w:bidi w:val="0"/>
              <w:adjustRightInd w:val="0"/>
              <w:snapToGrid w:val="0"/>
              <w:spacing w:line="560" w:lineRule="exact"/>
              <w:jc w:val="center"/>
              <w:rPr>
                <w:b/>
                <w:bCs/>
                <w:sz w:val="24"/>
              </w:rPr>
            </w:pPr>
            <w:r>
              <w:rPr>
                <w:rFonts w:hint="eastAsia"/>
                <w:b/>
                <w:bCs/>
                <w:sz w:val="24"/>
                <w:lang w:eastAsia="zh-CN"/>
              </w:rPr>
              <w:t>产品</w:t>
            </w:r>
            <w:r>
              <w:rPr>
                <w:b/>
                <w:bCs/>
                <w:sz w:val="24"/>
              </w:rPr>
              <w:t>名称</w:t>
            </w:r>
          </w:p>
        </w:tc>
        <w:tc>
          <w:tcPr>
            <w:tcW w:w="2492" w:type="dxa"/>
            <w:vAlign w:val="center"/>
          </w:tcPr>
          <w:p>
            <w:pPr>
              <w:pageBreakBefore w:val="0"/>
              <w:widowControl w:val="0"/>
              <w:kinsoku/>
              <w:wordWrap/>
              <w:overflowPunct/>
              <w:topLinePunct w:val="0"/>
              <w:autoSpaceDE/>
              <w:autoSpaceDN/>
              <w:bidi w:val="0"/>
              <w:adjustRightInd w:val="0"/>
              <w:snapToGrid w:val="0"/>
              <w:spacing w:line="560" w:lineRule="exact"/>
              <w:jc w:val="center"/>
              <w:rPr>
                <w:b/>
                <w:bCs/>
                <w:sz w:val="24"/>
              </w:rPr>
            </w:pPr>
            <w:r>
              <w:rPr>
                <w:rFonts w:hint="eastAsia"/>
                <w:b/>
                <w:bCs/>
                <w:sz w:val="24"/>
                <w:lang w:eastAsia="zh-CN"/>
              </w:rPr>
              <w:t>产品</w:t>
            </w:r>
            <w:r>
              <w:rPr>
                <w:rFonts w:hint="eastAsia"/>
                <w:b/>
                <w:bCs/>
                <w:sz w:val="24"/>
              </w:rPr>
              <w:t>要求</w:t>
            </w:r>
          </w:p>
        </w:tc>
        <w:tc>
          <w:tcPr>
            <w:tcW w:w="764" w:type="dxa"/>
            <w:vAlign w:val="center"/>
          </w:tcPr>
          <w:p>
            <w:pPr>
              <w:pageBreakBefore w:val="0"/>
              <w:widowControl w:val="0"/>
              <w:kinsoku/>
              <w:wordWrap/>
              <w:overflowPunct/>
              <w:topLinePunct w:val="0"/>
              <w:autoSpaceDE/>
              <w:autoSpaceDN/>
              <w:bidi w:val="0"/>
              <w:adjustRightInd w:val="0"/>
              <w:snapToGrid w:val="0"/>
              <w:spacing w:line="560" w:lineRule="exact"/>
              <w:jc w:val="center"/>
              <w:rPr>
                <w:b/>
                <w:bCs/>
                <w:sz w:val="24"/>
              </w:rPr>
            </w:pPr>
            <w:r>
              <w:rPr>
                <w:rFonts w:hint="eastAsia"/>
                <w:b/>
                <w:bCs/>
                <w:sz w:val="24"/>
              </w:rPr>
              <w:t>单位</w:t>
            </w:r>
          </w:p>
        </w:tc>
        <w:tc>
          <w:tcPr>
            <w:tcW w:w="685" w:type="dxa"/>
            <w:vAlign w:val="center"/>
          </w:tcPr>
          <w:p>
            <w:pPr>
              <w:pageBreakBefore w:val="0"/>
              <w:widowControl w:val="0"/>
              <w:kinsoku/>
              <w:wordWrap/>
              <w:overflowPunct/>
              <w:topLinePunct w:val="0"/>
              <w:autoSpaceDE/>
              <w:autoSpaceDN/>
              <w:bidi w:val="0"/>
              <w:adjustRightInd w:val="0"/>
              <w:snapToGrid w:val="0"/>
              <w:spacing w:line="560" w:lineRule="exact"/>
              <w:jc w:val="center"/>
              <w:rPr>
                <w:b/>
                <w:bCs/>
                <w:sz w:val="24"/>
              </w:rPr>
            </w:pPr>
            <w:r>
              <w:rPr>
                <w:rFonts w:hint="eastAsia"/>
                <w:b/>
                <w:bCs/>
                <w:sz w:val="24"/>
              </w:rPr>
              <w:t>数量</w:t>
            </w:r>
          </w:p>
        </w:tc>
        <w:tc>
          <w:tcPr>
            <w:tcW w:w="1194" w:type="dxa"/>
            <w:vAlign w:val="center"/>
          </w:tcPr>
          <w:p>
            <w:pPr>
              <w:pageBreakBefore w:val="0"/>
              <w:widowControl w:val="0"/>
              <w:kinsoku/>
              <w:wordWrap/>
              <w:overflowPunct/>
              <w:topLinePunct w:val="0"/>
              <w:autoSpaceDE/>
              <w:autoSpaceDN/>
              <w:bidi w:val="0"/>
              <w:adjustRightInd w:val="0"/>
              <w:snapToGrid w:val="0"/>
              <w:spacing w:line="560" w:lineRule="exact"/>
              <w:jc w:val="center"/>
              <w:rPr>
                <w:b/>
                <w:bCs/>
                <w:sz w:val="24"/>
              </w:rPr>
            </w:pPr>
            <w:r>
              <w:rPr>
                <w:rFonts w:hint="eastAsia"/>
                <w:b/>
                <w:bCs/>
                <w:sz w:val="24"/>
              </w:rPr>
              <w:t>交货时间</w:t>
            </w:r>
          </w:p>
        </w:tc>
        <w:tc>
          <w:tcPr>
            <w:tcW w:w="959" w:type="dxa"/>
            <w:vAlign w:val="center"/>
          </w:tcPr>
          <w:p>
            <w:pPr>
              <w:pageBreakBefore w:val="0"/>
              <w:widowControl w:val="0"/>
              <w:kinsoku/>
              <w:wordWrap/>
              <w:overflowPunct/>
              <w:topLinePunct w:val="0"/>
              <w:autoSpaceDE/>
              <w:autoSpaceDN/>
              <w:bidi w:val="0"/>
              <w:adjustRightInd w:val="0"/>
              <w:snapToGrid w:val="0"/>
              <w:spacing w:line="560" w:lineRule="exact"/>
              <w:jc w:val="center"/>
              <w:rPr>
                <w:b/>
                <w:bCs/>
                <w:sz w:val="24"/>
              </w:rPr>
            </w:pPr>
            <w:r>
              <w:rPr>
                <w:rFonts w:hint="eastAsia"/>
                <w:b/>
                <w:bCs/>
                <w:sz w:val="24"/>
              </w:rPr>
              <w:t>交货</w:t>
            </w:r>
          </w:p>
          <w:p>
            <w:pPr>
              <w:pageBreakBefore w:val="0"/>
              <w:widowControl w:val="0"/>
              <w:kinsoku/>
              <w:wordWrap/>
              <w:overflowPunct/>
              <w:topLinePunct w:val="0"/>
              <w:autoSpaceDE/>
              <w:autoSpaceDN/>
              <w:bidi w:val="0"/>
              <w:adjustRightInd w:val="0"/>
              <w:snapToGrid w:val="0"/>
              <w:spacing w:line="560" w:lineRule="exact"/>
              <w:jc w:val="center"/>
              <w:rPr>
                <w:b/>
                <w:bCs/>
                <w:sz w:val="24"/>
              </w:rPr>
            </w:pPr>
            <w:r>
              <w:rPr>
                <w:rFonts w:hint="eastAsia"/>
                <w:b/>
                <w:bCs/>
                <w:sz w:val="24"/>
              </w:rPr>
              <w:t>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7" w:hRule="atLeast"/>
        </w:trPr>
        <w:tc>
          <w:tcPr>
            <w:tcW w:w="742" w:type="dxa"/>
            <w:vAlign w:val="center"/>
          </w:tcPr>
          <w:p>
            <w:pPr>
              <w:pStyle w:val="6"/>
              <w:pageBreakBefore w:val="0"/>
              <w:widowControl w:val="0"/>
              <w:kinsoku/>
              <w:wordWrap/>
              <w:overflowPunct/>
              <w:topLinePunct w:val="0"/>
              <w:autoSpaceDE/>
              <w:autoSpaceDN/>
              <w:bidi w:val="0"/>
              <w:adjustRightInd w:val="0"/>
              <w:snapToGrid w:val="0"/>
              <w:spacing w:line="560" w:lineRule="exact"/>
              <w:jc w:val="center"/>
              <w:rPr>
                <w:sz w:val="24"/>
              </w:rPr>
            </w:pPr>
            <w:r>
              <w:rPr>
                <w:rFonts w:hint="eastAsia"/>
                <w:sz w:val="24"/>
              </w:rPr>
              <w:t>1</w:t>
            </w:r>
          </w:p>
        </w:tc>
        <w:tc>
          <w:tcPr>
            <w:tcW w:w="1596" w:type="dxa"/>
            <w:vAlign w:val="center"/>
          </w:tcPr>
          <w:p>
            <w:pPr>
              <w:pageBreakBefore w:val="0"/>
              <w:widowControl w:val="0"/>
              <w:kinsoku/>
              <w:wordWrap/>
              <w:overflowPunct/>
              <w:topLinePunct w:val="0"/>
              <w:autoSpaceDE/>
              <w:autoSpaceDN/>
              <w:bidi w:val="0"/>
              <w:spacing w:line="560" w:lineRule="exact"/>
              <w:jc w:val="both"/>
              <w:rPr>
                <w:rFonts w:hint="default" w:eastAsia="宋体"/>
                <w:sz w:val="22"/>
                <w:szCs w:val="22"/>
                <w:lang w:val="en-US" w:eastAsia="zh-CN"/>
              </w:rPr>
            </w:pPr>
            <w:r>
              <w:rPr>
                <w:rFonts w:hint="eastAsia"/>
                <w:sz w:val="22"/>
                <w:szCs w:val="22"/>
                <w:lang w:val="en-US" w:eastAsia="zh-CN"/>
              </w:rPr>
              <w:t>UPS电池</w:t>
            </w:r>
          </w:p>
        </w:tc>
        <w:tc>
          <w:tcPr>
            <w:tcW w:w="2492" w:type="dxa"/>
            <w:vAlign w:val="center"/>
          </w:tcPr>
          <w:p>
            <w:pPr>
              <w:pageBreakBefore w:val="0"/>
              <w:widowControl w:val="0"/>
              <w:kinsoku/>
              <w:wordWrap/>
              <w:overflowPunct/>
              <w:topLinePunct w:val="0"/>
              <w:autoSpaceDE/>
              <w:autoSpaceDN/>
              <w:bidi w:val="0"/>
              <w:adjustRightInd w:val="0"/>
              <w:snapToGrid w:val="0"/>
              <w:spacing w:line="560" w:lineRule="exact"/>
              <w:jc w:val="center"/>
              <w:rPr>
                <w:rFonts w:hint="default" w:eastAsia="宋体"/>
                <w:sz w:val="24"/>
                <w:lang w:val="en-US" w:eastAsia="zh-CN"/>
              </w:rPr>
            </w:pPr>
            <w:r>
              <w:rPr>
                <w:rFonts w:hint="eastAsia"/>
                <w:sz w:val="24"/>
                <w:lang w:val="en-US" w:eastAsia="zh-CN"/>
              </w:rPr>
              <w:t>见主要技术参数表</w:t>
            </w:r>
          </w:p>
        </w:tc>
        <w:tc>
          <w:tcPr>
            <w:tcW w:w="764" w:type="dxa"/>
            <w:vAlign w:val="center"/>
          </w:tcPr>
          <w:p>
            <w:pPr>
              <w:pStyle w:val="6"/>
              <w:pageBreakBefore w:val="0"/>
              <w:widowControl w:val="0"/>
              <w:kinsoku/>
              <w:wordWrap/>
              <w:overflowPunct/>
              <w:topLinePunct w:val="0"/>
              <w:autoSpaceDE/>
              <w:autoSpaceDN/>
              <w:bidi w:val="0"/>
              <w:adjustRightInd w:val="0"/>
              <w:snapToGrid w:val="0"/>
              <w:spacing w:line="560" w:lineRule="exact"/>
              <w:jc w:val="center"/>
              <w:rPr>
                <w:rFonts w:hint="eastAsia" w:eastAsia="宋体"/>
                <w:sz w:val="24"/>
                <w:lang w:eastAsia="zh-CN"/>
              </w:rPr>
            </w:pPr>
            <w:r>
              <w:rPr>
                <w:rFonts w:hint="eastAsia"/>
                <w:sz w:val="24"/>
                <w:lang w:eastAsia="zh-CN"/>
              </w:rPr>
              <w:t>节</w:t>
            </w:r>
          </w:p>
        </w:tc>
        <w:tc>
          <w:tcPr>
            <w:tcW w:w="685" w:type="dxa"/>
            <w:vAlign w:val="center"/>
          </w:tcPr>
          <w:p>
            <w:pPr>
              <w:pageBreakBefore w:val="0"/>
              <w:widowControl w:val="0"/>
              <w:kinsoku/>
              <w:wordWrap/>
              <w:overflowPunct/>
              <w:topLinePunct w:val="0"/>
              <w:autoSpaceDE/>
              <w:autoSpaceDN/>
              <w:bidi w:val="0"/>
              <w:adjustRightInd w:val="0"/>
              <w:snapToGrid w:val="0"/>
              <w:spacing w:line="560" w:lineRule="exact"/>
              <w:jc w:val="center"/>
              <w:rPr>
                <w:rFonts w:hint="default" w:eastAsia="宋体"/>
                <w:sz w:val="24"/>
                <w:lang w:val="en-US" w:eastAsia="zh-CN" w:bidi="en-US"/>
              </w:rPr>
            </w:pPr>
            <w:r>
              <w:rPr>
                <w:rFonts w:hint="eastAsia"/>
                <w:sz w:val="24"/>
                <w:lang w:val="en-US" w:eastAsia="zh-CN" w:bidi="en-US"/>
              </w:rPr>
              <w:t>160</w:t>
            </w:r>
          </w:p>
        </w:tc>
        <w:tc>
          <w:tcPr>
            <w:tcW w:w="1194" w:type="dxa"/>
            <w:vAlign w:val="center"/>
          </w:tcPr>
          <w:p>
            <w:pPr>
              <w:pageBreakBefore w:val="0"/>
              <w:widowControl w:val="0"/>
              <w:kinsoku/>
              <w:wordWrap/>
              <w:overflowPunct/>
              <w:topLinePunct w:val="0"/>
              <w:autoSpaceDE/>
              <w:autoSpaceDN/>
              <w:bidi w:val="0"/>
              <w:adjustRightInd w:val="0"/>
              <w:snapToGrid w:val="0"/>
              <w:spacing w:line="560" w:lineRule="exact"/>
              <w:jc w:val="center"/>
              <w:rPr>
                <w:rFonts w:hint="default" w:eastAsia="宋体"/>
                <w:sz w:val="24"/>
                <w:lang w:val="en-US" w:eastAsia="zh-CN" w:bidi="en-US"/>
              </w:rPr>
            </w:pPr>
            <w:r>
              <w:rPr>
                <w:rFonts w:hint="eastAsia"/>
                <w:sz w:val="24"/>
                <w:lang w:val="en-US" w:eastAsia="zh-CN" w:bidi="en-US"/>
              </w:rPr>
              <w:t>签订合同后10日内</w:t>
            </w:r>
          </w:p>
        </w:tc>
        <w:tc>
          <w:tcPr>
            <w:tcW w:w="959" w:type="dxa"/>
            <w:vAlign w:val="center"/>
          </w:tcPr>
          <w:p>
            <w:pPr>
              <w:pStyle w:val="6"/>
              <w:pageBreakBefore w:val="0"/>
              <w:widowControl w:val="0"/>
              <w:kinsoku/>
              <w:wordWrap/>
              <w:overflowPunct/>
              <w:topLinePunct w:val="0"/>
              <w:autoSpaceDE/>
              <w:autoSpaceDN/>
              <w:bidi w:val="0"/>
              <w:adjustRightInd w:val="0"/>
              <w:snapToGrid w:val="0"/>
              <w:spacing w:line="560" w:lineRule="exact"/>
              <w:jc w:val="center"/>
              <w:rPr>
                <w:rFonts w:hint="default" w:eastAsia="宋体"/>
                <w:sz w:val="24"/>
                <w:lang w:val="en-US" w:eastAsia="zh-CN"/>
              </w:rPr>
            </w:pPr>
            <w:r>
              <w:rPr>
                <w:rFonts w:hint="eastAsia"/>
                <w:sz w:val="24"/>
                <w:lang w:val="en-US" w:eastAsia="zh-CN"/>
              </w:rPr>
              <w:t>江口农信联社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742" w:type="dxa"/>
            <w:vAlign w:val="center"/>
          </w:tcPr>
          <w:p>
            <w:pPr>
              <w:pStyle w:val="6"/>
              <w:pageBreakBefore w:val="0"/>
              <w:widowControl w:val="0"/>
              <w:kinsoku/>
              <w:wordWrap/>
              <w:overflowPunct/>
              <w:topLinePunct w:val="0"/>
              <w:autoSpaceDE/>
              <w:autoSpaceDN/>
              <w:bidi w:val="0"/>
              <w:adjustRightInd w:val="0"/>
              <w:snapToGrid w:val="0"/>
              <w:spacing w:line="560" w:lineRule="exact"/>
              <w:jc w:val="both"/>
            </w:pPr>
            <w:r>
              <w:rPr>
                <w:sz w:val="24"/>
              </w:rPr>
              <w:t>说明</w:t>
            </w:r>
          </w:p>
        </w:tc>
        <w:tc>
          <w:tcPr>
            <w:tcW w:w="7690" w:type="dxa"/>
            <w:gridSpan w:val="6"/>
            <w:vAlign w:val="center"/>
          </w:tcPr>
          <w:p>
            <w:pPr>
              <w:pageBreakBefore w:val="0"/>
              <w:widowControl w:val="0"/>
              <w:kinsoku/>
              <w:wordWrap/>
              <w:overflowPunct/>
              <w:topLinePunct w:val="0"/>
              <w:autoSpaceDE/>
              <w:autoSpaceDN/>
              <w:bidi w:val="0"/>
              <w:spacing w:line="560" w:lineRule="exact"/>
              <w:jc w:val="both"/>
              <w:rPr>
                <w:rFonts w:hint="eastAsia" w:eastAsia="宋体"/>
                <w:sz w:val="22"/>
                <w:szCs w:val="22"/>
                <w:lang w:val="en-US" w:eastAsia="zh-CN"/>
              </w:rPr>
            </w:pPr>
            <w:r>
              <w:rPr>
                <w:rFonts w:eastAsia="宋体"/>
                <w:sz w:val="22"/>
                <w:szCs w:val="22"/>
              </w:rPr>
              <w:t>1.</w:t>
            </w:r>
            <w:r>
              <w:rPr>
                <w:rFonts w:hint="eastAsia" w:eastAsia="宋体"/>
                <w:sz w:val="22"/>
                <w:szCs w:val="22"/>
              </w:rPr>
              <w:t>此次</w:t>
            </w:r>
            <w:r>
              <w:rPr>
                <w:rFonts w:hint="eastAsia" w:eastAsia="宋体"/>
                <w:sz w:val="22"/>
                <w:szCs w:val="22"/>
                <w:lang w:val="en-US" w:eastAsia="zh-CN"/>
              </w:rPr>
              <w:t>UPS蓄电池</w:t>
            </w:r>
            <w:r>
              <w:rPr>
                <w:rFonts w:hint="eastAsia" w:eastAsia="宋体"/>
                <w:sz w:val="22"/>
                <w:szCs w:val="22"/>
              </w:rPr>
              <w:t>项目建设</w:t>
            </w:r>
            <w:r>
              <w:rPr>
                <w:rFonts w:hint="eastAsia" w:eastAsia="宋体"/>
                <w:sz w:val="22"/>
                <w:szCs w:val="22"/>
                <w:lang w:eastAsia="zh-CN"/>
              </w:rPr>
              <w:t>，</w:t>
            </w:r>
            <w:r>
              <w:rPr>
                <w:rFonts w:hint="eastAsia" w:eastAsia="宋体"/>
                <w:sz w:val="22"/>
                <w:szCs w:val="22"/>
                <w:lang w:val="en-US" w:eastAsia="zh-CN"/>
              </w:rPr>
              <w:t>包括5个网点的蓄电池安装，每个网点安装32节100AH（含电池柜），总共160节电池及拆除的部分可用旧电池的利旧安装。</w:t>
            </w:r>
          </w:p>
          <w:p>
            <w:pPr>
              <w:pageBreakBefore w:val="0"/>
              <w:widowControl w:val="0"/>
              <w:kinsoku/>
              <w:wordWrap/>
              <w:overflowPunct/>
              <w:topLinePunct w:val="0"/>
              <w:autoSpaceDE/>
              <w:autoSpaceDN/>
              <w:bidi w:val="0"/>
              <w:spacing w:line="560" w:lineRule="exact"/>
              <w:jc w:val="both"/>
              <w:rPr>
                <w:sz w:val="22"/>
                <w:szCs w:val="22"/>
              </w:rPr>
            </w:pPr>
            <w:r>
              <w:rPr>
                <w:sz w:val="22"/>
                <w:szCs w:val="22"/>
              </w:rPr>
              <w:t>2.报价应包括所有货物供应、运输、安装调试、技术培训、售后服务、备品备件和伴随服务等价格。</w:t>
            </w:r>
          </w:p>
          <w:p>
            <w:pPr>
              <w:pageBreakBefore w:val="0"/>
              <w:widowControl w:val="0"/>
              <w:kinsoku/>
              <w:wordWrap/>
              <w:overflowPunct/>
              <w:topLinePunct w:val="0"/>
              <w:autoSpaceDE/>
              <w:autoSpaceDN/>
              <w:bidi w:val="0"/>
              <w:spacing w:line="560" w:lineRule="exact"/>
              <w:jc w:val="both"/>
            </w:pPr>
            <w:r>
              <w:rPr>
                <w:sz w:val="22"/>
                <w:szCs w:val="22"/>
              </w:rPr>
              <w:t>3.报价供应商必须保证所报产品为全新、未使用过的产品</w:t>
            </w:r>
            <w:r>
              <w:rPr>
                <w:rFonts w:hint="eastAsia"/>
                <w:sz w:val="22"/>
                <w:szCs w:val="22"/>
              </w:rPr>
              <w:t>。</w:t>
            </w:r>
          </w:p>
        </w:tc>
      </w:tr>
    </w:tbl>
    <w:p>
      <w:pPr>
        <w:pageBreakBefore w:val="0"/>
        <w:widowControl w:val="0"/>
        <w:kinsoku/>
        <w:wordWrap/>
        <w:overflowPunct/>
        <w:topLinePunct w:val="0"/>
        <w:autoSpaceDE/>
        <w:autoSpaceDN/>
        <w:bidi w:val="0"/>
        <w:spacing w:line="560" w:lineRule="exact"/>
        <w:ind w:firstLine="630" w:firstLineChars="196"/>
        <w:textAlignment w:val="auto"/>
        <w:rPr>
          <w:rFonts w:hint="eastAsia" w:ascii="楷体_GB2312" w:hAnsi="黑体" w:eastAsia="楷体_GB2312" w:cs="黑体"/>
          <w:b/>
          <w:bCs/>
          <w:color w:val="auto"/>
          <w:sz w:val="32"/>
          <w:szCs w:val="32"/>
          <w:highlight w:val="none"/>
        </w:rPr>
      </w:pPr>
      <w:bookmarkStart w:id="1" w:name="_Toc45893525"/>
      <w:r>
        <w:rPr>
          <w:rFonts w:hint="eastAsia" w:ascii="楷体_GB2312" w:hAnsi="黑体" w:eastAsia="楷体_GB2312" w:cs="黑体"/>
          <w:b/>
          <w:bCs/>
          <w:color w:val="auto"/>
          <w:sz w:val="32"/>
          <w:szCs w:val="32"/>
          <w:highlight w:val="none"/>
          <w:lang w:val="en-US" w:eastAsia="zh-CN"/>
        </w:rPr>
        <w:t>2</w:t>
      </w:r>
      <w:r>
        <w:rPr>
          <w:rFonts w:hint="eastAsia" w:ascii="楷体_GB2312" w:hAnsi="黑体" w:eastAsia="楷体_GB2312" w:cs="黑体"/>
          <w:b/>
          <w:bCs/>
          <w:color w:val="auto"/>
          <w:sz w:val="32"/>
          <w:szCs w:val="32"/>
          <w:highlight w:val="none"/>
        </w:rPr>
        <w:t>.</w:t>
      </w:r>
      <w:r>
        <w:rPr>
          <w:rFonts w:hint="eastAsia" w:ascii="楷体_GB2312" w:eastAsia="楷体_GB2312"/>
          <w:b/>
          <w:color w:val="auto"/>
          <w:sz w:val="32"/>
          <w:szCs w:val="32"/>
          <w:highlight w:val="none"/>
        </w:rPr>
        <w:t>一般性需求</w:t>
      </w:r>
      <w:bookmarkEnd w:id="1"/>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（1）</w:t>
      </w:r>
      <w:r>
        <w:rPr>
          <w:rFonts w:hint="eastAsia" w:ascii="仿宋_GB2312" w:eastAsia="仿宋_GB2312"/>
          <w:color w:val="auto"/>
          <w:sz w:val="32"/>
          <w:szCs w:val="32"/>
          <w:highlight w:val="none"/>
          <w:lang w:eastAsia="zh-CN"/>
        </w:rPr>
        <w:t>供应商</w:t>
      </w:r>
      <w:r>
        <w:rPr>
          <w:rFonts w:hint="eastAsia" w:ascii="仿宋_GB2312" w:eastAsia="仿宋_GB2312"/>
          <w:color w:val="auto"/>
          <w:sz w:val="32"/>
          <w:szCs w:val="32"/>
          <w:highlight w:val="none"/>
        </w:rPr>
        <w:t>必须提供符合要求的成熟产品。</w:t>
      </w:r>
      <w:r>
        <w:rPr>
          <w:rFonts w:hint="eastAsia" w:ascii="仿宋_GB2312" w:eastAsia="仿宋_GB2312"/>
          <w:color w:val="auto"/>
          <w:sz w:val="32"/>
          <w:szCs w:val="32"/>
          <w:highlight w:val="none"/>
          <w:lang w:eastAsia="zh-CN"/>
        </w:rPr>
        <w:t>供应商</w:t>
      </w:r>
      <w:r>
        <w:rPr>
          <w:rFonts w:hint="eastAsia" w:ascii="仿宋_GB2312" w:eastAsia="仿宋_GB2312"/>
          <w:color w:val="auto"/>
          <w:sz w:val="32"/>
          <w:szCs w:val="32"/>
          <w:highlight w:val="none"/>
        </w:rPr>
        <w:t>提供的所有产品必须具有在中华人民共和国境内的正式合法使用权。</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（2）</w:t>
      </w:r>
      <w:r>
        <w:rPr>
          <w:rFonts w:hint="eastAsia" w:ascii="仿宋_GB2312" w:eastAsia="仿宋_GB2312"/>
          <w:color w:val="auto"/>
          <w:sz w:val="32"/>
          <w:szCs w:val="32"/>
          <w:highlight w:val="none"/>
          <w:lang w:eastAsia="zh-CN"/>
        </w:rPr>
        <w:t>供应商</w:t>
      </w:r>
      <w:r>
        <w:rPr>
          <w:rFonts w:hint="eastAsia" w:ascii="仿宋_GB2312" w:eastAsia="仿宋_GB2312"/>
          <w:color w:val="auto"/>
          <w:sz w:val="32"/>
          <w:szCs w:val="32"/>
          <w:highlight w:val="none"/>
        </w:rPr>
        <w:t>必须承诺保证提供的所有产品为在中华人民共和国境内销售的正式</w:t>
      </w:r>
      <w:r>
        <w:rPr>
          <w:rFonts w:hint="eastAsia" w:ascii="仿宋_GB2312" w:eastAsia="仿宋_GB2312"/>
          <w:color w:val="auto"/>
          <w:sz w:val="32"/>
          <w:szCs w:val="32"/>
          <w:highlight w:val="none"/>
          <w:lang w:val="en-US" w:eastAsia="zh-CN"/>
        </w:rPr>
        <w:t>产品</w:t>
      </w:r>
      <w:r>
        <w:rPr>
          <w:rFonts w:hint="eastAsia" w:ascii="仿宋_GB2312" w:eastAsia="仿宋_GB2312"/>
          <w:color w:val="auto"/>
          <w:sz w:val="32"/>
          <w:szCs w:val="32"/>
          <w:highlight w:val="none"/>
        </w:rPr>
        <w:t>；支持主流的技术标准和规范。</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eastAsia="zh-CN"/>
        </w:rPr>
        <w:t>供应商</w:t>
      </w:r>
      <w:r>
        <w:rPr>
          <w:rFonts w:hint="eastAsia" w:ascii="仿宋_GB2312" w:eastAsia="仿宋_GB2312"/>
          <w:color w:val="auto"/>
          <w:sz w:val="32"/>
          <w:szCs w:val="32"/>
          <w:highlight w:val="none"/>
        </w:rPr>
        <w:t>必须承诺，</w:t>
      </w:r>
      <w:r>
        <w:rPr>
          <w:rFonts w:hint="eastAsia" w:ascii="仿宋_GB2312" w:eastAsia="仿宋_GB2312"/>
          <w:color w:val="auto"/>
          <w:sz w:val="32"/>
          <w:szCs w:val="32"/>
          <w:highlight w:val="none"/>
          <w:lang w:val="en-US" w:eastAsia="zh-CN"/>
        </w:rPr>
        <w:t>维保服务期内，电池出现损坏不可用的情况</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val="en-US" w:eastAsia="zh-CN"/>
        </w:rPr>
        <w:t>需免费提供合同采购的同款电池进行更换</w:t>
      </w:r>
      <w:r>
        <w:rPr>
          <w:rFonts w:hint="eastAsia" w:ascii="仿宋_GB2312" w:eastAsia="仿宋_GB2312"/>
          <w:color w:val="auto"/>
          <w:sz w:val="32"/>
          <w:szCs w:val="32"/>
          <w:highlight w:val="none"/>
        </w:rPr>
        <w:t>。</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）上述要求为招标方的基本要求，</w:t>
      </w:r>
      <w:r>
        <w:rPr>
          <w:rFonts w:hint="eastAsia" w:ascii="仿宋_GB2312" w:eastAsia="仿宋_GB2312"/>
          <w:color w:val="auto"/>
          <w:sz w:val="32"/>
          <w:szCs w:val="32"/>
          <w:highlight w:val="none"/>
          <w:lang w:eastAsia="zh-CN"/>
        </w:rPr>
        <w:t>供应商</w:t>
      </w:r>
      <w:r>
        <w:rPr>
          <w:rFonts w:hint="eastAsia" w:ascii="仿宋_GB2312" w:eastAsia="仿宋_GB2312"/>
          <w:color w:val="auto"/>
          <w:sz w:val="32"/>
          <w:szCs w:val="32"/>
          <w:highlight w:val="none"/>
        </w:rPr>
        <w:t>在完全理解本章要求后，要说明所建议产品（方案）的其它功能和特色，招标方将作为评审的参考依据。</w:t>
      </w:r>
    </w:p>
    <w:p>
      <w:pPr>
        <w:pageBreakBefore w:val="0"/>
        <w:widowControl w:val="0"/>
        <w:kinsoku/>
        <w:wordWrap/>
        <w:overflowPunct/>
        <w:topLinePunct w:val="0"/>
        <w:autoSpaceDE/>
        <w:autoSpaceDN/>
        <w:bidi w:val="0"/>
        <w:spacing w:line="560" w:lineRule="exact"/>
        <w:ind w:firstLine="960" w:firstLineChars="300"/>
        <w:textAlignment w:val="auto"/>
        <w:rPr>
          <w:rFonts w:hint="eastAsia" w:ascii="楷体_GB2312" w:hAnsi="楷体_GB2312" w:eastAsia="楷体_GB2312" w:cs="楷体_GB2312"/>
          <w:b/>
          <w:color w:val="auto"/>
          <w:sz w:val="32"/>
          <w:szCs w:val="32"/>
          <w:highlight w:val="none"/>
        </w:rPr>
      </w:pPr>
      <w:bookmarkStart w:id="2" w:name="_Toc45893526"/>
      <w:bookmarkStart w:id="3" w:name="_Toc423613157"/>
      <w:r>
        <w:rPr>
          <w:rFonts w:hint="eastAsia" w:ascii="楷体_GB2312" w:hAnsi="楷体_GB2312" w:eastAsia="楷体_GB2312" w:cs="楷体_GB2312"/>
          <w:sz w:val="32"/>
          <w:szCs w:val="32"/>
          <w:lang w:val="en-US" w:eastAsia="zh-CN"/>
        </w:rPr>
        <w:t>3</w:t>
      </w:r>
      <w:r>
        <w:rPr>
          <w:rFonts w:hint="eastAsia" w:ascii="楷体_GB2312" w:hAnsi="楷体_GB2312" w:eastAsia="楷体_GB2312" w:cs="楷体_GB2312"/>
          <w:b/>
          <w:color w:val="auto"/>
          <w:sz w:val="32"/>
          <w:szCs w:val="32"/>
          <w:highlight w:val="none"/>
        </w:rPr>
        <w:t>.功能性需求</w:t>
      </w:r>
      <w:bookmarkEnd w:id="2"/>
      <w:bookmarkEnd w:id="3"/>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、电池产品要求</w:t>
      </w:r>
    </w:p>
    <w:p>
      <w:pPr>
        <w:pStyle w:val="6"/>
        <w:pageBreakBefore w:val="0"/>
        <w:widowControl w:val="0"/>
        <w:numPr>
          <w:ilvl w:val="0"/>
          <w:numId w:val="0"/>
        </w:numPr>
        <w:kinsoku/>
        <w:wordWrap/>
        <w:overflowPunct/>
        <w:topLinePunct w:val="0"/>
        <w:autoSpaceDE/>
        <w:autoSpaceDN/>
        <w:bidi w:val="0"/>
        <w:ind w:firstLine="640" w:firstLineChars="200"/>
        <w:rPr>
          <w:rFonts w:hint="eastAsia" w:ascii="仿宋_GB2312" w:hAnsi="Times New Roman" w:eastAsia="仿宋_GB2312" w:cs="Times New Roman"/>
          <w:color w:val="auto"/>
          <w:kern w:val="0"/>
          <w:sz w:val="32"/>
          <w:szCs w:val="32"/>
          <w:highlight w:val="none"/>
          <w:lang w:val="en-US" w:eastAsia="en-US" w:bidi="en-US"/>
        </w:rPr>
      </w:pPr>
      <w:r>
        <w:rPr>
          <w:rFonts w:hint="eastAsia" w:ascii="仿宋_GB2312" w:hAnsi="Times New Roman" w:eastAsia="仿宋_GB2312" w:cs="Times New Roman"/>
          <w:color w:val="auto"/>
          <w:kern w:val="0"/>
          <w:sz w:val="32"/>
          <w:szCs w:val="32"/>
          <w:highlight w:val="none"/>
          <w:lang w:val="en-US" w:eastAsia="en-US" w:bidi="en-US"/>
        </w:rPr>
        <w:t>（1）产品认证要求：蓄电池须按照YD/T 799-2010《通信用阀控式密封铅酸蓄电池》检验标准，获得TCL泰尔产品认证证书。</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Times New Roman" w:eastAsia="仿宋_GB2312" w:cs="Times New Roman"/>
          <w:color w:val="auto"/>
          <w:kern w:val="0"/>
          <w:sz w:val="32"/>
          <w:szCs w:val="32"/>
          <w:highlight w:val="none"/>
          <w:lang w:val="en-US" w:eastAsia="en-US" w:bidi="en-US"/>
        </w:rPr>
      </w:pPr>
      <w:r>
        <w:rPr>
          <w:rFonts w:hint="eastAsia" w:ascii="仿宋_GB2312" w:hAnsi="Times New Roman" w:eastAsia="仿宋_GB2312" w:cs="Times New Roman"/>
          <w:color w:val="auto"/>
          <w:kern w:val="0"/>
          <w:sz w:val="32"/>
          <w:szCs w:val="32"/>
          <w:highlight w:val="none"/>
          <w:lang w:val="en-US" w:eastAsia="en-US" w:bidi="en-US"/>
        </w:rPr>
        <w:t>（2）蓄电池恒压充电24h的再充电能力因素 Rbf24h≥96%。（提供第三方权威机构CNAS及CMA联合认证检测报告）</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Times New Roman" w:eastAsia="仿宋_GB2312" w:cs="Times New Roman"/>
          <w:color w:val="auto"/>
          <w:kern w:val="0"/>
          <w:sz w:val="32"/>
          <w:szCs w:val="32"/>
          <w:highlight w:val="none"/>
          <w:lang w:val="en-US" w:eastAsia="en-US" w:bidi="en-US"/>
        </w:rPr>
      </w:pPr>
      <w:r>
        <w:rPr>
          <w:rFonts w:hint="eastAsia" w:ascii="仿宋_GB2312" w:hAnsi="Times New Roman" w:eastAsia="仿宋_GB2312" w:cs="Times New Roman"/>
          <w:color w:val="auto"/>
          <w:kern w:val="0"/>
          <w:sz w:val="32"/>
          <w:szCs w:val="32"/>
          <w:highlight w:val="none"/>
          <w:lang w:val="en-US" w:eastAsia="en-US" w:bidi="en-US"/>
        </w:rPr>
        <w:t>（</w:t>
      </w:r>
      <w:r>
        <w:rPr>
          <w:rFonts w:hint="eastAsia" w:ascii="仿宋_GB2312" w:hAnsi="Times New Roman" w:eastAsia="仿宋_GB2312" w:cs="Times New Roman"/>
          <w:color w:val="auto"/>
          <w:kern w:val="0"/>
          <w:sz w:val="32"/>
          <w:szCs w:val="32"/>
          <w:highlight w:val="none"/>
          <w:lang w:val="en-US" w:eastAsia="zh-CN" w:bidi="en-US"/>
        </w:rPr>
        <w:t>3</w:t>
      </w:r>
      <w:r>
        <w:rPr>
          <w:rFonts w:hint="eastAsia" w:ascii="仿宋_GB2312" w:hAnsi="Times New Roman" w:eastAsia="仿宋_GB2312" w:cs="Times New Roman"/>
          <w:color w:val="auto"/>
          <w:kern w:val="0"/>
          <w:sz w:val="32"/>
          <w:szCs w:val="32"/>
          <w:highlight w:val="none"/>
          <w:lang w:val="en-US" w:eastAsia="en-US" w:bidi="en-US"/>
        </w:rPr>
        <w:t>）蓄电池过度放电后容量恢复值应≥98.5%</w:t>
      </w:r>
      <w:r>
        <w:rPr>
          <w:rFonts w:hint="eastAsia" w:ascii="仿宋_GB2312" w:hAnsi="Times New Roman" w:eastAsia="仿宋_GB2312" w:cs="Times New Roman"/>
          <w:color w:val="auto"/>
          <w:kern w:val="0"/>
          <w:sz w:val="32"/>
          <w:szCs w:val="32"/>
          <w:highlight w:val="none"/>
          <w:lang w:val="en-US" w:eastAsia="zh-CN" w:bidi="en-US"/>
        </w:rPr>
        <w:t>;</w:t>
      </w:r>
      <w:r>
        <w:rPr>
          <w:rFonts w:hint="eastAsia" w:ascii="仿宋_GB2312" w:hAnsi="Times New Roman" w:eastAsia="仿宋_GB2312" w:cs="Times New Roman"/>
          <w:color w:val="auto"/>
          <w:kern w:val="0"/>
          <w:sz w:val="32"/>
          <w:szCs w:val="32"/>
          <w:highlight w:val="none"/>
          <w:lang w:val="en-US" w:eastAsia="en-US" w:bidi="en-US"/>
        </w:rPr>
        <w:t xml:space="preserve">蓄电池恒压充电24h的再充电能力因素 Rbf24h≥96%（提供第三方权威机构CNAS及CMA联合认证检测报告） </w:t>
      </w:r>
    </w:p>
    <w:p>
      <w:pPr>
        <w:pStyle w:val="6"/>
        <w:pageBreakBefore w:val="0"/>
        <w:widowControl w:val="0"/>
        <w:numPr>
          <w:ilvl w:val="0"/>
          <w:numId w:val="0"/>
        </w:numPr>
        <w:kinsoku/>
        <w:wordWrap/>
        <w:overflowPunct/>
        <w:topLinePunct w:val="0"/>
        <w:autoSpaceDE/>
        <w:autoSpaceDN/>
        <w:bidi w:val="0"/>
        <w:ind w:firstLine="640" w:firstLineChars="200"/>
        <w:rPr>
          <w:rFonts w:hint="eastAsia" w:ascii="仿宋_GB2312" w:hAnsi="Times New Roman" w:eastAsia="仿宋_GB2312" w:cs="Times New Roman"/>
          <w:color w:val="auto"/>
          <w:kern w:val="0"/>
          <w:sz w:val="32"/>
          <w:szCs w:val="32"/>
          <w:highlight w:val="none"/>
          <w:lang w:val="en-US" w:eastAsia="en-US" w:bidi="en-US"/>
        </w:rPr>
      </w:pP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w:t>
      </w:r>
      <w:r>
        <w:rPr>
          <w:rFonts w:hint="eastAsia" w:ascii="仿宋_GB2312" w:hAnsi="Times New Roman" w:eastAsia="仿宋_GB2312" w:cs="Times New Roman"/>
          <w:color w:val="auto"/>
          <w:kern w:val="0"/>
          <w:sz w:val="32"/>
          <w:szCs w:val="32"/>
          <w:highlight w:val="none"/>
          <w:lang w:val="en-US" w:eastAsia="en-US" w:bidi="en-US"/>
        </w:rPr>
        <w:t>同组蓄电池10小时率容量试验时，最大实际容量与最小实际容量差值≤1%</w:t>
      </w:r>
      <w:r>
        <w:rPr>
          <w:rFonts w:hint="eastAsia" w:ascii="仿宋_GB2312" w:eastAsia="仿宋_GB2312" w:cs="Times New Roman"/>
          <w:color w:val="auto"/>
          <w:kern w:val="0"/>
          <w:sz w:val="32"/>
          <w:szCs w:val="32"/>
          <w:highlight w:val="none"/>
          <w:lang w:val="en-US" w:eastAsia="zh-CN" w:bidi="en-US"/>
        </w:rPr>
        <w:t>;</w:t>
      </w:r>
      <w:r>
        <w:rPr>
          <w:rFonts w:hint="eastAsia" w:ascii="仿宋_GB2312" w:hAnsi="Times New Roman" w:eastAsia="仿宋_GB2312" w:cs="Times New Roman"/>
          <w:color w:val="auto"/>
          <w:kern w:val="0"/>
          <w:sz w:val="32"/>
          <w:szCs w:val="32"/>
          <w:highlight w:val="none"/>
          <w:lang w:val="en-US" w:eastAsia="en-US" w:bidi="en-US"/>
        </w:rPr>
        <w:t>蓄电池封置28天后，其容量保存率应不低于98.5%。（提供第三方权威机构CNAS及CMA联合认证检测报告）</w:t>
      </w:r>
    </w:p>
    <w:p>
      <w:pPr>
        <w:pStyle w:val="6"/>
        <w:pageBreakBefore w:val="0"/>
        <w:widowControl w:val="0"/>
        <w:numPr>
          <w:ilvl w:val="0"/>
          <w:numId w:val="0"/>
        </w:numPr>
        <w:kinsoku/>
        <w:wordWrap/>
        <w:overflowPunct/>
        <w:topLinePunct w:val="0"/>
        <w:autoSpaceDE/>
        <w:autoSpaceDN/>
        <w:bidi w:val="0"/>
        <w:ind w:left="480" w:leftChars="0"/>
        <w:rPr>
          <w:rFonts w:hint="eastAsia" w:ascii="仿宋_GB2312" w:hAnsi="Times New Roman" w:eastAsia="仿宋_GB2312" w:cs="Times New Roman"/>
          <w:color w:val="auto"/>
          <w:kern w:val="0"/>
          <w:sz w:val="32"/>
          <w:szCs w:val="32"/>
          <w:highlight w:val="none"/>
          <w:lang w:val="en-US" w:eastAsia="zh-CN" w:bidi="en-US"/>
        </w:rPr>
      </w:pPr>
      <w:r>
        <w:rPr>
          <w:rFonts w:hint="eastAsia" w:ascii="仿宋_GB2312" w:hAnsi="Times New Roman" w:eastAsia="仿宋_GB2312" w:cs="Times New Roman"/>
          <w:color w:val="auto"/>
          <w:kern w:val="0"/>
          <w:sz w:val="32"/>
          <w:szCs w:val="32"/>
          <w:highlight w:val="none"/>
          <w:lang w:val="en-US" w:eastAsia="en-US" w:bidi="en-US"/>
        </w:rPr>
        <w:t>（</w:t>
      </w:r>
      <w:r>
        <w:rPr>
          <w:rFonts w:hint="eastAsia" w:ascii="仿宋_GB2312" w:eastAsia="仿宋_GB2312" w:cs="Times New Roman"/>
          <w:color w:val="auto"/>
          <w:kern w:val="0"/>
          <w:sz w:val="32"/>
          <w:szCs w:val="32"/>
          <w:highlight w:val="none"/>
          <w:lang w:val="en-US" w:eastAsia="zh-CN" w:bidi="en-US"/>
        </w:rPr>
        <w:t>5</w:t>
      </w:r>
      <w:r>
        <w:rPr>
          <w:rFonts w:hint="eastAsia" w:ascii="仿宋_GB2312" w:hAnsi="Times New Roman" w:eastAsia="仿宋_GB2312" w:cs="Times New Roman"/>
          <w:color w:val="auto"/>
          <w:kern w:val="0"/>
          <w:sz w:val="32"/>
          <w:szCs w:val="32"/>
          <w:highlight w:val="none"/>
          <w:lang w:val="en-US" w:eastAsia="en-US" w:bidi="en-US"/>
        </w:rPr>
        <w:t>）蓄电池标志清晰，外观不得有变形、漏液、裂纹及污迹</w:t>
      </w:r>
      <w:r>
        <w:rPr>
          <w:rFonts w:hint="eastAsia" w:ascii="仿宋_GB2312" w:eastAsia="仿宋_GB2312" w:cs="Times New Roman"/>
          <w:color w:val="auto"/>
          <w:kern w:val="0"/>
          <w:sz w:val="32"/>
          <w:szCs w:val="32"/>
          <w:highlight w:val="none"/>
          <w:lang w:val="en-US" w:eastAsia="zh-CN" w:bidi="en-US"/>
        </w:rPr>
        <w:t>,</w:t>
      </w:r>
      <w:r>
        <w:rPr>
          <w:rFonts w:hint="eastAsia" w:ascii="仿宋_GB2312" w:hAnsi="Times New Roman" w:eastAsia="仿宋_GB2312" w:cs="Times New Roman"/>
          <w:color w:val="auto"/>
          <w:kern w:val="0"/>
          <w:sz w:val="32"/>
          <w:szCs w:val="32"/>
          <w:highlight w:val="none"/>
          <w:lang w:val="en-US" w:eastAsia="en-US" w:bidi="en-US"/>
        </w:rPr>
        <w:t>蓄电池在正常浮充工作中应无酸雾逸出，蓄电池安全阀应具有自动开启和自动关闭的功能。</w:t>
      </w:r>
    </w:p>
    <w:p>
      <w:pPr>
        <w:pageBreakBefore w:val="0"/>
        <w:widowControl w:val="0"/>
        <w:kinsoku/>
        <w:wordWrap/>
        <w:overflowPunct/>
        <w:topLinePunct w:val="0"/>
        <w:autoSpaceDE/>
        <w:autoSpaceDN/>
        <w:bidi w:val="0"/>
        <w:spacing w:line="560" w:lineRule="exact"/>
        <w:ind w:firstLine="660" w:firstLineChars="300"/>
        <w:textAlignment w:val="auto"/>
        <w:rPr>
          <w:rFonts w:hint="eastAsia" w:ascii="楷体_GB2312" w:hAnsi="楷体_GB2312" w:eastAsia="楷体_GB2312" w:cs="楷体_GB2312"/>
          <w:b/>
          <w:color w:val="auto"/>
          <w:sz w:val="32"/>
          <w:szCs w:val="32"/>
          <w:highlight w:val="none"/>
        </w:rPr>
      </w:pPr>
      <w:r>
        <w:rPr>
          <w:rFonts w:hint="eastAsia"/>
          <w:lang w:val="en-US" w:eastAsia="zh-CN"/>
        </w:rPr>
        <w:t>2.</w:t>
      </w:r>
      <w:r>
        <w:rPr>
          <w:rFonts w:hint="eastAsia"/>
          <w:lang w:val="zh-CN"/>
        </w:rPr>
        <w:t>主要技术参数表</w:t>
      </w:r>
    </w:p>
    <w:tbl>
      <w:tblPr>
        <w:tblStyle w:val="13"/>
        <w:tblW w:w="8087" w:type="dxa"/>
        <w:jc w:val="center"/>
        <w:tblLayout w:type="autofit"/>
        <w:tblCellMar>
          <w:top w:w="0" w:type="dxa"/>
          <w:left w:w="108" w:type="dxa"/>
          <w:bottom w:w="0" w:type="dxa"/>
          <w:right w:w="108" w:type="dxa"/>
        </w:tblCellMar>
      </w:tblPr>
      <w:tblGrid>
        <w:gridCol w:w="376"/>
        <w:gridCol w:w="620"/>
        <w:gridCol w:w="376"/>
        <w:gridCol w:w="456"/>
        <w:gridCol w:w="6259"/>
      </w:tblGrid>
      <w:tr>
        <w:tblPrEx>
          <w:tblCellMar>
            <w:top w:w="0" w:type="dxa"/>
            <w:left w:w="108" w:type="dxa"/>
            <w:bottom w:w="0" w:type="dxa"/>
            <w:right w:w="108" w:type="dxa"/>
          </w:tblCellMar>
        </w:tblPrEx>
        <w:trPr>
          <w:trHeight w:val="1017" w:hRule="atLeast"/>
          <w:jc w:val="center"/>
        </w:trPr>
        <w:tc>
          <w:tcPr>
            <w:tcW w:w="3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pageBreakBefore w:val="0"/>
              <w:widowControl w:val="0"/>
              <w:kinsoku/>
              <w:wordWrap/>
              <w:overflowPunct/>
              <w:topLinePunct w:val="0"/>
              <w:autoSpaceDE/>
              <w:autoSpaceDN/>
              <w:bidi w:val="0"/>
              <w:spacing w:line="560" w:lineRule="exact"/>
              <w:jc w:val="center"/>
              <w:textAlignment w:val="center"/>
              <w:rPr>
                <w:color w:val="000000"/>
                <w:sz w:val="16"/>
                <w:szCs w:val="16"/>
              </w:rPr>
            </w:pPr>
            <w:r>
              <w:rPr>
                <w:color w:val="000000"/>
                <w:kern w:val="0"/>
                <w:sz w:val="16"/>
                <w:szCs w:val="16"/>
                <w:lang w:bidi="ar"/>
              </w:rPr>
              <w:t>序号</w:t>
            </w:r>
          </w:p>
        </w:tc>
        <w:tc>
          <w:tcPr>
            <w:tcW w:w="6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pageBreakBefore w:val="0"/>
              <w:widowControl w:val="0"/>
              <w:kinsoku/>
              <w:wordWrap/>
              <w:overflowPunct/>
              <w:topLinePunct w:val="0"/>
              <w:autoSpaceDE/>
              <w:autoSpaceDN/>
              <w:bidi w:val="0"/>
              <w:spacing w:line="560" w:lineRule="exact"/>
              <w:jc w:val="center"/>
              <w:textAlignment w:val="center"/>
              <w:rPr>
                <w:color w:val="000000"/>
                <w:sz w:val="16"/>
                <w:szCs w:val="16"/>
              </w:rPr>
            </w:pPr>
            <w:r>
              <w:rPr>
                <w:color w:val="000000"/>
                <w:kern w:val="0"/>
                <w:sz w:val="16"/>
                <w:szCs w:val="16"/>
                <w:lang w:bidi="ar"/>
              </w:rPr>
              <w:t>项目名称</w:t>
            </w:r>
          </w:p>
        </w:tc>
        <w:tc>
          <w:tcPr>
            <w:tcW w:w="3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pageBreakBefore w:val="0"/>
              <w:widowControl w:val="0"/>
              <w:kinsoku/>
              <w:wordWrap/>
              <w:overflowPunct/>
              <w:topLinePunct w:val="0"/>
              <w:autoSpaceDE/>
              <w:autoSpaceDN/>
              <w:bidi w:val="0"/>
              <w:spacing w:line="560" w:lineRule="exact"/>
              <w:jc w:val="center"/>
              <w:textAlignment w:val="center"/>
              <w:rPr>
                <w:color w:val="000000"/>
                <w:sz w:val="16"/>
                <w:szCs w:val="16"/>
              </w:rPr>
            </w:pPr>
            <w:r>
              <w:rPr>
                <w:color w:val="000000"/>
                <w:kern w:val="0"/>
                <w:sz w:val="16"/>
                <w:szCs w:val="16"/>
                <w:lang w:bidi="ar"/>
              </w:rPr>
              <w:t>单位</w:t>
            </w:r>
          </w:p>
        </w:tc>
        <w:tc>
          <w:tcPr>
            <w:tcW w:w="45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pageBreakBefore w:val="0"/>
              <w:widowControl w:val="0"/>
              <w:kinsoku/>
              <w:wordWrap/>
              <w:overflowPunct/>
              <w:topLinePunct w:val="0"/>
              <w:autoSpaceDE/>
              <w:autoSpaceDN/>
              <w:bidi w:val="0"/>
              <w:spacing w:line="560" w:lineRule="exact"/>
              <w:jc w:val="center"/>
              <w:textAlignment w:val="center"/>
              <w:rPr>
                <w:color w:val="000000"/>
                <w:sz w:val="16"/>
                <w:szCs w:val="16"/>
              </w:rPr>
            </w:pPr>
            <w:r>
              <w:rPr>
                <w:color w:val="000000"/>
                <w:kern w:val="0"/>
                <w:sz w:val="16"/>
                <w:szCs w:val="16"/>
                <w:lang w:bidi="ar"/>
              </w:rPr>
              <w:t>数量</w:t>
            </w:r>
          </w:p>
        </w:tc>
        <w:tc>
          <w:tcPr>
            <w:tcW w:w="62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pageBreakBefore w:val="0"/>
              <w:widowControl w:val="0"/>
              <w:kinsoku/>
              <w:wordWrap/>
              <w:overflowPunct/>
              <w:topLinePunct w:val="0"/>
              <w:autoSpaceDE/>
              <w:autoSpaceDN/>
              <w:bidi w:val="0"/>
              <w:spacing w:line="560" w:lineRule="exact"/>
              <w:jc w:val="center"/>
              <w:textAlignment w:val="center"/>
              <w:rPr>
                <w:color w:val="000000"/>
                <w:sz w:val="16"/>
                <w:szCs w:val="16"/>
              </w:rPr>
            </w:pPr>
            <w:r>
              <w:rPr>
                <w:color w:val="000000"/>
                <w:kern w:val="0"/>
                <w:sz w:val="16"/>
                <w:szCs w:val="16"/>
                <w:lang w:bidi="ar"/>
              </w:rPr>
              <w:t>技术参数</w:t>
            </w:r>
          </w:p>
        </w:tc>
      </w:tr>
      <w:tr>
        <w:tblPrEx>
          <w:tblCellMar>
            <w:top w:w="0" w:type="dxa"/>
            <w:left w:w="108" w:type="dxa"/>
            <w:bottom w:w="0" w:type="dxa"/>
            <w:right w:w="108" w:type="dxa"/>
          </w:tblCellMar>
        </w:tblPrEx>
        <w:trPr>
          <w:trHeight w:val="7096" w:hRule="atLeast"/>
          <w:jc w:val="center"/>
        </w:trPr>
        <w:tc>
          <w:tcPr>
            <w:tcW w:w="3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pageBreakBefore w:val="0"/>
              <w:widowControl w:val="0"/>
              <w:kinsoku/>
              <w:wordWrap/>
              <w:overflowPunct/>
              <w:topLinePunct w:val="0"/>
              <w:autoSpaceDE/>
              <w:autoSpaceDN/>
              <w:bidi w:val="0"/>
              <w:spacing w:line="560" w:lineRule="exact"/>
              <w:jc w:val="center"/>
              <w:textAlignment w:val="center"/>
              <w:rPr>
                <w:rFonts w:hint="eastAsia"/>
                <w:color w:val="000000"/>
                <w:kern w:val="0"/>
                <w:sz w:val="16"/>
                <w:szCs w:val="16"/>
                <w:lang w:val="en-US" w:eastAsia="zh-CN" w:bidi="ar"/>
              </w:rPr>
            </w:pPr>
          </w:p>
          <w:p>
            <w:pPr>
              <w:pageBreakBefore w:val="0"/>
              <w:widowControl w:val="0"/>
              <w:kinsoku/>
              <w:wordWrap/>
              <w:overflowPunct/>
              <w:topLinePunct w:val="0"/>
              <w:autoSpaceDE/>
              <w:autoSpaceDN/>
              <w:bidi w:val="0"/>
              <w:spacing w:line="560" w:lineRule="exact"/>
              <w:jc w:val="center"/>
              <w:textAlignment w:val="center"/>
              <w:rPr>
                <w:rFonts w:hint="eastAsia"/>
                <w:color w:val="000000"/>
                <w:kern w:val="0"/>
                <w:sz w:val="16"/>
                <w:szCs w:val="16"/>
                <w:lang w:val="en-US" w:eastAsia="zh-CN" w:bidi="ar"/>
              </w:rPr>
            </w:pPr>
          </w:p>
          <w:p>
            <w:pPr>
              <w:pageBreakBefore w:val="0"/>
              <w:widowControl w:val="0"/>
              <w:kinsoku/>
              <w:wordWrap/>
              <w:overflowPunct/>
              <w:topLinePunct w:val="0"/>
              <w:autoSpaceDE/>
              <w:autoSpaceDN/>
              <w:bidi w:val="0"/>
              <w:spacing w:line="560" w:lineRule="exact"/>
              <w:jc w:val="center"/>
              <w:textAlignment w:val="center"/>
              <w:rPr>
                <w:rFonts w:hint="eastAsia"/>
                <w:color w:val="000000"/>
                <w:kern w:val="0"/>
                <w:sz w:val="16"/>
                <w:szCs w:val="16"/>
                <w:lang w:val="en-US" w:eastAsia="zh-CN" w:bidi="ar"/>
              </w:rPr>
            </w:pPr>
          </w:p>
          <w:p>
            <w:pPr>
              <w:pageBreakBefore w:val="0"/>
              <w:widowControl w:val="0"/>
              <w:kinsoku/>
              <w:wordWrap/>
              <w:overflowPunct/>
              <w:topLinePunct w:val="0"/>
              <w:autoSpaceDE/>
              <w:autoSpaceDN/>
              <w:bidi w:val="0"/>
              <w:spacing w:line="560" w:lineRule="exact"/>
              <w:jc w:val="center"/>
              <w:textAlignment w:val="center"/>
              <w:rPr>
                <w:rFonts w:hint="eastAsia"/>
                <w:color w:val="000000"/>
                <w:kern w:val="0"/>
                <w:sz w:val="16"/>
                <w:szCs w:val="16"/>
                <w:lang w:val="en-US" w:eastAsia="zh-CN" w:bidi="ar"/>
              </w:rPr>
            </w:pPr>
          </w:p>
          <w:p>
            <w:pPr>
              <w:pageBreakBefore w:val="0"/>
              <w:widowControl w:val="0"/>
              <w:kinsoku/>
              <w:wordWrap/>
              <w:overflowPunct/>
              <w:topLinePunct w:val="0"/>
              <w:autoSpaceDE/>
              <w:autoSpaceDN/>
              <w:bidi w:val="0"/>
              <w:spacing w:line="560" w:lineRule="exact"/>
              <w:jc w:val="center"/>
              <w:textAlignment w:val="center"/>
              <w:rPr>
                <w:rFonts w:hint="eastAsia" w:eastAsia="宋体"/>
                <w:color w:val="000000"/>
                <w:kern w:val="0"/>
                <w:sz w:val="16"/>
                <w:szCs w:val="16"/>
                <w:lang w:val="en-US" w:eastAsia="zh-CN" w:bidi="ar"/>
              </w:rPr>
            </w:pPr>
            <w:r>
              <w:rPr>
                <w:rFonts w:hint="eastAsia"/>
                <w:color w:val="000000"/>
                <w:kern w:val="0"/>
                <w:sz w:val="16"/>
                <w:szCs w:val="16"/>
                <w:lang w:val="en-US" w:eastAsia="zh-CN" w:bidi="ar"/>
              </w:rPr>
              <w:t>1</w:t>
            </w:r>
          </w:p>
        </w:tc>
        <w:tc>
          <w:tcPr>
            <w:tcW w:w="6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pageBreakBefore w:val="0"/>
              <w:widowControl w:val="0"/>
              <w:kinsoku/>
              <w:wordWrap/>
              <w:overflowPunct/>
              <w:topLinePunct w:val="0"/>
              <w:autoSpaceDE/>
              <w:autoSpaceDN/>
              <w:bidi w:val="0"/>
              <w:spacing w:line="560" w:lineRule="exact"/>
              <w:jc w:val="center"/>
              <w:textAlignment w:val="center"/>
              <w:rPr>
                <w:color w:val="000000"/>
                <w:kern w:val="0"/>
                <w:sz w:val="16"/>
                <w:szCs w:val="16"/>
                <w:lang w:bidi="ar"/>
              </w:rPr>
            </w:pPr>
            <w:r>
              <w:rPr>
                <w:rFonts w:hint="eastAsia"/>
                <w:sz w:val="22"/>
                <w:szCs w:val="22"/>
                <w:lang w:val="en-US" w:eastAsia="zh-CN"/>
              </w:rPr>
              <w:t>UPS电池</w:t>
            </w:r>
          </w:p>
        </w:tc>
        <w:tc>
          <w:tcPr>
            <w:tcW w:w="3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pageBreakBefore w:val="0"/>
              <w:widowControl w:val="0"/>
              <w:kinsoku/>
              <w:wordWrap/>
              <w:overflowPunct/>
              <w:topLinePunct w:val="0"/>
              <w:autoSpaceDE/>
              <w:autoSpaceDN/>
              <w:bidi w:val="0"/>
              <w:spacing w:line="560" w:lineRule="exact"/>
              <w:jc w:val="center"/>
              <w:textAlignment w:val="center"/>
              <w:rPr>
                <w:color w:val="000000"/>
                <w:kern w:val="0"/>
                <w:sz w:val="16"/>
                <w:szCs w:val="16"/>
                <w:lang w:bidi="ar"/>
              </w:rPr>
            </w:pPr>
            <w:r>
              <w:rPr>
                <w:rFonts w:hint="eastAsia"/>
                <w:color w:val="000000"/>
                <w:sz w:val="16"/>
                <w:szCs w:val="16"/>
                <w:lang w:val="en-US" w:eastAsia="zh-CN"/>
              </w:rPr>
              <w:t>节</w:t>
            </w:r>
          </w:p>
        </w:tc>
        <w:tc>
          <w:tcPr>
            <w:tcW w:w="45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pageBreakBefore w:val="0"/>
              <w:widowControl w:val="0"/>
              <w:kinsoku/>
              <w:wordWrap/>
              <w:overflowPunct/>
              <w:topLinePunct w:val="0"/>
              <w:autoSpaceDE/>
              <w:autoSpaceDN/>
              <w:bidi w:val="0"/>
              <w:spacing w:line="560" w:lineRule="exact"/>
              <w:jc w:val="center"/>
              <w:textAlignment w:val="center"/>
              <w:rPr>
                <w:rFonts w:hint="default" w:eastAsia="宋体"/>
                <w:color w:val="000000"/>
                <w:kern w:val="0"/>
                <w:sz w:val="16"/>
                <w:szCs w:val="16"/>
                <w:lang w:val="en-US" w:eastAsia="zh-CN" w:bidi="ar"/>
              </w:rPr>
            </w:pPr>
            <w:r>
              <w:rPr>
                <w:rFonts w:hint="eastAsia"/>
                <w:color w:val="000000"/>
                <w:kern w:val="0"/>
                <w:sz w:val="16"/>
                <w:szCs w:val="16"/>
                <w:lang w:val="en-US" w:eastAsia="zh-CN" w:bidi="ar"/>
              </w:rPr>
              <w:t>160</w:t>
            </w:r>
          </w:p>
        </w:tc>
        <w:tc>
          <w:tcPr>
            <w:tcW w:w="62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pageBreakBefore w:val="0"/>
              <w:widowControl w:val="0"/>
              <w:kinsoku/>
              <w:wordWrap/>
              <w:overflowPunct/>
              <w:topLinePunct w:val="0"/>
              <w:autoSpaceDE/>
              <w:autoSpaceDN/>
              <w:bidi w:val="0"/>
              <w:spacing w:line="560" w:lineRule="exact"/>
              <w:jc w:val="center"/>
              <w:textAlignment w:val="center"/>
              <w:rPr>
                <w:rFonts w:hint="eastAsia" w:eastAsia="宋体"/>
                <w:color w:val="000000"/>
                <w:kern w:val="0"/>
                <w:sz w:val="16"/>
                <w:szCs w:val="16"/>
                <w:lang w:eastAsia="zh-CN" w:bidi="ar"/>
              </w:rPr>
            </w:pPr>
            <w:r>
              <w:rPr>
                <w:rFonts w:hint="eastAsia" w:eastAsia="宋体"/>
                <w:color w:val="000000"/>
                <w:kern w:val="0"/>
                <w:sz w:val="16"/>
                <w:szCs w:val="16"/>
                <w:lang w:eastAsia="zh-CN" w:bidi="ar"/>
              </w:rPr>
              <w:drawing>
                <wp:anchor distT="0" distB="0" distL="114300" distR="114300" simplePos="0" relativeHeight="251660288" behindDoc="0" locked="0" layoutInCell="1" allowOverlap="1">
                  <wp:simplePos x="0" y="0"/>
                  <wp:positionH relativeFrom="column">
                    <wp:posOffset>12065</wp:posOffset>
                  </wp:positionH>
                  <wp:positionV relativeFrom="paragraph">
                    <wp:posOffset>144145</wp:posOffset>
                  </wp:positionV>
                  <wp:extent cx="3832860" cy="4246245"/>
                  <wp:effectExtent l="0" t="0" r="15240" b="1905"/>
                  <wp:wrapNone/>
                  <wp:docPr id="1" name="图片 1" descr="WXWorkLocalQNBG_178002249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WXWorkLocalQNBG_178002249342"/>
                          <pic:cNvPicPr>
                            <a:picLocks noChangeAspect="1"/>
                          </pic:cNvPicPr>
                        </pic:nvPicPr>
                        <pic:blipFill>
                          <a:blip r:embed="rId6"/>
                          <a:stretch>
                            <a:fillRect/>
                          </a:stretch>
                        </pic:blipFill>
                        <pic:spPr>
                          <a:xfrm>
                            <a:off x="0" y="0"/>
                            <a:ext cx="3832860" cy="4246245"/>
                          </a:xfrm>
                          <a:prstGeom prst="rect">
                            <a:avLst/>
                          </a:prstGeom>
                        </pic:spPr>
                      </pic:pic>
                    </a:graphicData>
                  </a:graphic>
                </wp:anchor>
              </w:drawing>
            </w:r>
          </w:p>
        </w:tc>
      </w:tr>
    </w:tbl>
    <w:p>
      <w:pPr>
        <w:pageBreakBefore w:val="0"/>
        <w:framePr w:wrap="around" w:vAnchor="page" w:hAnchor="page" w:x="889" w:y="9415"/>
        <w:widowControl w:val="0"/>
        <w:kinsoku/>
        <w:wordWrap/>
        <w:overflowPunct/>
        <w:topLinePunct w:val="0"/>
        <w:autoSpaceDE/>
        <w:autoSpaceDN/>
        <w:bidi w:val="0"/>
        <w:spacing w:line="560" w:lineRule="exact"/>
        <w:rPr>
          <w:sz w:val="2"/>
          <w:szCs w:val="2"/>
        </w:rPr>
      </w:pPr>
    </w:p>
    <w:p>
      <w:pPr>
        <w:pStyle w:val="18"/>
        <w:pageBreakBefore w:val="0"/>
        <w:widowControl w:val="0"/>
        <w:kinsoku/>
        <w:wordWrap/>
        <w:overflowPunct/>
        <w:topLinePunct w:val="0"/>
        <w:autoSpaceDE/>
        <w:autoSpaceDN/>
        <w:bidi w:val="0"/>
        <w:spacing w:line="560" w:lineRule="exact"/>
        <w:textAlignment w:val="auto"/>
        <w:rPr>
          <w:rFonts w:hint="eastAsia" w:eastAsia="仿宋_GB2312"/>
          <w:color w:val="auto"/>
          <w:highlight w:val="none"/>
          <w:lang w:val="en-US" w:eastAsia="zh-CN"/>
        </w:rPr>
      </w:pPr>
    </w:p>
    <w:p>
      <w:pPr>
        <w:pStyle w:val="22"/>
        <w:pageBreakBefore w:val="0"/>
        <w:widowControl w:val="0"/>
        <w:kinsoku/>
        <w:wordWrap/>
        <w:overflowPunct/>
        <w:topLinePunct w:val="0"/>
        <w:autoSpaceDE/>
        <w:autoSpaceDN/>
        <w:bidi w:val="0"/>
        <w:spacing w:line="560" w:lineRule="exact"/>
        <w:ind w:firstLine="627" w:firstLineChars="196"/>
        <w:textAlignment w:val="auto"/>
        <w:rPr>
          <w:rFonts w:hint="eastAsia"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七、售后服务要求</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eastAsia="zh-CN"/>
        </w:rPr>
        <w:t>供应商</w:t>
      </w:r>
      <w:r>
        <w:rPr>
          <w:rFonts w:hint="eastAsia" w:ascii="仿宋_GB2312" w:eastAsia="仿宋_GB2312"/>
          <w:color w:val="auto"/>
          <w:sz w:val="32"/>
          <w:szCs w:val="32"/>
          <w:highlight w:val="none"/>
        </w:rPr>
        <w:t>须提供产品三年（或三年以上）</w:t>
      </w:r>
      <w:r>
        <w:rPr>
          <w:rFonts w:hint="eastAsia" w:ascii="仿宋_GB2312" w:eastAsia="仿宋_GB2312"/>
          <w:color w:val="auto"/>
          <w:sz w:val="32"/>
          <w:szCs w:val="32"/>
          <w:highlight w:val="none"/>
          <w:lang w:eastAsia="zh-CN"/>
        </w:rPr>
        <w:t>免费</w:t>
      </w:r>
      <w:r>
        <w:rPr>
          <w:rFonts w:hint="eastAsia" w:ascii="仿宋_GB2312" w:eastAsia="仿宋_GB2312"/>
          <w:color w:val="auto"/>
          <w:sz w:val="32"/>
          <w:szCs w:val="32"/>
          <w:highlight w:val="none"/>
        </w:rPr>
        <w:t>维保服务，维保时间自</w:t>
      </w:r>
      <w:r>
        <w:rPr>
          <w:rFonts w:hint="eastAsia" w:ascii="仿宋_GB2312" w:eastAsia="仿宋_GB2312" w:cs="Times New Roman"/>
          <w:bCs/>
          <w:color w:val="auto"/>
          <w:sz w:val="32"/>
          <w:szCs w:val="32"/>
          <w:highlight w:val="none"/>
        </w:rPr>
        <w:t>《货物安装运行验收报告》签署之日起计算，</w:t>
      </w:r>
      <w:r>
        <w:rPr>
          <w:rFonts w:hint="eastAsia" w:ascii="仿宋_GB2312" w:eastAsia="仿宋_GB2312"/>
          <w:color w:val="auto"/>
          <w:sz w:val="32"/>
          <w:szCs w:val="32"/>
          <w:highlight w:val="none"/>
        </w:rPr>
        <w:t>为保证设备的可靠性服务，要求提供针对本项目的授权原件及售后服务承诺书原件，并在维保期内提供规范化、高质量的维保服务，需提供以下售后服务：</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highlight w:val="none"/>
        </w:rPr>
      </w:pPr>
      <w:r>
        <w:rPr>
          <w:rFonts w:hint="eastAsia" w:ascii="楷体_GB2312" w:eastAsia="楷体_GB2312"/>
          <w:color w:val="auto"/>
          <w:sz w:val="32"/>
          <w:szCs w:val="32"/>
          <w:highlight w:val="none"/>
        </w:rPr>
        <w:t>1.定期维护技术支持：</w:t>
      </w:r>
      <w:r>
        <w:rPr>
          <w:rFonts w:hint="eastAsia" w:ascii="仿宋_GB2312" w:eastAsia="仿宋_GB2312"/>
          <w:color w:val="auto"/>
          <w:sz w:val="32"/>
          <w:szCs w:val="32"/>
          <w:highlight w:val="none"/>
        </w:rPr>
        <w:t>每</w:t>
      </w:r>
      <w:r>
        <w:rPr>
          <w:rFonts w:hint="eastAsia" w:ascii="仿宋_GB2312" w:eastAsia="仿宋_GB2312"/>
          <w:color w:val="auto"/>
          <w:sz w:val="32"/>
          <w:szCs w:val="32"/>
          <w:highlight w:val="none"/>
          <w:lang w:val="en-US" w:eastAsia="zh-CN"/>
        </w:rPr>
        <w:t>季度</w:t>
      </w:r>
      <w:r>
        <w:rPr>
          <w:rFonts w:hint="eastAsia" w:ascii="仿宋_GB2312" w:eastAsia="仿宋_GB2312"/>
          <w:color w:val="auto"/>
          <w:sz w:val="32"/>
          <w:szCs w:val="32"/>
          <w:highlight w:val="none"/>
        </w:rPr>
        <w:t>进行至少</w:t>
      </w:r>
      <w:r>
        <w:rPr>
          <w:rFonts w:hint="eastAsia" w:ascii="仿宋_GB2312" w:eastAsia="仿宋_GB2312"/>
          <w:color w:val="auto"/>
          <w:sz w:val="32"/>
          <w:szCs w:val="32"/>
          <w:highlight w:val="none"/>
          <w:lang w:val="en-US" w:eastAsia="zh-CN"/>
        </w:rPr>
        <w:t>一</w:t>
      </w:r>
      <w:r>
        <w:rPr>
          <w:rFonts w:hint="eastAsia" w:ascii="仿宋_GB2312" w:eastAsia="仿宋_GB2312"/>
          <w:color w:val="auto"/>
          <w:sz w:val="32"/>
          <w:szCs w:val="32"/>
          <w:highlight w:val="none"/>
        </w:rPr>
        <w:t>次例行巡检，出具巡检报告并加盖公章，对巡检过程中出现的问题，中标人需配合整改优化；</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highlight w:val="none"/>
        </w:rPr>
      </w:pPr>
      <w:r>
        <w:rPr>
          <w:rFonts w:hint="eastAsia" w:ascii="楷体_GB2312" w:eastAsia="楷体_GB2312"/>
          <w:color w:val="auto"/>
          <w:sz w:val="32"/>
          <w:szCs w:val="32"/>
          <w:highlight w:val="none"/>
        </w:rPr>
        <w:t>2.技术服务支持：</w:t>
      </w:r>
      <w:r>
        <w:rPr>
          <w:rFonts w:hint="eastAsia" w:ascii="仿宋_GB2312" w:eastAsia="仿宋_GB2312"/>
          <w:color w:val="auto"/>
          <w:sz w:val="32"/>
          <w:szCs w:val="32"/>
          <w:highlight w:val="none"/>
        </w:rPr>
        <w:t>报价供应商对提供的货物在质保期内，因产品质量而导致的缺陷，必须免费提供包修、包换、包退服务，因此导致的损失采购单位有权向成交供应商追偿。超出质保期后，供应商应当提供上门维修服务，仅收取成本费；</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highlight w:val="none"/>
        </w:rPr>
      </w:pPr>
      <w:r>
        <w:rPr>
          <w:rFonts w:hint="eastAsia" w:ascii="楷体_GB2312" w:eastAsia="楷体_GB2312"/>
          <w:color w:val="auto"/>
          <w:sz w:val="32"/>
          <w:szCs w:val="32"/>
          <w:highlight w:val="none"/>
          <w:lang w:val="en-US" w:eastAsia="zh-CN"/>
        </w:rPr>
        <w:t>3</w:t>
      </w:r>
      <w:r>
        <w:rPr>
          <w:rFonts w:hint="eastAsia" w:ascii="楷体_GB2312" w:eastAsia="楷体_GB2312"/>
          <w:color w:val="auto"/>
          <w:sz w:val="32"/>
          <w:szCs w:val="32"/>
          <w:highlight w:val="none"/>
        </w:rPr>
        <w:t>.快速响应服务：</w:t>
      </w:r>
      <w:r>
        <w:rPr>
          <w:rFonts w:hint="eastAsia" w:ascii="仿宋_GB2312" w:eastAsia="仿宋_GB2312"/>
          <w:color w:val="auto"/>
          <w:sz w:val="32"/>
          <w:szCs w:val="32"/>
          <w:highlight w:val="none"/>
        </w:rPr>
        <w:t>系统出现故障不能正常工作时，招标人通过电话、邮件等方式通知后，中标人需在30分钟内通过远程诊断解决问题，如果通过电话、远程协助等方式无法使系统恢复正常，需在4小时内安排</w:t>
      </w:r>
      <w:r>
        <w:rPr>
          <w:rFonts w:hint="eastAsia" w:ascii="仿宋_GB2312" w:eastAsia="仿宋_GB2312"/>
          <w:color w:val="auto"/>
          <w:sz w:val="32"/>
          <w:szCs w:val="32"/>
          <w:highlight w:val="none"/>
          <w:lang w:val="en-US" w:eastAsia="zh-CN"/>
        </w:rPr>
        <w:t>专业</w:t>
      </w:r>
      <w:r>
        <w:rPr>
          <w:rFonts w:hint="eastAsia" w:ascii="仿宋_GB2312" w:eastAsia="仿宋_GB2312"/>
          <w:color w:val="auto"/>
          <w:sz w:val="32"/>
          <w:szCs w:val="32"/>
          <w:highlight w:val="none"/>
        </w:rPr>
        <w:t>技术</w:t>
      </w:r>
      <w:r>
        <w:rPr>
          <w:rFonts w:hint="eastAsia" w:ascii="仿宋_GB2312" w:eastAsia="仿宋_GB2312"/>
          <w:color w:val="auto"/>
          <w:sz w:val="32"/>
          <w:szCs w:val="32"/>
          <w:highlight w:val="none"/>
          <w:lang w:val="en-US" w:eastAsia="zh-CN"/>
        </w:rPr>
        <w:t>人员</w:t>
      </w:r>
      <w:r>
        <w:rPr>
          <w:rFonts w:hint="eastAsia" w:ascii="仿宋_GB2312" w:eastAsia="仿宋_GB2312"/>
          <w:color w:val="auto"/>
          <w:sz w:val="32"/>
          <w:szCs w:val="32"/>
          <w:highlight w:val="none"/>
        </w:rPr>
        <w:t>到现场进行故障定位及处置；</w:t>
      </w:r>
    </w:p>
    <w:p>
      <w:pPr>
        <w:pageBreakBefore w:val="0"/>
        <w:widowControl w:val="0"/>
        <w:kinsoku/>
        <w:wordWrap/>
        <w:overflowPunct/>
        <w:topLinePunct w:val="0"/>
        <w:autoSpaceDE/>
        <w:autoSpaceDN/>
        <w:bidi w:val="0"/>
        <w:spacing w:line="560" w:lineRule="exact"/>
        <w:ind w:firstLine="640" w:firstLineChars="200"/>
        <w:textAlignment w:val="auto"/>
        <w:rPr>
          <w:color w:val="auto"/>
          <w:highlight w:val="none"/>
          <w:lang w:val="zh-CN" w:eastAsia="zh-CN"/>
        </w:rPr>
      </w:pPr>
      <w:r>
        <w:rPr>
          <w:rFonts w:hint="eastAsia" w:ascii="楷体_GB2312" w:eastAsia="楷体_GB2312"/>
          <w:color w:val="auto"/>
          <w:sz w:val="32"/>
          <w:szCs w:val="32"/>
          <w:highlight w:val="none"/>
          <w:lang w:val="en-US" w:eastAsia="zh-CN"/>
        </w:rPr>
        <w:t>4</w:t>
      </w:r>
      <w:r>
        <w:rPr>
          <w:rFonts w:hint="eastAsia" w:ascii="楷体_GB2312" w:eastAsia="楷体_GB2312"/>
          <w:color w:val="auto"/>
          <w:sz w:val="32"/>
          <w:szCs w:val="32"/>
          <w:highlight w:val="none"/>
        </w:rPr>
        <w:t>.技术培训服务：</w:t>
      </w:r>
      <w:r>
        <w:rPr>
          <w:rFonts w:hint="eastAsia" w:ascii="仿宋_GB2312" w:eastAsia="仿宋_GB2312"/>
          <w:color w:val="auto"/>
          <w:sz w:val="32"/>
          <w:szCs w:val="32"/>
          <w:highlight w:val="none"/>
        </w:rPr>
        <w:t xml:space="preserve">为了更好的保障招标人系统安全稳定运行，维保服务期内中标人需定期安排技术专家进行技术支持及培训交流工作。 </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0AFF" w:usb1="00007843" w:usb2="00000001" w:usb3="00000000" w:csb0="400001BF" w:csb1="DFF7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embedRegular r:id="rId1" w:fontKey="{8F112E87-D74C-4799-BE3C-9E77A3E68A3D}"/>
  </w:font>
  <w:font w:name="Courier New">
    <w:panose1 w:val="02070309020205020404"/>
    <w:charset w:val="01"/>
    <w:family w:val="modern"/>
    <w:pitch w:val="default"/>
    <w:sig w:usb0="E0000AFF" w:usb1="40007843" w:usb2="00000001" w:usb3="00000000" w:csb0="400001BF" w:csb1="DFF7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69B575B0-CB8B-470F-8D95-EB30E2D31ADF}"/>
  </w:font>
  <w:font w:name="仿宋_GB2312">
    <w:panose1 w:val="02010609030101010101"/>
    <w:charset w:val="86"/>
    <w:family w:val="auto"/>
    <w:pitch w:val="default"/>
    <w:sig w:usb0="00000001" w:usb1="080E0000" w:usb2="00000000" w:usb3="00000000" w:csb0="00040000" w:csb1="00000000"/>
    <w:embedRegular r:id="rId3" w:fontKey="{CFE5C6A9-CA0A-4879-AF05-E1118FB4CF19}"/>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方正大标宋简体">
    <w:altName w:val="微软雅黑"/>
    <w:panose1 w:val="00000000000000000000"/>
    <w:charset w:val="86"/>
    <w:family w:val="auto"/>
    <w:pitch w:val="default"/>
    <w:sig w:usb0="00000000" w:usb1="00000000" w:usb2="00000000" w:usb3="00000000" w:csb0="00040000" w:csb1="00000000"/>
    <w:embedRegular r:id="rId4" w:fontKey="{10328DDE-1AA5-4E6E-8484-C99354AA862D}"/>
  </w:font>
  <w:font w:name="楷体_GB2312">
    <w:panose1 w:val="02010609030101010101"/>
    <w:charset w:val="86"/>
    <w:family w:val="modern"/>
    <w:pitch w:val="default"/>
    <w:sig w:usb0="00000001" w:usb1="080E0000" w:usb2="00000000" w:usb3="00000000" w:csb0="00040000" w:csb1="00000000"/>
    <w:embedRegular r:id="rId5" w:fontKey="{105E854E-0AFB-484C-AC30-0BBDE3007C4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lang w:eastAsia="zh-CN"/>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457835" cy="27813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457835" cy="2781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t xml:space="preserve">— </w:t>
                          </w:r>
                          <w:r>
                            <w:fldChar w:fldCharType="begin"/>
                          </w:r>
                          <w:r>
                            <w:instrText xml:space="preserve"> PAGE  \* MERGEFORMAT </w:instrText>
                          </w:r>
                          <w:r>
                            <w:fldChar w:fldCharType="separate"/>
                          </w:r>
                          <w:r>
                            <w:t>60</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21.9pt;width:36.05pt;mso-position-horizontal:inside;mso-position-horizontal-relative:margin;mso-wrap-style:none;z-index:251659264;mso-width-relative:page;mso-height-relative:page;" filled="f" stroked="f" coordsize="21600,21600" o:gfxdata="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LMDP8NIAAAADAQAADwAAAAAAAAABACAA&#10;AAAiAAAAZHJzL2Rvd25yZXYueG1sUEsBAhQAFAAAAAgAh07iQDW/NtgTAgAABwQAAA4AAAAAAAAA&#10;AQAgAAAAIQEAAGRycy9lMm9Eb2MueG1sUEsFBgAAAAAGAAYAWQEAAKYFAAAAAA==&#10;">
              <v:fill on="f" focussize="0,0"/>
              <v:stroke on="f" weight="0.5pt"/>
              <v:imagedata o:title=""/>
              <o:lock v:ext="edit" aspectratio="f"/>
              <v:textbox inset="0mm,0mm,0mm,0mm" style="mso-fit-shape-to-text:t;">
                <w:txbxContent>
                  <w:p>
                    <w:pPr>
                      <w:pStyle w:val="8"/>
                    </w:pPr>
                    <w:r>
                      <w:t xml:space="preserve">— </w:t>
                    </w:r>
                    <w:r>
                      <w:fldChar w:fldCharType="begin"/>
                    </w:r>
                    <w:r>
                      <w:instrText xml:space="preserve"> PAGE  \* MERGEFORMAT </w:instrText>
                    </w:r>
                    <w:r>
                      <w:fldChar w:fldCharType="separate"/>
                    </w:r>
                    <w:r>
                      <w:t>60</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both"/>
      <w:rPr>
        <w:lang w:eastAsia="zh-CN"/>
      </w:rPr>
    </w:pPr>
    <w:r>
      <w:rPr>
        <w:rFonts w:hint="eastAsia"/>
        <w:lang w:eastAsia="zh-CN"/>
      </w:rPr>
      <w:t>江口县农村信用合作联社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lkYWIxOTUzY2Y0NTdlZThkODNlMzFlNWZhOGViYzYifQ=="/>
  </w:docVars>
  <w:rsids>
    <w:rsidRoot w:val="005513A0"/>
    <w:rsid w:val="000164E3"/>
    <w:rsid w:val="00032230"/>
    <w:rsid w:val="00047DFA"/>
    <w:rsid w:val="00087A42"/>
    <w:rsid w:val="000A3FF5"/>
    <w:rsid w:val="000C189C"/>
    <w:rsid w:val="00157028"/>
    <w:rsid w:val="00171CE4"/>
    <w:rsid w:val="001916BD"/>
    <w:rsid w:val="001920C5"/>
    <w:rsid w:val="001F47D1"/>
    <w:rsid w:val="00240D6C"/>
    <w:rsid w:val="00276DBD"/>
    <w:rsid w:val="002C4E42"/>
    <w:rsid w:val="002D56CE"/>
    <w:rsid w:val="002D652A"/>
    <w:rsid w:val="002D6DBD"/>
    <w:rsid w:val="002F7A23"/>
    <w:rsid w:val="00300103"/>
    <w:rsid w:val="00307140"/>
    <w:rsid w:val="00310B3A"/>
    <w:rsid w:val="00316F2D"/>
    <w:rsid w:val="00324754"/>
    <w:rsid w:val="003327B7"/>
    <w:rsid w:val="00350A37"/>
    <w:rsid w:val="00361CE7"/>
    <w:rsid w:val="003B75C5"/>
    <w:rsid w:val="003C0339"/>
    <w:rsid w:val="003D2ECC"/>
    <w:rsid w:val="003D5D85"/>
    <w:rsid w:val="00431B37"/>
    <w:rsid w:val="00485DFB"/>
    <w:rsid w:val="004A4B90"/>
    <w:rsid w:val="004B7360"/>
    <w:rsid w:val="005513A0"/>
    <w:rsid w:val="00572F05"/>
    <w:rsid w:val="00626147"/>
    <w:rsid w:val="00637ACB"/>
    <w:rsid w:val="00643BE3"/>
    <w:rsid w:val="006A4326"/>
    <w:rsid w:val="006A4A8C"/>
    <w:rsid w:val="006E6810"/>
    <w:rsid w:val="00713BD1"/>
    <w:rsid w:val="0073362C"/>
    <w:rsid w:val="00743831"/>
    <w:rsid w:val="00746077"/>
    <w:rsid w:val="007667D0"/>
    <w:rsid w:val="007B2DE1"/>
    <w:rsid w:val="007C10F2"/>
    <w:rsid w:val="007D6762"/>
    <w:rsid w:val="007D6BF9"/>
    <w:rsid w:val="00814934"/>
    <w:rsid w:val="00856D6C"/>
    <w:rsid w:val="00857B4C"/>
    <w:rsid w:val="00867FFD"/>
    <w:rsid w:val="00885D21"/>
    <w:rsid w:val="008C1230"/>
    <w:rsid w:val="00930B34"/>
    <w:rsid w:val="0097026F"/>
    <w:rsid w:val="00973E97"/>
    <w:rsid w:val="0098000C"/>
    <w:rsid w:val="00990D68"/>
    <w:rsid w:val="009B1540"/>
    <w:rsid w:val="009B6855"/>
    <w:rsid w:val="00A361BE"/>
    <w:rsid w:val="00AB0893"/>
    <w:rsid w:val="00AD0188"/>
    <w:rsid w:val="00AD3990"/>
    <w:rsid w:val="00AE334F"/>
    <w:rsid w:val="00AE51EB"/>
    <w:rsid w:val="00AE7024"/>
    <w:rsid w:val="00B61364"/>
    <w:rsid w:val="00B74515"/>
    <w:rsid w:val="00BD59B9"/>
    <w:rsid w:val="00BE38B9"/>
    <w:rsid w:val="00BF63F0"/>
    <w:rsid w:val="00BF7D12"/>
    <w:rsid w:val="00C24477"/>
    <w:rsid w:val="00C25905"/>
    <w:rsid w:val="00C31299"/>
    <w:rsid w:val="00C35A30"/>
    <w:rsid w:val="00C7140C"/>
    <w:rsid w:val="00C724CC"/>
    <w:rsid w:val="00CE2778"/>
    <w:rsid w:val="00CE73BC"/>
    <w:rsid w:val="00D0515B"/>
    <w:rsid w:val="00D10BC9"/>
    <w:rsid w:val="00D33BF2"/>
    <w:rsid w:val="00D466DF"/>
    <w:rsid w:val="00D5031E"/>
    <w:rsid w:val="00D54704"/>
    <w:rsid w:val="00D77C81"/>
    <w:rsid w:val="00DC1C2E"/>
    <w:rsid w:val="00DD0FD2"/>
    <w:rsid w:val="00E24D31"/>
    <w:rsid w:val="00E4236D"/>
    <w:rsid w:val="00E60EC8"/>
    <w:rsid w:val="00E61750"/>
    <w:rsid w:val="00E70438"/>
    <w:rsid w:val="00EA6DE6"/>
    <w:rsid w:val="00EE3AA6"/>
    <w:rsid w:val="00EF1351"/>
    <w:rsid w:val="00F365D2"/>
    <w:rsid w:val="00F8283F"/>
    <w:rsid w:val="00FA0FBD"/>
    <w:rsid w:val="00FB0600"/>
    <w:rsid w:val="00FC7276"/>
    <w:rsid w:val="00FE00D0"/>
    <w:rsid w:val="00FE2FC0"/>
    <w:rsid w:val="00FE3F1D"/>
    <w:rsid w:val="01227D26"/>
    <w:rsid w:val="013F2A21"/>
    <w:rsid w:val="01502A8E"/>
    <w:rsid w:val="015F7EAE"/>
    <w:rsid w:val="01903215"/>
    <w:rsid w:val="01BC416B"/>
    <w:rsid w:val="01E31105"/>
    <w:rsid w:val="01F868B4"/>
    <w:rsid w:val="02145195"/>
    <w:rsid w:val="02163A17"/>
    <w:rsid w:val="02236A06"/>
    <w:rsid w:val="0241242E"/>
    <w:rsid w:val="025D466F"/>
    <w:rsid w:val="028C3BDB"/>
    <w:rsid w:val="028F2236"/>
    <w:rsid w:val="02982E47"/>
    <w:rsid w:val="02A20CC2"/>
    <w:rsid w:val="02AA6F60"/>
    <w:rsid w:val="02B20C36"/>
    <w:rsid w:val="02D121F5"/>
    <w:rsid w:val="02D67778"/>
    <w:rsid w:val="02FB5070"/>
    <w:rsid w:val="032D51E5"/>
    <w:rsid w:val="035F742C"/>
    <w:rsid w:val="03604F94"/>
    <w:rsid w:val="037F1A55"/>
    <w:rsid w:val="03AE5B6F"/>
    <w:rsid w:val="03AF7957"/>
    <w:rsid w:val="03BB0A97"/>
    <w:rsid w:val="03D10EE6"/>
    <w:rsid w:val="04147866"/>
    <w:rsid w:val="046B551C"/>
    <w:rsid w:val="049018BB"/>
    <w:rsid w:val="0497744E"/>
    <w:rsid w:val="04D351D0"/>
    <w:rsid w:val="04E376BD"/>
    <w:rsid w:val="05137F6D"/>
    <w:rsid w:val="05340028"/>
    <w:rsid w:val="055D40A5"/>
    <w:rsid w:val="05687224"/>
    <w:rsid w:val="056934EF"/>
    <w:rsid w:val="057E2D55"/>
    <w:rsid w:val="05871229"/>
    <w:rsid w:val="059C37C2"/>
    <w:rsid w:val="05A65D07"/>
    <w:rsid w:val="05B06757"/>
    <w:rsid w:val="05DE266B"/>
    <w:rsid w:val="061248D6"/>
    <w:rsid w:val="061F62A8"/>
    <w:rsid w:val="062F3775"/>
    <w:rsid w:val="06640499"/>
    <w:rsid w:val="0699579A"/>
    <w:rsid w:val="06B707AD"/>
    <w:rsid w:val="06D849E3"/>
    <w:rsid w:val="06E950BE"/>
    <w:rsid w:val="06FE11C3"/>
    <w:rsid w:val="07041356"/>
    <w:rsid w:val="070457D8"/>
    <w:rsid w:val="071D69EB"/>
    <w:rsid w:val="07233C34"/>
    <w:rsid w:val="07282709"/>
    <w:rsid w:val="072E46E8"/>
    <w:rsid w:val="0731646F"/>
    <w:rsid w:val="07392EF8"/>
    <w:rsid w:val="077E37DC"/>
    <w:rsid w:val="08182C56"/>
    <w:rsid w:val="084D6915"/>
    <w:rsid w:val="085B7611"/>
    <w:rsid w:val="0875522A"/>
    <w:rsid w:val="087A1A88"/>
    <w:rsid w:val="08971F79"/>
    <w:rsid w:val="08E6787D"/>
    <w:rsid w:val="08F73321"/>
    <w:rsid w:val="094B42CC"/>
    <w:rsid w:val="095B6369"/>
    <w:rsid w:val="09C0632E"/>
    <w:rsid w:val="09DA7820"/>
    <w:rsid w:val="09E07155"/>
    <w:rsid w:val="09E35EAA"/>
    <w:rsid w:val="0A1D00DC"/>
    <w:rsid w:val="0A5512B3"/>
    <w:rsid w:val="0A5606E2"/>
    <w:rsid w:val="0A8B47E3"/>
    <w:rsid w:val="0AAB0772"/>
    <w:rsid w:val="0AB32DF9"/>
    <w:rsid w:val="0AB47432"/>
    <w:rsid w:val="0AC24539"/>
    <w:rsid w:val="0ACA6E04"/>
    <w:rsid w:val="0B010730"/>
    <w:rsid w:val="0B1A5988"/>
    <w:rsid w:val="0B264ECC"/>
    <w:rsid w:val="0B3167BD"/>
    <w:rsid w:val="0B5635D3"/>
    <w:rsid w:val="0B5C3E34"/>
    <w:rsid w:val="0BA95BA1"/>
    <w:rsid w:val="0BAB4B2F"/>
    <w:rsid w:val="0BBF197C"/>
    <w:rsid w:val="0BC0653A"/>
    <w:rsid w:val="0BD46A72"/>
    <w:rsid w:val="0BDD1CEC"/>
    <w:rsid w:val="0BEE45F1"/>
    <w:rsid w:val="0BF73B5D"/>
    <w:rsid w:val="0C0559C8"/>
    <w:rsid w:val="0C1B3CF0"/>
    <w:rsid w:val="0C62487F"/>
    <w:rsid w:val="0C6433BC"/>
    <w:rsid w:val="0C653429"/>
    <w:rsid w:val="0C8A2C23"/>
    <w:rsid w:val="0CE70B61"/>
    <w:rsid w:val="0CEF532B"/>
    <w:rsid w:val="0CF94998"/>
    <w:rsid w:val="0D0144DC"/>
    <w:rsid w:val="0D0B304F"/>
    <w:rsid w:val="0D716996"/>
    <w:rsid w:val="0D814026"/>
    <w:rsid w:val="0DAE2941"/>
    <w:rsid w:val="0DC31439"/>
    <w:rsid w:val="0DFB126F"/>
    <w:rsid w:val="0E3C1D57"/>
    <w:rsid w:val="0E4A7649"/>
    <w:rsid w:val="0E507299"/>
    <w:rsid w:val="0E5E7EC3"/>
    <w:rsid w:val="0E7F47F2"/>
    <w:rsid w:val="0EC8228B"/>
    <w:rsid w:val="0ECA7919"/>
    <w:rsid w:val="0EE16045"/>
    <w:rsid w:val="0F671F33"/>
    <w:rsid w:val="0F780E91"/>
    <w:rsid w:val="0FA5717C"/>
    <w:rsid w:val="0FBB09C5"/>
    <w:rsid w:val="0FC2784E"/>
    <w:rsid w:val="0FE20680"/>
    <w:rsid w:val="100504DF"/>
    <w:rsid w:val="101D41EF"/>
    <w:rsid w:val="105E1B6A"/>
    <w:rsid w:val="108108B5"/>
    <w:rsid w:val="1083268E"/>
    <w:rsid w:val="108642D3"/>
    <w:rsid w:val="108F6A5A"/>
    <w:rsid w:val="10914580"/>
    <w:rsid w:val="10953945"/>
    <w:rsid w:val="10CC3D9A"/>
    <w:rsid w:val="10CD17B5"/>
    <w:rsid w:val="10E2302E"/>
    <w:rsid w:val="10E741A0"/>
    <w:rsid w:val="11274EE5"/>
    <w:rsid w:val="114221B5"/>
    <w:rsid w:val="11470688"/>
    <w:rsid w:val="114D74DB"/>
    <w:rsid w:val="115462A5"/>
    <w:rsid w:val="115D5E25"/>
    <w:rsid w:val="116B3023"/>
    <w:rsid w:val="118E5C4D"/>
    <w:rsid w:val="11A46535"/>
    <w:rsid w:val="11A94755"/>
    <w:rsid w:val="11BB6124"/>
    <w:rsid w:val="11F7696B"/>
    <w:rsid w:val="11F86237"/>
    <w:rsid w:val="11FA6E2F"/>
    <w:rsid w:val="12124272"/>
    <w:rsid w:val="12291B5B"/>
    <w:rsid w:val="124A35B1"/>
    <w:rsid w:val="124C3CD3"/>
    <w:rsid w:val="12717F62"/>
    <w:rsid w:val="127D5ECE"/>
    <w:rsid w:val="12B66D21"/>
    <w:rsid w:val="12FB2EA2"/>
    <w:rsid w:val="13031039"/>
    <w:rsid w:val="1322526F"/>
    <w:rsid w:val="1339775D"/>
    <w:rsid w:val="135647CE"/>
    <w:rsid w:val="1360648C"/>
    <w:rsid w:val="136513A1"/>
    <w:rsid w:val="13892AAE"/>
    <w:rsid w:val="13BF6AE8"/>
    <w:rsid w:val="13CE0D49"/>
    <w:rsid w:val="13E420EA"/>
    <w:rsid w:val="13E97E92"/>
    <w:rsid w:val="13F27A08"/>
    <w:rsid w:val="13FA068E"/>
    <w:rsid w:val="13FF7437"/>
    <w:rsid w:val="141352AC"/>
    <w:rsid w:val="141871F6"/>
    <w:rsid w:val="142E51BE"/>
    <w:rsid w:val="1445413D"/>
    <w:rsid w:val="14575AE1"/>
    <w:rsid w:val="147A6014"/>
    <w:rsid w:val="148B4497"/>
    <w:rsid w:val="14900BC5"/>
    <w:rsid w:val="14924A12"/>
    <w:rsid w:val="14B736D3"/>
    <w:rsid w:val="14D820B1"/>
    <w:rsid w:val="14E749A5"/>
    <w:rsid w:val="14F21FAC"/>
    <w:rsid w:val="14F22A23"/>
    <w:rsid w:val="1501785C"/>
    <w:rsid w:val="152419D7"/>
    <w:rsid w:val="152C7633"/>
    <w:rsid w:val="153576A5"/>
    <w:rsid w:val="153B065E"/>
    <w:rsid w:val="154501CE"/>
    <w:rsid w:val="156C1118"/>
    <w:rsid w:val="15AD1D53"/>
    <w:rsid w:val="15BE50DF"/>
    <w:rsid w:val="15F206FF"/>
    <w:rsid w:val="16143462"/>
    <w:rsid w:val="163634D4"/>
    <w:rsid w:val="16501C70"/>
    <w:rsid w:val="16555F00"/>
    <w:rsid w:val="165D5B06"/>
    <w:rsid w:val="1664736F"/>
    <w:rsid w:val="16881F81"/>
    <w:rsid w:val="16AD3967"/>
    <w:rsid w:val="16AF1BEF"/>
    <w:rsid w:val="16EC0082"/>
    <w:rsid w:val="16F01E65"/>
    <w:rsid w:val="170279ED"/>
    <w:rsid w:val="17177E61"/>
    <w:rsid w:val="17343EB7"/>
    <w:rsid w:val="174323AB"/>
    <w:rsid w:val="174622B4"/>
    <w:rsid w:val="17696AAE"/>
    <w:rsid w:val="1793626F"/>
    <w:rsid w:val="179E57D5"/>
    <w:rsid w:val="1851770F"/>
    <w:rsid w:val="185760AF"/>
    <w:rsid w:val="18695DE3"/>
    <w:rsid w:val="189E49D8"/>
    <w:rsid w:val="18ED1EDC"/>
    <w:rsid w:val="18F508AD"/>
    <w:rsid w:val="193F2A2B"/>
    <w:rsid w:val="196B461A"/>
    <w:rsid w:val="198D79D9"/>
    <w:rsid w:val="19B23C43"/>
    <w:rsid w:val="19C05ED6"/>
    <w:rsid w:val="19F7761C"/>
    <w:rsid w:val="19FF45E0"/>
    <w:rsid w:val="1A0538E9"/>
    <w:rsid w:val="1A1377B3"/>
    <w:rsid w:val="1A333990"/>
    <w:rsid w:val="1A435335"/>
    <w:rsid w:val="1A58021F"/>
    <w:rsid w:val="1A710E2A"/>
    <w:rsid w:val="1AC11CE3"/>
    <w:rsid w:val="1AC37878"/>
    <w:rsid w:val="1ADB7932"/>
    <w:rsid w:val="1B0923B9"/>
    <w:rsid w:val="1B0D54D6"/>
    <w:rsid w:val="1B6E240F"/>
    <w:rsid w:val="1B9C64CF"/>
    <w:rsid w:val="1B9D137C"/>
    <w:rsid w:val="1BA15893"/>
    <w:rsid w:val="1BC05789"/>
    <w:rsid w:val="1C0E117B"/>
    <w:rsid w:val="1C2C1601"/>
    <w:rsid w:val="1C4B5020"/>
    <w:rsid w:val="1C4F589B"/>
    <w:rsid w:val="1C526FF4"/>
    <w:rsid w:val="1C5E33C8"/>
    <w:rsid w:val="1CA72DBB"/>
    <w:rsid w:val="1CAF317A"/>
    <w:rsid w:val="1CBC2C83"/>
    <w:rsid w:val="1CBF2475"/>
    <w:rsid w:val="1CE01F3A"/>
    <w:rsid w:val="1CE73C91"/>
    <w:rsid w:val="1CE95744"/>
    <w:rsid w:val="1D491545"/>
    <w:rsid w:val="1D5D7D16"/>
    <w:rsid w:val="1DE101C9"/>
    <w:rsid w:val="1E0F7CBE"/>
    <w:rsid w:val="1E334EC9"/>
    <w:rsid w:val="1E7A79D4"/>
    <w:rsid w:val="1EA165AC"/>
    <w:rsid w:val="1EB60E5E"/>
    <w:rsid w:val="1ED626A1"/>
    <w:rsid w:val="1ED8781E"/>
    <w:rsid w:val="1EFA354A"/>
    <w:rsid w:val="1F143A39"/>
    <w:rsid w:val="1F3F164B"/>
    <w:rsid w:val="1F5349CA"/>
    <w:rsid w:val="1F740CC9"/>
    <w:rsid w:val="1F7D758A"/>
    <w:rsid w:val="1FDE8353"/>
    <w:rsid w:val="200C39CC"/>
    <w:rsid w:val="201E5148"/>
    <w:rsid w:val="20344F28"/>
    <w:rsid w:val="206D21E8"/>
    <w:rsid w:val="20967991"/>
    <w:rsid w:val="20BE7198"/>
    <w:rsid w:val="20DB1848"/>
    <w:rsid w:val="20E701EC"/>
    <w:rsid w:val="21033175"/>
    <w:rsid w:val="21742931"/>
    <w:rsid w:val="21900F0F"/>
    <w:rsid w:val="21B032E0"/>
    <w:rsid w:val="21B53E47"/>
    <w:rsid w:val="21C85928"/>
    <w:rsid w:val="21CD6640"/>
    <w:rsid w:val="21D82128"/>
    <w:rsid w:val="21F03744"/>
    <w:rsid w:val="2211402A"/>
    <w:rsid w:val="221C3C8A"/>
    <w:rsid w:val="22322D47"/>
    <w:rsid w:val="22330D32"/>
    <w:rsid w:val="22571F8F"/>
    <w:rsid w:val="22680EB9"/>
    <w:rsid w:val="22995516"/>
    <w:rsid w:val="22B755C4"/>
    <w:rsid w:val="232D0437"/>
    <w:rsid w:val="23544DA7"/>
    <w:rsid w:val="23AE2045"/>
    <w:rsid w:val="23AF36CA"/>
    <w:rsid w:val="23B77C39"/>
    <w:rsid w:val="23CB5541"/>
    <w:rsid w:val="23F165FC"/>
    <w:rsid w:val="24100D8E"/>
    <w:rsid w:val="242A6797"/>
    <w:rsid w:val="24376B08"/>
    <w:rsid w:val="244A5C25"/>
    <w:rsid w:val="246A0F18"/>
    <w:rsid w:val="246C33F3"/>
    <w:rsid w:val="24793FDA"/>
    <w:rsid w:val="24815A49"/>
    <w:rsid w:val="24977834"/>
    <w:rsid w:val="249B4811"/>
    <w:rsid w:val="24B14870"/>
    <w:rsid w:val="24C83E88"/>
    <w:rsid w:val="24C97CDC"/>
    <w:rsid w:val="24CA450B"/>
    <w:rsid w:val="24D171E9"/>
    <w:rsid w:val="24D357A5"/>
    <w:rsid w:val="25180DE1"/>
    <w:rsid w:val="25203CCD"/>
    <w:rsid w:val="252F3F10"/>
    <w:rsid w:val="25582D3A"/>
    <w:rsid w:val="2572499F"/>
    <w:rsid w:val="25845748"/>
    <w:rsid w:val="25885310"/>
    <w:rsid w:val="25906338"/>
    <w:rsid w:val="259D531E"/>
    <w:rsid w:val="25B86D06"/>
    <w:rsid w:val="25C43E83"/>
    <w:rsid w:val="25D223B1"/>
    <w:rsid w:val="25E366DD"/>
    <w:rsid w:val="25EE1C89"/>
    <w:rsid w:val="26040742"/>
    <w:rsid w:val="261D1740"/>
    <w:rsid w:val="262F491C"/>
    <w:rsid w:val="263B69E0"/>
    <w:rsid w:val="263B7010"/>
    <w:rsid w:val="264D3AB7"/>
    <w:rsid w:val="266C4759"/>
    <w:rsid w:val="268169ED"/>
    <w:rsid w:val="269A3255"/>
    <w:rsid w:val="26A13C23"/>
    <w:rsid w:val="26A31730"/>
    <w:rsid w:val="26C12813"/>
    <w:rsid w:val="26D66D39"/>
    <w:rsid w:val="26D92391"/>
    <w:rsid w:val="27076EF2"/>
    <w:rsid w:val="27402922"/>
    <w:rsid w:val="27D20059"/>
    <w:rsid w:val="27E97053"/>
    <w:rsid w:val="27F315B7"/>
    <w:rsid w:val="2813591E"/>
    <w:rsid w:val="283D6944"/>
    <w:rsid w:val="285E6FE6"/>
    <w:rsid w:val="288A12C7"/>
    <w:rsid w:val="289844F7"/>
    <w:rsid w:val="289D1095"/>
    <w:rsid w:val="28C1610D"/>
    <w:rsid w:val="28F41C36"/>
    <w:rsid w:val="2905589F"/>
    <w:rsid w:val="29216A82"/>
    <w:rsid w:val="29357B65"/>
    <w:rsid w:val="293B5644"/>
    <w:rsid w:val="293E2974"/>
    <w:rsid w:val="293E4722"/>
    <w:rsid w:val="29520BEF"/>
    <w:rsid w:val="295C082D"/>
    <w:rsid w:val="298C36DF"/>
    <w:rsid w:val="29B6088E"/>
    <w:rsid w:val="29B80978"/>
    <w:rsid w:val="29B82726"/>
    <w:rsid w:val="29E00FDB"/>
    <w:rsid w:val="2A0C4820"/>
    <w:rsid w:val="2A1A3714"/>
    <w:rsid w:val="2A344080"/>
    <w:rsid w:val="2A4E6BE6"/>
    <w:rsid w:val="2A58368D"/>
    <w:rsid w:val="2A603BB0"/>
    <w:rsid w:val="2A850D23"/>
    <w:rsid w:val="2AAE17CB"/>
    <w:rsid w:val="2ADE6E92"/>
    <w:rsid w:val="2AF801AF"/>
    <w:rsid w:val="2AF92606"/>
    <w:rsid w:val="2B1E480B"/>
    <w:rsid w:val="2B69725A"/>
    <w:rsid w:val="2B6D58FB"/>
    <w:rsid w:val="2B8F1121"/>
    <w:rsid w:val="2BAA42F0"/>
    <w:rsid w:val="2BBF1BD7"/>
    <w:rsid w:val="2BCF035F"/>
    <w:rsid w:val="2BD92780"/>
    <w:rsid w:val="2BED764B"/>
    <w:rsid w:val="2C032CD8"/>
    <w:rsid w:val="2C2E428B"/>
    <w:rsid w:val="2C37715D"/>
    <w:rsid w:val="2C5030EA"/>
    <w:rsid w:val="2C555945"/>
    <w:rsid w:val="2C64527D"/>
    <w:rsid w:val="2C713F2D"/>
    <w:rsid w:val="2C77752E"/>
    <w:rsid w:val="2C792640"/>
    <w:rsid w:val="2C912440"/>
    <w:rsid w:val="2C943F30"/>
    <w:rsid w:val="2CA46F92"/>
    <w:rsid w:val="2CA747B0"/>
    <w:rsid w:val="2CD77367"/>
    <w:rsid w:val="2CD927A6"/>
    <w:rsid w:val="2CE54F10"/>
    <w:rsid w:val="2D181D84"/>
    <w:rsid w:val="2D42735E"/>
    <w:rsid w:val="2D77436B"/>
    <w:rsid w:val="2DCF28F9"/>
    <w:rsid w:val="2DDD7848"/>
    <w:rsid w:val="2DE902C5"/>
    <w:rsid w:val="2E0F0C6A"/>
    <w:rsid w:val="2E2678A0"/>
    <w:rsid w:val="2E307AB3"/>
    <w:rsid w:val="2E4E36BC"/>
    <w:rsid w:val="2E4F6685"/>
    <w:rsid w:val="2E573B27"/>
    <w:rsid w:val="2E6547C6"/>
    <w:rsid w:val="2EB807E1"/>
    <w:rsid w:val="2EF839FD"/>
    <w:rsid w:val="2F1B601A"/>
    <w:rsid w:val="2F567365"/>
    <w:rsid w:val="2FA85D19"/>
    <w:rsid w:val="2FB27C17"/>
    <w:rsid w:val="2FDE11CE"/>
    <w:rsid w:val="2FE277FA"/>
    <w:rsid w:val="30242149"/>
    <w:rsid w:val="307543BC"/>
    <w:rsid w:val="307A4F9A"/>
    <w:rsid w:val="30894E1C"/>
    <w:rsid w:val="30A15B00"/>
    <w:rsid w:val="30C85944"/>
    <w:rsid w:val="30E42053"/>
    <w:rsid w:val="30EF18AF"/>
    <w:rsid w:val="30F95946"/>
    <w:rsid w:val="31583C5D"/>
    <w:rsid w:val="316C47F3"/>
    <w:rsid w:val="31AA46ED"/>
    <w:rsid w:val="31BE02CA"/>
    <w:rsid w:val="31BF2622"/>
    <w:rsid w:val="31D37744"/>
    <w:rsid w:val="31FC33CC"/>
    <w:rsid w:val="320F1351"/>
    <w:rsid w:val="32634C56"/>
    <w:rsid w:val="32934673"/>
    <w:rsid w:val="32AF5EF3"/>
    <w:rsid w:val="32E60304"/>
    <w:rsid w:val="33266952"/>
    <w:rsid w:val="332B5D17"/>
    <w:rsid w:val="333B2D52"/>
    <w:rsid w:val="33545CDB"/>
    <w:rsid w:val="336B0809"/>
    <w:rsid w:val="338254FD"/>
    <w:rsid w:val="33E86D5E"/>
    <w:rsid w:val="340C3D9A"/>
    <w:rsid w:val="340F2268"/>
    <w:rsid w:val="3433100D"/>
    <w:rsid w:val="346D235F"/>
    <w:rsid w:val="34DA5E6F"/>
    <w:rsid w:val="34ED59FB"/>
    <w:rsid w:val="35125BC0"/>
    <w:rsid w:val="351A1A50"/>
    <w:rsid w:val="351A6043"/>
    <w:rsid w:val="351C426A"/>
    <w:rsid w:val="356814A4"/>
    <w:rsid w:val="35942299"/>
    <w:rsid w:val="35C5225E"/>
    <w:rsid w:val="35DF103A"/>
    <w:rsid w:val="36054F45"/>
    <w:rsid w:val="36084C15"/>
    <w:rsid w:val="36203B2D"/>
    <w:rsid w:val="363B5C94"/>
    <w:rsid w:val="364A2958"/>
    <w:rsid w:val="36647880"/>
    <w:rsid w:val="36925C29"/>
    <w:rsid w:val="36A07F01"/>
    <w:rsid w:val="36AE738B"/>
    <w:rsid w:val="36BB3856"/>
    <w:rsid w:val="37222601"/>
    <w:rsid w:val="37310A0F"/>
    <w:rsid w:val="37885919"/>
    <w:rsid w:val="379C7C68"/>
    <w:rsid w:val="37A977B5"/>
    <w:rsid w:val="37B3516A"/>
    <w:rsid w:val="37F70BC0"/>
    <w:rsid w:val="37FC13BF"/>
    <w:rsid w:val="37FF5824"/>
    <w:rsid w:val="38497B79"/>
    <w:rsid w:val="38624F43"/>
    <w:rsid w:val="38700348"/>
    <w:rsid w:val="38865254"/>
    <w:rsid w:val="3898012C"/>
    <w:rsid w:val="38B2006E"/>
    <w:rsid w:val="391A7AFF"/>
    <w:rsid w:val="39344609"/>
    <w:rsid w:val="39487399"/>
    <w:rsid w:val="3969018A"/>
    <w:rsid w:val="39735C6E"/>
    <w:rsid w:val="39830C97"/>
    <w:rsid w:val="399F2308"/>
    <w:rsid w:val="39A63079"/>
    <w:rsid w:val="3A382EDB"/>
    <w:rsid w:val="3AC86B25"/>
    <w:rsid w:val="3AD6334C"/>
    <w:rsid w:val="3AFD268F"/>
    <w:rsid w:val="3B4A3C95"/>
    <w:rsid w:val="3B4A4143"/>
    <w:rsid w:val="3B596D33"/>
    <w:rsid w:val="3B80428E"/>
    <w:rsid w:val="3BB471F3"/>
    <w:rsid w:val="3BCA1B78"/>
    <w:rsid w:val="3BD01B51"/>
    <w:rsid w:val="3BF53366"/>
    <w:rsid w:val="3C1D1103"/>
    <w:rsid w:val="3C21338E"/>
    <w:rsid w:val="3C277297"/>
    <w:rsid w:val="3C2E065B"/>
    <w:rsid w:val="3C644099"/>
    <w:rsid w:val="3CAB4EFB"/>
    <w:rsid w:val="3D0B4001"/>
    <w:rsid w:val="3D0D46DF"/>
    <w:rsid w:val="3D28447B"/>
    <w:rsid w:val="3D5917D5"/>
    <w:rsid w:val="3D707522"/>
    <w:rsid w:val="3E1A0D44"/>
    <w:rsid w:val="3E364ADD"/>
    <w:rsid w:val="3E4536B2"/>
    <w:rsid w:val="3E7E7C98"/>
    <w:rsid w:val="3EBC460F"/>
    <w:rsid w:val="3EC667FC"/>
    <w:rsid w:val="3EDF3E59"/>
    <w:rsid w:val="3EE81396"/>
    <w:rsid w:val="3EE871B2"/>
    <w:rsid w:val="3EFB2FBD"/>
    <w:rsid w:val="3F0264C5"/>
    <w:rsid w:val="3F163D4D"/>
    <w:rsid w:val="3F332E63"/>
    <w:rsid w:val="3F3B5533"/>
    <w:rsid w:val="3F3C65F2"/>
    <w:rsid w:val="3F4276BA"/>
    <w:rsid w:val="3F6251B6"/>
    <w:rsid w:val="3FDF1346"/>
    <w:rsid w:val="400B4DC1"/>
    <w:rsid w:val="40193B07"/>
    <w:rsid w:val="40302BBE"/>
    <w:rsid w:val="403A4014"/>
    <w:rsid w:val="40405821"/>
    <w:rsid w:val="4067244D"/>
    <w:rsid w:val="406F7EEE"/>
    <w:rsid w:val="40A92278"/>
    <w:rsid w:val="40CA7763"/>
    <w:rsid w:val="40D82A90"/>
    <w:rsid w:val="4103443D"/>
    <w:rsid w:val="412A22A4"/>
    <w:rsid w:val="413E6F01"/>
    <w:rsid w:val="413E7140"/>
    <w:rsid w:val="4141597B"/>
    <w:rsid w:val="4155613F"/>
    <w:rsid w:val="415609E4"/>
    <w:rsid w:val="41715401"/>
    <w:rsid w:val="41D0734F"/>
    <w:rsid w:val="41EF1058"/>
    <w:rsid w:val="41F76F35"/>
    <w:rsid w:val="424067EF"/>
    <w:rsid w:val="42436E2A"/>
    <w:rsid w:val="424B6E15"/>
    <w:rsid w:val="426B35E5"/>
    <w:rsid w:val="42D32F26"/>
    <w:rsid w:val="42DD0CE4"/>
    <w:rsid w:val="42DE3767"/>
    <w:rsid w:val="42EA174A"/>
    <w:rsid w:val="43370BA5"/>
    <w:rsid w:val="437842B7"/>
    <w:rsid w:val="43831019"/>
    <w:rsid w:val="43933595"/>
    <w:rsid w:val="43941819"/>
    <w:rsid w:val="43AF64F0"/>
    <w:rsid w:val="44211978"/>
    <w:rsid w:val="44541421"/>
    <w:rsid w:val="448A397F"/>
    <w:rsid w:val="44991EC3"/>
    <w:rsid w:val="44C62868"/>
    <w:rsid w:val="44C64AF5"/>
    <w:rsid w:val="44FB6886"/>
    <w:rsid w:val="44FF5255"/>
    <w:rsid w:val="44FF5DFB"/>
    <w:rsid w:val="451A3E3D"/>
    <w:rsid w:val="452B1E80"/>
    <w:rsid w:val="453D000B"/>
    <w:rsid w:val="453D37DB"/>
    <w:rsid w:val="454D4212"/>
    <w:rsid w:val="45525385"/>
    <w:rsid w:val="45684BA8"/>
    <w:rsid w:val="456A6B72"/>
    <w:rsid w:val="458C0BF6"/>
    <w:rsid w:val="459869C4"/>
    <w:rsid w:val="459A0189"/>
    <w:rsid w:val="459F2503"/>
    <w:rsid w:val="46132D66"/>
    <w:rsid w:val="4649319A"/>
    <w:rsid w:val="464C4C8C"/>
    <w:rsid w:val="46535079"/>
    <w:rsid w:val="4656269B"/>
    <w:rsid w:val="46722A57"/>
    <w:rsid w:val="467D4684"/>
    <w:rsid w:val="46B0075B"/>
    <w:rsid w:val="46CD3FD0"/>
    <w:rsid w:val="46F8109C"/>
    <w:rsid w:val="474B29D4"/>
    <w:rsid w:val="475B6938"/>
    <w:rsid w:val="4770243A"/>
    <w:rsid w:val="478C5459"/>
    <w:rsid w:val="479B1265"/>
    <w:rsid w:val="479E2B03"/>
    <w:rsid w:val="47C167F2"/>
    <w:rsid w:val="47D24533"/>
    <w:rsid w:val="47F12B6B"/>
    <w:rsid w:val="481334F1"/>
    <w:rsid w:val="481C26D0"/>
    <w:rsid w:val="484431FD"/>
    <w:rsid w:val="48721973"/>
    <w:rsid w:val="48781FD4"/>
    <w:rsid w:val="48851496"/>
    <w:rsid w:val="488E553D"/>
    <w:rsid w:val="488F7168"/>
    <w:rsid w:val="48BD520B"/>
    <w:rsid w:val="48CC712E"/>
    <w:rsid w:val="48EC7F53"/>
    <w:rsid w:val="490458EE"/>
    <w:rsid w:val="490D5D90"/>
    <w:rsid w:val="491470E5"/>
    <w:rsid w:val="49643D4F"/>
    <w:rsid w:val="49963AD3"/>
    <w:rsid w:val="49AB2717"/>
    <w:rsid w:val="49AD5280"/>
    <w:rsid w:val="49CE79D1"/>
    <w:rsid w:val="49DE701D"/>
    <w:rsid w:val="49F245F5"/>
    <w:rsid w:val="49FC50D5"/>
    <w:rsid w:val="4A16536B"/>
    <w:rsid w:val="4A393CEC"/>
    <w:rsid w:val="4A6C1F44"/>
    <w:rsid w:val="4A7571ED"/>
    <w:rsid w:val="4A8B15A6"/>
    <w:rsid w:val="4A9451E4"/>
    <w:rsid w:val="4AA22684"/>
    <w:rsid w:val="4AC26B09"/>
    <w:rsid w:val="4AF07B1A"/>
    <w:rsid w:val="4B00685F"/>
    <w:rsid w:val="4B172413"/>
    <w:rsid w:val="4B3B047D"/>
    <w:rsid w:val="4B440B30"/>
    <w:rsid w:val="4B6D116B"/>
    <w:rsid w:val="4C3677AE"/>
    <w:rsid w:val="4C374D22"/>
    <w:rsid w:val="4C5B7984"/>
    <w:rsid w:val="4C6B2A5B"/>
    <w:rsid w:val="4CBB65E1"/>
    <w:rsid w:val="4CBD3BAD"/>
    <w:rsid w:val="4CC72952"/>
    <w:rsid w:val="4CC72AFC"/>
    <w:rsid w:val="4CD374C6"/>
    <w:rsid w:val="4CD55219"/>
    <w:rsid w:val="4CE216E4"/>
    <w:rsid w:val="4D023B34"/>
    <w:rsid w:val="4D136243"/>
    <w:rsid w:val="4D372204"/>
    <w:rsid w:val="4D616635"/>
    <w:rsid w:val="4D6A4858"/>
    <w:rsid w:val="4D960CD2"/>
    <w:rsid w:val="4D986021"/>
    <w:rsid w:val="4DF8727C"/>
    <w:rsid w:val="4E032857"/>
    <w:rsid w:val="4E345F3C"/>
    <w:rsid w:val="4E5D35AC"/>
    <w:rsid w:val="4E7740AE"/>
    <w:rsid w:val="4E8E6E5E"/>
    <w:rsid w:val="4EAC1FA9"/>
    <w:rsid w:val="4EB42C0C"/>
    <w:rsid w:val="4EBB33A4"/>
    <w:rsid w:val="4ED97E15"/>
    <w:rsid w:val="4EEC00FF"/>
    <w:rsid w:val="4EED60F1"/>
    <w:rsid w:val="4F075E30"/>
    <w:rsid w:val="4F473291"/>
    <w:rsid w:val="4F4C3F9F"/>
    <w:rsid w:val="4F517637"/>
    <w:rsid w:val="4F74239C"/>
    <w:rsid w:val="4F764366"/>
    <w:rsid w:val="4F833B28"/>
    <w:rsid w:val="4F86140E"/>
    <w:rsid w:val="4F887201"/>
    <w:rsid w:val="4F9D04EF"/>
    <w:rsid w:val="4F9D6046"/>
    <w:rsid w:val="4FAE1D52"/>
    <w:rsid w:val="4FF4589F"/>
    <w:rsid w:val="50072DF6"/>
    <w:rsid w:val="500876B4"/>
    <w:rsid w:val="504D3319"/>
    <w:rsid w:val="50505DDA"/>
    <w:rsid w:val="505C191E"/>
    <w:rsid w:val="50A224C3"/>
    <w:rsid w:val="50AA3AAB"/>
    <w:rsid w:val="50BB68C7"/>
    <w:rsid w:val="50C717A2"/>
    <w:rsid w:val="50CF3739"/>
    <w:rsid w:val="50D34EB9"/>
    <w:rsid w:val="50F814D6"/>
    <w:rsid w:val="50F965DE"/>
    <w:rsid w:val="511105CA"/>
    <w:rsid w:val="512027DB"/>
    <w:rsid w:val="51235BEF"/>
    <w:rsid w:val="51510BE7"/>
    <w:rsid w:val="516C04D8"/>
    <w:rsid w:val="51773DC7"/>
    <w:rsid w:val="517B02B6"/>
    <w:rsid w:val="518A29C3"/>
    <w:rsid w:val="51984A67"/>
    <w:rsid w:val="51A60E64"/>
    <w:rsid w:val="51C45020"/>
    <w:rsid w:val="51D91CC9"/>
    <w:rsid w:val="51DD5A08"/>
    <w:rsid w:val="51E27A91"/>
    <w:rsid w:val="52063438"/>
    <w:rsid w:val="5214789C"/>
    <w:rsid w:val="521F0CE5"/>
    <w:rsid w:val="52254B59"/>
    <w:rsid w:val="52263E21"/>
    <w:rsid w:val="522F1D0D"/>
    <w:rsid w:val="524D5BED"/>
    <w:rsid w:val="52641E2E"/>
    <w:rsid w:val="52691409"/>
    <w:rsid w:val="52720E14"/>
    <w:rsid w:val="52812CA2"/>
    <w:rsid w:val="52C16AE4"/>
    <w:rsid w:val="52CB4980"/>
    <w:rsid w:val="52CD6A64"/>
    <w:rsid w:val="530A54F1"/>
    <w:rsid w:val="53654E1D"/>
    <w:rsid w:val="53733096"/>
    <w:rsid w:val="53951EDF"/>
    <w:rsid w:val="53C42A66"/>
    <w:rsid w:val="53C6308D"/>
    <w:rsid w:val="53CA7236"/>
    <w:rsid w:val="53DD2CA6"/>
    <w:rsid w:val="54077C82"/>
    <w:rsid w:val="54232D0E"/>
    <w:rsid w:val="54505938"/>
    <w:rsid w:val="54AD25D8"/>
    <w:rsid w:val="54B629F7"/>
    <w:rsid w:val="54D5524A"/>
    <w:rsid w:val="5503195A"/>
    <w:rsid w:val="55356CAD"/>
    <w:rsid w:val="554A0B9A"/>
    <w:rsid w:val="554E4A3F"/>
    <w:rsid w:val="554E4E46"/>
    <w:rsid w:val="55674E7D"/>
    <w:rsid w:val="556F788D"/>
    <w:rsid w:val="55703933"/>
    <w:rsid w:val="55822B78"/>
    <w:rsid w:val="558C373C"/>
    <w:rsid w:val="55C07B41"/>
    <w:rsid w:val="55D87B28"/>
    <w:rsid w:val="55DA3572"/>
    <w:rsid w:val="56231C60"/>
    <w:rsid w:val="56321BBE"/>
    <w:rsid w:val="56472D9A"/>
    <w:rsid w:val="56482213"/>
    <w:rsid w:val="56666EE2"/>
    <w:rsid w:val="567C6C35"/>
    <w:rsid w:val="568A25C4"/>
    <w:rsid w:val="56903A29"/>
    <w:rsid w:val="56B77060"/>
    <w:rsid w:val="56C24277"/>
    <w:rsid w:val="56D6536B"/>
    <w:rsid w:val="56E12A0D"/>
    <w:rsid w:val="574A511C"/>
    <w:rsid w:val="574F07AA"/>
    <w:rsid w:val="575B74ED"/>
    <w:rsid w:val="577F50FB"/>
    <w:rsid w:val="57AD27D7"/>
    <w:rsid w:val="57C27DED"/>
    <w:rsid w:val="57C97313"/>
    <w:rsid w:val="57DA7108"/>
    <w:rsid w:val="57F819BA"/>
    <w:rsid w:val="586E02D0"/>
    <w:rsid w:val="58972636"/>
    <w:rsid w:val="58996A5D"/>
    <w:rsid w:val="589D4B4A"/>
    <w:rsid w:val="58C93758"/>
    <w:rsid w:val="58CC2A3F"/>
    <w:rsid w:val="58F05189"/>
    <w:rsid w:val="594A6F28"/>
    <w:rsid w:val="59847155"/>
    <w:rsid w:val="59900A67"/>
    <w:rsid w:val="59AF54A2"/>
    <w:rsid w:val="59E92304"/>
    <w:rsid w:val="59F9385F"/>
    <w:rsid w:val="5A094754"/>
    <w:rsid w:val="5A4D5105"/>
    <w:rsid w:val="5A5F43E0"/>
    <w:rsid w:val="5A676FC5"/>
    <w:rsid w:val="5A6C3D8A"/>
    <w:rsid w:val="5A6C60F1"/>
    <w:rsid w:val="5A8030BA"/>
    <w:rsid w:val="5AAE37B8"/>
    <w:rsid w:val="5AC02DF3"/>
    <w:rsid w:val="5B0B280A"/>
    <w:rsid w:val="5B136F0D"/>
    <w:rsid w:val="5B661732"/>
    <w:rsid w:val="5B96625D"/>
    <w:rsid w:val="5C230000"/>
    <w:rsid w:val="5C6A521E"/>
    <w:rsid w:val="5C9C590C"/>
    <w:rsid w:val="5CA11E65"/>
    <w:rsid w:val="5CEE0286"/>
    <w:rsid w:val="5D0F5DD4"/>
    <w:rsid w:val="5D2023A2"/>
    <w:rsid w:val="5D32612D"/>
    <w:rsid w:val="5DE85414"/>
    <w:rsid w:val="5E146927"/>
    <w:rsid w:val="5E1710F0"/>
    <w:rsid w:val="5E7345C0"/>
    <w:rsid w:val="5E8D2D85"/>
    <w:rsid w:val="5F1332C8"/>
    <w:rsid w:val="5F3959BF"/>
    <w:rsid w:val="5F415F85"/>
    <w:rsid w:val="5F462B37"/>
    <w:rsid w:val="5F585836"/>
    <w:rsid w:val="5F6228F0"/>
    <w:rsid w:val="5F81073D"/>
    <w:rsid w:val="5F9A586B"/>
    <w:rsid w:val="5FA573C3"/>
    <w:rsid w:val="5FE646DB"/>
    <w:rsid w:val="603B13E0"/>
    <w:rsid w:val="603E4A2C"/>
    <w:rsid w:val="605475ED"/>
    <w:rsid w:val="60610138"/>
    <w:rsid w:val="607357B5"/>
    <w:rsid w:val="60827AAC"/>
    <w:rsid w:val="60993B99"/>
    <w:rsid w:val="60CB2763"/>
    <w:rsid w:val="60F16FEE"/>
    <w:rsid w:val="610C5CAA"/>
    <w:rsid w:val="61271964"/>
    <w:rsid w:val="61325FD3"/>
    <w:rsid w:val="614F34F1"/>
    <w:rsid w:val="619332C0"/>
    <w:rsid w:val="61AF4BA8"/>
    <w:rsid w:val="61B256D1"/>
    <w:rsid w:val="61BF5EEB"/>
    <w:rsid w:val="61D63A3D"/>
    <w:rsid w:val="61D9131C"/>
    <w:rsid w:val="61F07923"/>
    <w:rsid w:val="61F117C9"/>
    <w:rsid w:val="61FD52DC"/>
    <w:rsid w:val="61FF70FC"/>
    <w:rsid w:val="622B0FE0"/>
    <w:rsid w:val="62A768B8"/>
    <w:rsid w:val="62BF7A36"/>
    <w:rsid w:val="62C8416D"/>
    <w:rsid w:val="62CE77E9"/>
    <w:rsid w:val="62F35027"/>
    <w:rsid w:val="63464005"/>
    <w:rsid w:val="636A12D8"/>
    <w:rsid w:val="63770128"/>
    <w:rsid w:val="63A45D0B"/>
    <w:rsid w:val="63A943A4"/>
    <w:rsid w:val="63F90FD0"/>
    <w:rsid w:val="642F76CF"/>
    <w:rsid w:val="64322AF9"/>
    <w:rsid w:val="6434080A"/>
    <w:rsid w:val="64475946"/>
    <w:rsid w:val="64D20A20"/>
    <w:rsid w:val="64D81EA8"/>
    <w:rsid w:val="64D8544F"/>
    <w:rsid w:val="652108FE"/>
    <w:rsid w:val="653B778C"/>
    <w:rsid w:val="65B31DA3"/>
    <w:rsid w:val="65BC08CD"/>
    <w:rsid w:val="65D920A6"/>
    <w:rsid w:val="65DB023B"/>
    <w:rsid w:val="65E62E58"/>
    <w:rsid w:val="65F1108D"/>
    <w:rsid w:val="661E50E3"/>
    <w:rsid w:val="662446C4"/>
    <w:rsid w:val="664C2F85"/>
    <w:rsid w:val="665935A9"/>
    <w:rsid w:val="665F1822"/>
    <w:rsid w:val="66731B16"/>
    <w:rsid w:val="6687622C"/>
    <w:rsid w:val="669059B2"/>
    <w:rsid w:val="66BB6DD6"/>
    <w:rsid w:val="67006EDF"/>
    <w:rsid w:val="6713078F"/>
    <w:rsid w:val="67564D51"/>
    <w:rsid w:val="675B40B3"/>
    <w:rsid w:val="67863248"/>
    <w:rsid w:val="67A43197"/>
    <w:rsid w:val="67F671D9"/>
    <w:rsid w:val="67F80FD7"/>
    <w:rsid w:val="68570D81"/>
    <w:rsid w:val="68692732"/>
    <w:rsid w:val="68787BEC"/>
    <w:rsid w:val="6894572D"/>
    <w:rsid w:val="68CA5534"/>
    <w:rsid w:val="68E51EE8"/>
    <w:rsid w:val="6931512E"/>
    <w:rsid w:val="6938470E"/>
    <w:rsid w:val="693D53BD"/>
    <w:rsid w:val="69736EF8"/>
    <w:rsid w:val="69882579"/>
    <w:rsid w:val="69930940"/>
    <w:rsid w:val="699E0646"/>
    <w:rsid w:val="69B53FB1"/>
    <w:rsid w:val="69D11BFF"/>
    <w:rsid w:val="69EF34E6"/>
    <w:rsid w:val="6A5C7A44"/>
    <w:rsid w:val="6A8B5F78"/>
    <w:rsid w:val="6A8D1497"/>
    <w:rsid w:val="6A9869F0"/>
    <w:rsid w:val="6ABC311D"/>
    <w:rsid w:val="6AEB6904"/>
    <w:rsid w:val="6B633C67"/>
    <w:rsid w:val="6BC61048"/>
    <w:rsid w:val="6BD80805"/>
    <w:rsid w:val="6BDA05D9"/>
    <w:rsid w:val="6BDFD4EB"/>
    <w:rsid w:val="6C0C538A"/>
    <w:rsid w:val="6C683824"/>
    <w:rsid w:val="6C6E5103"/>
    <w:rsid w:val="6C705F6D"/>
    <w:rsid w:val="6CAA56EB"/>
    <w:rsid w:val="6CBE07C1"/>
    <w:rsid w:val="6CDD144A"/>
    <w:rsid w:val="6D11778D"/>
    <w:rsid w:val="6D1411F8"/>
    <w:rsid w:val="6D205BE5"/>
    <w:rsid w:val="6D427919"/>
    <w:rsid w:val="6D571889"/>
    <w:rsid w:val="6D644EB5"/>
    <w:rsid w:val="6D803ADF"/>
    <w:rsid w:val="6E881535"/>
    <w:rsid w:val="6E8C3F43"/>
    <w:rsid w:val="6E8E3318"/>
    <w:rsid w:val="6EDC47DF"/>
    <w:rsid w:val="6EF01828"/>
    <w:rsid w:val="6EF8049C"/>
    <w:rsid w:val="6F321C00"/>
    <w:rsid w:val="6F5C38FE"/>
    <w:rsid w:val="6FB85E0E"/>
    <w:rsid w:val="6FD90922"/>
    <w:rsid w:val="6FD9207B"/>
    <w:rsid w:val="6FF173C5"/>
    <w:rsid w:val="701C0FC2"/>
    <w:rsid w:val="70245DBF"/>
    <w:rsid w:val="703A6747"/>
    <w:rsid w:val="7094237B"/>
    <w:rsid w:val="70962BA0"/>
    <w:rsid w:val="70DD1A5F"/>
    <w:rsid w:val="70FD3DED"/>
    <w:rsid w:val="711D4D36"/>
    <w:rsid w:val="71245578"/>
    <w:rsid w:val="714D5FF3"/>
    <w:rsid w:val="71502811"/>
    <w:rsid w:val="71844E20"/>
    <w:rsid w:val="71AA3CCF"/>
    <w:rsid w:val="71DC4F8C"/>
    <w:rsid w:val="720F60D8"/>
    <w:rsid w:val="721F76B7"/>
    <w:rsid w:val="72290EB1"/>
    <w:rsid w:val="7236641E"/>
    <w:rsid w:val="72444124"/>
    <w:rsid w:val="724E34FA"/>
    <w:rsid w:val="7259197D"/>
    <w:rsid w:val="72B25B0F"/>
    <w:rsid w:val="72B319E3"/>
    <w:rsid w:val="72E74AAF"/>
    <w:rsid w:val="72EE22E1"/>
    <w:rsid w:val="7337F923"/>
    <w:rsid w:val="734E7CA5"/>
    <w:rsid w:val="737207E2"/>
    <w:rsid w:val="74094202"/>
    <w:rsid w:val="74191F25"/>
    <w:rsid w:val="7464627A"/>
    <w:rsid w:val="747D56CB"/>
    <w:rsid w:val="748C1DB2"/>
    <w:rsid w:val="74C17B0B"/>
    <w:rsid w:val="74CB192B"/>
    <w:rsid w:val="755A4944"/>
    <w:rsid w:val="758555CB"/>
    <w:rsid w:val="758C5E07"/>
    <w:rsid w:val="75C74F49"/>
    <w:rsid w:val="760A11E0"/>
    <w:rsid w:val="76432944"/>
    <w:rsid w:val="766208FA"/>
    <w:rsid w:val="7662754C"/>
    <w:rsid w:val="76695D3F"/>
    <w:rsid w:val="766C20CF"/>
    <w:rsid w:val="766F3739"/>
    <w:rsid w:val="76C33FCA"/>
    <w:rsid w:val="76FFE890"/>
    <w:rsid w:val="77004ECE"/>
    <w:rsid w:val="771855EA"/>
    <w:rsid w:val="77355E25"/>
    <w:rsid w:val="77587450"/>
    <w:rsid w:val="776928D3"/>
    <w:rsid w:val="777C48AB"/>
    <w:rsid w:val="77832225"/>
    <w:rsid w:val="77884AB3"/>
    <w:rsid w:val="778A58F9"/>
    <w:rsid w:val="778A61BA"/>
    <w:rsid w:val="77BF599A"/>
    <w:rsid w:val="77CA0CFA"/>
    <w:rsid w:val="77E726AA"/>
    <w:rsid w:val="781E71C5"/>
    <w:rsid w:val="78397B5B"/>
    <w:rsid w:val="7886472D"/>
    <w:rsid w:val="78965BE7"/>
    <w:rsid w:val="78B673FD"/>
    <w:rsid w:val="78BD69DE"/>
    <w:rsid w:val="78DB311C"/>
    <w:rsid w:val="78EF71BC"/>
    <w:rsid w:val="790B1A57"/>
    <w:rsid w:val="790C6F00"/>
    <w:rsid w:val="790F3F17"/>
    <w:rsid w:val="792F106A"/>
    <w:rsid w:val="79351E2D"/>
    <w:rsid w:val="793B7548"/>
    <w:rsid w:val="793C43A2"/>
    <w:rsid w:val="793E2CD3"/>
    <w:rsid w:val="7941194A"/>
    <w:rsid w:val="79684DBF"/>
    <w:rsid w:val="797F5A41"/>
    <w:rsid w:val="79806B30"/>
    <w:rsid w:val="79BD2A0E"/>
    <w:rsid w:val="79D2406A"/>
    <w:rsid w:val="79F2574D"/>
    <w:rsid w:val="7A046FBB"/>
    <w:rsid w:val="7A113C00"/>
    <w:rsid w:val="7A390004"/>
    <w:rsid w:val="7A875741"/>
    <w:rsid w:val="7AA92443"/>
    <w:rsid w:val="7AF661D7"/>
    <w:rsid w:val="7AFB559C"/>
    <w:rsid w:val="7B315BE6"/>
    <w:rsid w:val="7B346CFF"/>
    <w:rsid w:val="7B505DBF"/>
    <w:rsid w:val="7B51165F"/>
    <w:rsid w:val="7B711D02"/>
    <w:rsid w:val="7B7F7F7B"/>
    <w:rsid w:val="7B95453E"/>
    <w:rsid w:val="7BAF762E"/>
    <w:rsid w:val="7BCA03EF"/>
    <w:rsid w:val="7C15268D"/>
    <w:rsid w:val="7C281F08"/>
    <w:rsid w:val="7C442F72"/>
    <w:rsid w:val="7C492337"/>
    <w:rsid w:val="7CBB76D8"/>
    <w:rsid w:val="7CC7512A"/>
    <w:rsid w:val="7CCA16C9"/>
    <w:rsid w:val="7CDB5685"/>
    <w:rsid w:val="7CE904FA"/>
    <w:rsid w:val="7CF77FE5"/>
    <w:rsid w:val="7CF93D5D"/>
    <w:rsid w:val="7D6733BC"/>
    <w:rsid w:val="7D77A62A"/>
    <w:rsid w:val="7D834979"/>
    <w:rsid w:val="7DD16A88"/>
    <w:rsid w:val="7DD4493E"/>
    <w:rsid w:val="7DDD71DA"/>
    <w:rsid w:val="7DE82141"/>
    <w:rsid w:val="7DF453A3"/>
    <w:rsid w:val="7DFF70C0"/>
    <w:rsid w:val="7E166EE6"/>
    <w:rsid w:val="7E1D51E2"/>
    <w:rsid w:val="7E5053C8"/>
    <w:rsid w:val="7E5535E5"/>
    <w:rsid w:val="7E76232C"/>
    <w:rsid w:val="7E90249F"/>
    <w:rsid w:val="7E991353"/>
    <w:rsid w:val="7EE2143C"/>
    <w:rsid w:val="7EF413ED"/>
    <w:rsid w:val="7EFB3DBC"/>
    <w:rsid w:val="7EFB507F"/>
    <w:rsid w:val="7F226F7E"/>
    <w:rsid w:val="7F234555"/>
    <w:rsid w:val="7F36269D"/>
    <w:rsid w:val="7F367E3D"/>
    <w:rsid w:val="7F473167"/>
    <w:rsid w:val="7F485F59"/>
    <w:rsid w:val="7F4C286A"/>
    <w:rsid w:val="7F572FBC"/>
    <w:rsid w:val="7F5A2D7D"/>
    <w:rsid w:val="7F6372EC"/>
    <w:rsid w:val="7F777B28"/>
    <w:rsid w:val="7F777E38"/>
    <w:rsid w:val="7FAE52D2"/>
    <w:rsid w:val="7FB63DE6"/>
    <w:rsid w:val="7FB75976"/>
    <w:rsid w:val="7FD420D3"/>
    <w:rsid w:val="7FD74314"/>
    <w:rsid w:val="7FEE56CF"/>
    <w:rsid w:val="7FEF2354"/>
    <w:rsid w:val="867618A8"/>
    <w:rsid w:val="9D27242F"/>
    <w:rsid w:val="BBF761EF"/>
    <w:rsid w:val="BF0D2D37"/>
    <w:rsid w:val="C7FFC0D2"/>
    <w:rsid w:val="CF6D9C10"/>
    <w:rsid w:val="D6F3B8CD"/>
    <w:rsid w:val="DB93A106"/>
    <w:rsid w:val="DB9BB171"/>
    <w:rsid w:val="F9BF6D4C"/>
    <w:rsid w:val="FEDEB64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宋体" w:cs="Times New Roman"/>
      <w:sz w:val="22"/>
      <w:szCs w:val="22"/>
      <w:lang w:val="en-US" w:eastAsia="en-US" w:bidi="en-US"/>
    </w:rPr>
  </w:style>
  <w:style w:type="paragraph" w:styleId="2">
    <w:name w:val="heading 2"/>
    <w:basedOn w:val="1"/>
    <w:next w:val="1"/>
    <w:qFormat/>
    <w:uiPriority w:val="0"/>
    <w:pPr>
      <w:tabs>
        <w:tab w:val="left" w:pos="0"/>
        <w:tab w:val="left" w:pos="105"/>
      </w:tabs>
      <w:spacing w:afterLines="50" w:line="240" w:lineRule="auto"/>
      <w:jc w:val="center"/>
      <w:outlineLvl w:val="1"/>
    </w:pPr>
    <w:rPr>
      <w:rFonts w:eastAsia="黑体"/>
      <w:sz w:val="36"/>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firstLineChars="200"/>
    </w:pPr>
    <w:rPr>
      <w:kern w:val="2"/>
      <w:sz w:val="21"/>
      <w:szCs w:val="24"/>
      <w:lang w:bidi="ar-SA"/>
    </w:rPr>
  </w:style>
  <w:style w:type="paragraph" w:styleId="6">
    <w:name w:val="Body Text"/>
    <w:basedOn w:val="1"/>
    <w:qFormat/>
    <w:uiPriority w:val="0"/>
    <w:pPr>
      <w:spacing w:after="120"/>
    </w:pPr>
    <w:rPr>
      <w:kern w:val="2"/>
      <w:sz w:val="21"/>
      <w:szCs w:val="24"/>
      <w:lang w:bidi="ar-SA"/>
    </w:rPr>
  </w:style>
  <w:style w:type="paragraph" w:styleId="7">
    <w:name w:val="Date"/>
    <w:basedOn w:val="1"/>
    <w:next w:val="1"/>
    <w:qFormat/>
    <w:uiPriority w:val="0"/>
    <w:rPr>
      <w:kern w:val="2"/>
      <w:sz w:val="24"/>
      <w:szCs w:val="20"/>
      <w:lang w:bidi="ar-SA"/>
    </w:rPr>
  </w:style>
  <w:style w:type="paragraph" w:styleId="8">
    <w:name w:val="footer"/>
    <w:basedOn w:val="1"/>
    <w:qFormat/>
    <w:uiPriority w:val="0"/>
    <w:pPr>
      <w:tabs>
        <w:tab w:val="center" w:pos="4153"/>
        <w:tab w:val="right" w:pos="8306"/>
      </w:tabs>
      <w:snapToGrid w:val="0"/>
    </w:pPr>
    <w:rPr>
      <w:kern w:val="2"/>
      <w:sz w:val="18"/>
      <w:szCs w:val="18"/>
      <w:lang w:bidi="ar-SA"/>
    </w:rPr>
  </w:style>
  <w:style w:type="paragraph" w:styleId="9">
    <w:name w:val="header"/>
    <w:basedOn w:val="1"/>
    <w:qFormat/>
    <w:uiPriority w:val="0"/>
    <w:pPr>
      <w:pBdr>
        <w:bottom w:val="single" w:color="auto" w:sz="6" w:space="1"/>
      </w:pBdr>
      <w:tabs>
        <w:tab w:val="center" w:pos="4153"/>
        <w:tab w:val="right" w:pos="8306"/>
      </w:tabs>
      <w:snapToGrid w:val="0"/>
      <w:jc w:val="center"/>
    </w:pPr>
    <w:rPr>
      <w:kern w:val="2"/>
      <w:sz w:val="18"/>
      <w:szCs w:val="18"/>
      <w:lang w:bidi="ar-SA"/>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styleId="12">
    <w:name w:val="Body Text First Indent"/>
    <w:basedOn w:val="6"/>
    <w:unhideWhenUsed/>
    <w:qFormat/>
    <w:uiPriority w:val="99"/>
    <w:pPr>
      <w:snapToGrid w:val="0"/>
      <w:ind w:firstLine="420" w:firstLineChars="100"/>
    </w:pPr>
    <w:rPr>
      <w:rFonts w:eastAsia="微软雅黑"/>
    </w:rPr>
  </w:style>
  <w:style w:type="table" w:styleId="14">
    <w:name w:val="Table Grid"/>
    <w:basedOn w:val="1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page number"/>
    <w:qFormat/>
    <w:uiPriority w:val="0"/>
  </w:style>
  <w:style w:type="character" w:styleId="17">
    <w:name w:val="Hyperlink"/>
    <w:qFormat/>
    <w:uiPriority w:val="99"/>
    <w:rPr>
      <w:color w:val="0000FF"/>
      <w:u w:val="single"/>
    </w:rPr>
  </w:style>
  <w:style w:type="paragraph" w:customStyle="1" w:styleId="18">
    <w:name w:val="PwC Normal"/>
    <w:basedOn w:val="1"/>
    <w:qFormat/>
    <w:uiPriority w:val="99"/>
    <w:pPr>
      <w:spacing w:before="180" w:after="180" w:line="240" w:lineRule="atLeast"/>
    </w:pPr>
  </w:style>
  <w:style w:type="paragraph" w:customStyle="1" w:styleId="19">
    <w:name w:val="BodyText1I"/>
    <w:basedOn w:val="20"/>
    <w:qFormat/>
    <w:uiPriority w:val="99"/>
    <w:pPr>
      <w:ind w:firstLine="420" w:firstLineChars="100"/>
    </w:pPr>
    <w:rPr>
      <w:szCs w:val="21"/>
      <w:lang w:val="zh-CN"/>
    </w:rPr>
  </w:style>
  <w:style w:type="paragraph" w:customStyle="1" w:styleId="20">
    <w:name w:val="BodyText"/>
    <w:basedOn w:val="1"/>
    <w:qFormat/>
    <w:uiPriority w:val="99"/>
    <w:pPr>
      <w:spacing w:after="120"/>
      <w:textAlignment w:val="baseline"/>
    </w:pPr>
  </w:style>
  <w:style w:type="paragraph" w:customStyle="1" w:styleId="21">
    <w:name w:val="列出段落1"/>
    <w:basedOn w:val="1"/>
    <w:qFormat/>
    <w:uiPriority w:val="0"/>
    <w:pPr>
      <w:ind w:firstLine="420" w:firstLineChars="200"/>
    </w:pPr>
  </w:style>
  <w:style w:type="paragraph" w:styleId="22">
    <w:name w:val="List Paragraph"/>
    <w:basedOn w:val="1"/>
    <w:qFormat/>
    <w:uiPriority w:val="34"/>
    <w:pPr>
      <w:ind w:firstLine="420" w:firstLineChars="200"/>
    </w:pPr>
  </w:style>
  <w:style w:type="paragraph" w:customStyle="1" w:styleId="23">
    <w:name w:val="WPSOffice手动目录 1"/>
    <w:qFormat/>
    <w:uiPriority w:val="0"/>
    <w:rPr>
      <w:rFonts w:ascii="Times New Roman" w:hAnsi="Times New Roman" w:eastAsia="宋体" w:cs="Times New Roman"/>
      <w:lang w:val="en-US" w:eastAsia="zh-CN" w:bidi="ar-SA"/>
    </w:rPr>
  </w:style>
  <w:style w:type="paragraph" w:customStyle="1" w:styleId="24">
    <w:name w:val="WPSOffice手动目录 2"/>
    <w:qFormat/>
    <w:uiPriority w:val="0"/>
    <w:pPr>
      <w:ind w:left="200" w:leftChars="200"/>
    </w:pPr>
    <w:rPr>
      <w:rFonts w:ascii="Times New Roman" w:hAnsi="Times New Roman" w:eastAsia="宋体" w:cs="Times New Roman"/>
      <w:lang w:val="en-US" w:eastAsia="zh-CN" w:bidi="ar-SA"/>
    </w:rPr>
  </w:style>
  <w:style w:type="table" w:customStyle="1" w:styleId="25">
    <w:name w:val="Table Normal"/>
    <w:semiHidden/>
    <w:unhideWhenUsed/>
    <w:qFormat/>
    <w:uiPriority w:val="2"/>
    <w:tblPr>
      <w:tblCellMar>
        <w:top w:w="0" w:type="dxa"/>
        <w:left w:w="0" w:type="dxa"/>
        <w:bottom w:w="0" w:type="dxa"/>
        <w:right w:w="0" w:type="dxa"/>
      </w:tblCellMar>
    </w:tblPr>
  </w:style>
  <w:style w:type="character" w:customStyle="1" w:styleId="26">
    <w:name w:val="font41"/>
    <w:basedOn w:val="15"/>
    <w:qFormat/>
    <w:uiPriority w:val="0"/>
    <w:rPr>
      <w:rFonts w:hint="eastAsia" w:ascii="宋体" w:hAnsi="宋体" w:eastAsia="宋体" w:cs="宋体"/>
      <w:b/>
      <w:bCs/>
      <w:color w:val="000000"/>
      <w:sz w:val="22"/>
      <w:szCs w:val="22"/>
      <w:u w:val="none"/>
    </w:rPr>
  </w:style>
  <w:style w:type="character" w:customStyle="1" w:styleId="27">
    <w:name w:val="font51"/>
    <w:basedOn w:val="15"/>
    <w:qFormat/>
    <w:uiPriority w:val="0"/>
    <w:rPr>
      <w:rFonts w:hint="eastAsia" w:ascii="宋体" w:hAnsi="宋体" w:eastAsia="宋体" w:cs="宋体"/>
      <w:color w:val="000000"/>
      <w:sz w:val="24"/>
      <w:szCs w:val="24"/>
      <w:u w:val="none"/>
    </w:rPr>
  </w:style>
  <w:style w:type="character" w:customStyle="1" w:styleId="28">
    <w:name w:val="font61"/>
    <w:basedOn w:val="15"/>
    <w:qFormat/>
    <w:uiPriority w:val="0"/>
    <w:rPr>
      <w:rFonts w:ascii="楷体" w:hAnsi="楷体" w:eastAsia="楷体" w:cs="楷体"/>
      <w:color w:val="000000"/>
      <w:sz w:val="24"/>
      <w:szCs w:val="24"/>
      <w:u w:val="none"/>
    </w:rPr>
  </w:style>
  <w:style w:type="paragraph" w:customStyle="1" w:styleId="29">
    <w:name w:val="Body text|1"/>
    <w:basedOn w:val="1"/>
    <w:link w:val="30"/>
    <w:qFormat/>
    <w:uiPriority w:val="0"/>
    <w:pPr>
      <w:widowControl w:val="0"/>
      <w:shd w:val="clear" w:color="auto" w:fill="auto"/>
      <w:spacing w:after="120"/>
    </w:pPr>
    <w:rPr>
      <w:rFonts w:ascii="宋体" w:hAnsi="宋体" w:eastAsia="宋体" w:cs="宋体"/>
      <w:b/>
      <w:bCs/>
      <w:sz w:val="20"/>
      <w:szCs w:val="20"/>
      <w:u w:val="none"/>
      <w:lang w:val="ko-KR" w:eastAsia="ko-KR" w:bidi="ko-KR"/>
    </w:rPr>
  </w:style>
  <w:style w:type="character" w:customStyle="1" w:styleId="30">
    <w:name w:val="Body text|1_"/>
    <w:basedOn w:val="15"/>
    <w:link w:val="29"/>
    <w:qFormat/>
    <w:uiPriority w:val="0"/>
    <w:rPr>
      <w:rFonts w:ascii="宋体" w:hAnsi="宋体" w:eastAsia="宋体" w:cs="宋体"/>
      <w:b/>
      <w:bCs/>
      <w:sz w:val="20"/>
      <w:szCs w:val="20"/>
      <w:u w:val="none"/>
      <w:lang w:val="ko-KR" w:eastAsia="ko-KR" w:bidi="ko-KR"/>
    </w:rPr>
  </w:style>
  <w:style w:type="paragraph" w:customStyle="1" w:styleId="31">
    <w:name w:val="Other|1"/>
    <w:basedOn w:val="1"/>
    <w:link w:val="32"/>
    <w:qFormat/>
    <w:uiPriority w:val="0"/>
    <w:pPr>
      <w:widowControl w:val="0"/>
      <w:shd w:val="clear" w:color="auto" w:fill="auto"/>
      <w:jc w:val="center"/>
    </w:pPr>
    <w:rPr>
      <w:sz w:val="18"/>
      <w:szCs w:val="18"/>
      <w:u w:val="none"/>
      <w:lang w:val="ko-KR" w:eastAsia="ko-KR" w:bidi="ko-KR"/>
    </w:rPr>
  </w:style>
  <w:style w:type="character" w:customStyle="1" w:styleId="32">
    <w:name w:val="Other|1_"/>
    <w:basedOn w:val="15"/>
    <w:link w:val="31"/>
    <w:qFormat/>
    <w:uiPriority w:val="0"/>
    <w:rPr>
      <w:sz w:val="18"/>
      <w:szCs w:val="18"/>
      <w:u w:val="none"/>
      <w:lang w:val="ko-KR" w:eastAsia="ko-KR" w:bidi="ko-K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1696</Words>
  <Characters>1792</Characters>
  <Lines>194</Lines>
  <Paragraphs>54</Paragraphs>
  <TotalTime>2</TotalTime>
  <ScaleCrop>false</ScaleCrop>
  <LinksUpToDate>false</LinksUpToDate>
  <CharactersWithSpaces>1797</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2023-06-12T01:56:00Z</dcterms:created>
  <dc:creator>Administrator</dc:creator>
  <cp:lastModifiedBy>104233-杨华</cp:lastModifiedBy>
  <cp:lastPrinted>2023-06-03T05:14:00Z</cp:lastPrinted>
  <dcterms:modified xsi:type="dcterms:W3CDTF">2026-07-02T05:51:53Z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ICV">
    <vt:lpwstr>6336FAFD39F0478A8349A13D12C412DD_13</vt:lpwstr>
  </property>
</Properties>
</file>