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半年2期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16A92D24">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版本号：V2.0-2026.02</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p>
    <w:p w14:paraId="1B154588">
      <w:pPr>
        <w:ind w:right="-6519" w:rightChars="-2963" w:firstLine="480" w:firstLineChars="200"/>
        <w:rPr>
          <w:rFonts w:ascii="Times New Roman" w:hAnsi="黑体" w:eastAsia="黑体" w:cs="Times New Roman"/>
          <w:sz w:val="24"/>
          <w:szCs w:val="24"/>
          <w:lang w:eastAsia="zh-CN"/>
        </w:rPr>
      </w:pPr>
    </w:p>
    <w:p w14:paraId="2A8247A7">
      <w:pPr>
        <w:pStyle w:val="9"/>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9"/>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9"/>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9"/>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9"/>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pageBreakBefore w:val="0"/>
        <w:widowControl/>
        <w:suppressLineNumbers w:val="0"/>
        <w:kinsoku/>
        <w:wordWrap w:val="0"/>
        <w:overflowPunct/>
        <w:topLinePunct w:val="0"/>
        <w:autoSpaceDE/>
        <w:autoSpaceDN/>
        <w:bidi w:val="0"/>
        <w:adjustRightInd/>
        <w:snapToGrid/>
        <w:spacing w:line="240" w:lineRule="auto"/>
        <w:ind w:firstLine="402" w:firstLineChars="200"/>
        <w:jc w:val="left"/>
        <w:textAlignment w:val="auto"/>
        <w:rPr>
          <w:rFonts w:hint="eastAsia" w:ascii="仿宋_GB2312" w:hAnsi="仿宋_GB2312" w:eastAsia="仿宋_GB2312" w:cs="仿宋_GB2312"/>
          <w:b/>
          <w:bCs/>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snapToGrid w:val="0"/>
          <w:color w:val="000000"/>
          <w:kern w:val="0"/>
          <w:sz w:val="20"/>
          <w:szCs w:val="20"/>
          <w:highlight w:val="none"/>
          <w:lang w:val="en-US" w:eastAsia="zh-CN"/>
        </w:rPr>
        <w:t>指贵阳农村商业银行股份有限公司，官方网站为（https://www.gznxbank.com/html/2010000/index.html）。</w:t>
      </w:r>
      <w:r>
        <w:rPr>
          <w:rFonts w:hint="eastAsia" w:ascii="仿宋_GB2312" w:hAnsi="仿宋_GB2312" w:eastAsia="仿宋_GB2312" w:cs="仿宋_GB2312"/>
          <w:snapToGrid w:val="0"/>
          <w:color w:val="000000"/>
          <w:kern w:val="0"/>
          <w:sz w:val="24"/>
          <w:szCs w:val="24"/>
          <w:highlight w:val="none"/>
          <w:lang w:val="en-US" w:eastAsia="zh-CN"/>
        </w:rPr>
        <w:t xml:space="preserve">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19658F42">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14.赎回宽限期：指对未在开放期赎回的存量投资者另行开放的可申请赎回的时间段。</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超值宝定开半年2期理财产品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22.赎回：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23.巨额赎回: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24.</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0"/>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半年2</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GRCB02202300</w:t>
            </w:r>
            <w:r>
              <w:rPr>
                <w:rFonts w:hint="eastAsia" w:ascii="仿宋_GB2312" w:hAnsi="Times New Roman" w:eastAsia="仿宋_GB2312" w:cs="Times New Roman"/>
                <w:sz w:val="20"/>
                <w:lang w:val="en-US" w:eastAsia="zh-CN"/>
              </w:rPr>
              <w:t>4</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9"/>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0A08B171">
            <w:pPr>
              <w:pStyle w:val="9"/>
              <w:ind w:left="10" w:leftChars="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C11883230001</w:t>
            </w:r>
            <w:r>
              <w:rPr>
                <w:rFonts w:hint="eastAsia" w:ascii="仿宋_GB2312" w:hAnsi="Times New Roman" w:eastAsia="仿宋_GB2312" w:cs="Times New Roman"/>
                <w:sz w:val="20"/>
                <w:lang w:val="en-US" w:eastAsia="zh-CN"/>
              </w:rPr>
              <w:t>40</w:t>
            </w:r>
          </w:p>
          <w:p w14:paraId="55A45E14">
            <w:pPr>
              <w:pStyle w:val="9"/>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9"/>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9"/>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9"/>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9"/>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9"/>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9"/>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9"/>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9"/>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9"/>
              <w:jc w:val="center"/>
              <w:rPr>
                <w:rFonts w:hint="eastAsia" w:ascii="仿宋_GB2312" w:hAnsi="Times New Roman" w:eastAsia="仿宋_GB2312" w:cs="Times New Roman"/>
                <w:sz w:val="20"/>
                <w:szCs w:val="18"/>
                <w:u w:val="single"/>
                <w:lang w:val="en-US" w:eastAsia="zh-CN"/>
              </w:rPr>
            </w:pPr>
          </w:p>
          <w:p w14:paraId="56721A3B">
            <w:pPr>
              <w:pStyle w:val="9"/>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9"/>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9"/>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9"/>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9"/>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20000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9"/>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9"/>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2.0</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3.0</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9"/>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9"/>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9"/>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2023</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2023</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12</w:t>
            </w:r>
            <w:r>
              <w:rPr>
                <w:rFonts w:hint="eastAsia" w:ascii="仿宋_GB2312" w:hAnsi="Times New Roman" w:eastAsia="仿宋_GB2312" w:cs="Times New Roman"/>
                <w:b w:val="0"/>
                <w:bCs w:val="0"/>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16:59</w:t>
            </w:r>
          </w:p>
          <w:p w14:paraId="75739C2B">
            <w:pPr>
              <w:pStyle w:val="9"/>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9"/>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半</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9"/>
              <w:ind w:left="26"/>
              <w:jc w:val="both"/>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1</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b w:val="0"/>
                <w:bCs w:val="0"/>
                <w:sz w:val="20"/>
                <w:szCs w:val="18"/>
                <w:u w:val="none"/>
                <w:lang w:val="en-US" w:eastAsia="zh-CN"/>
              </w:rPr>
              <w:t>、</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12</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9"/>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2023</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12</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2</w:t>
            </w:r>
            <w:bookmarkStart w:id="0" w:name="_GoBack"/>
            <w:bookmarkEnd w:id="0"/>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日</w:t>
            </w:r>
          </w:p>
          <w:p w14:paraId="1383C962">
            <w:pPr>
              <w:pStyle w:val="9"/>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9"/>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9"/>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9"/>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9"/>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9"/>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9"/>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9"/>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9"/>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9"/>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9"/>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9"/>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9"/>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9"/>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9"/>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9"/>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02707BF">
        <w:tblPrEx>
          <w:tblCellMar>
            <w:top w:w="0" w:type="dxa"/>
            <w:left w:w="0" w:type="dxa"/>
            <w:bottom w:w="0" w:type="dxa"/>
            <w:right w:w="0" w:type="dxa"/>
          </w:tblCellMar>
        </w:tblPrEx>
        <w:trPr>
          <w:trHeight w:val="548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132CAB">
            <w:pPr>
              <w:pStyle w:val="9"/>
              <w:jc w:val="center"/>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color w:val="auto"/>
                <w:sz w:val="20"/>
                <w:szCs w:val="18"/>
                <w:highlight w:val="none"/>
                <w:lang w:val="en-US" w:eastAsia="zh-CN"/>
              </w:rPr>
              <w:t>赎回宽限期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5DFC6968">
            <w:pPr>
              <w:pStyle w:val="3"/>
              <w:numPr>
                <w:ilvl w:val="-1"/>
                <w:numId w:val="0"/>
              </w:numPr>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1.赎回宽限期</w:t>
            </w:r>
          </w:p>
          <w:p w14:paraId="5D2D5747">
            <w:pPr>
              <w:pStyle w:val="3"/>
              <w:numPr>
                <w:ilvl w:val="-1"/>
                <w:numId w:val="0"/>
              </w:numPr>
              <w:ind w:left="0" w:right="153"/>
              <w:rPr>
                <w:rFonts w:hint="eastAsia" w:ascii="仿宋_GB2312" w:hAnsi="Times New Roman" w:eastAsia="仿宋_GB2312" w:cs="Times New Roman"/>
                <w:b w:val="0"/>
                <w:bCs w:val="0"/>
                <w:color w:val="auto"/>
                <w:sz w:val="20"/>
                <w:szCs w:val="18"/>
                <w:highlight w:val="none"/>
                <w:lang w:eastAsia="zh-CN"/>
              </w:rPr>
            </w:pPr>
            <w:r>
              <w:rPr>
                <w:rFonts w:hint="eastAsia" w:ascii="仿宋_GB2312" w:hAnsi="Times New Roman" w:eastAsia="仿宋_GB2312" w:cs="Times New Roman"/>
                <w:b w:val="0"/>
                <w:bCs w:val="0"/>
                <w:color w:val="auto"/>
                <w:sz w:val="20"/>
                <w:szCs w:val="18"/>
                <w:highlight w:val="none"/>
                <w:lang w:val="en-US" w:eastAsia="zh-CN"/>
              </w:rPr>
              <w:t>赎回宽限期由贵阳农商银行根据开放期情况在贵阳农商银行官方网站另行通知，</w:t>
            </w:r>
            <w:r>
              <w:rPr>
                <w:rFonts w:hint="eastAsia" w:ascii="仿宋_GB2312" w:hAnsi="Times New Roman" w:eastAsia="仿宋_GB2312" w:cs="Times New Roman"/>
                <w:b w:val="0"/>
                <w:bCs w:val="0"/>
                <w:color w:val="auto"/>
                <w:sz w:val="20"/>
                <w:szCs w:val="18"/>
                <w:highlight w:val="none"/>
                <w:lang w:eastAsia="zh-CN"/>
              </w:rPr>
              <w:t>投资者可在该期间</w:t>
            </w:r>
            <w:r>
              <w:rPr>
                <w:rFonts w:hint="eastAsia" w:ascii="仿宋_GB2312" w:hAnsi="Times New Roman" w:eastAsia="仿宋_GB2312" w:cs="Times New Roman"/>
                <w:b w:val="0"/>
                <w:bCs w:val="0"/>
                <w:color w:val="auto"/>
                <w:sz w:val="20"/>
                <w:szCs w:val="18"/>
                <w:highlight w:val="none"/>
                <w:lang w:val="en-US" w:eastAsia="zh-CN"/>
              </w:rPr>
              <w:t>进行产品</w:t>
            </w:r>
            <w:r>
              <w:rPr>
                <w:rFonts w:hint="eastAsia" w:ascii="仿宋_GB2312" w:hAnsi="Times New Roman" w:eastAsia="仿宋_GB2312" w:cs="Times New Roman"/>
                <w:b w:val="0"/>
                <w:bCs w:val="0"/>
                <w:color w:val="auto"/>
                <w:sz w:val="20"/>
                <w:szCs w:val="18"/>
                <w:highlight w:val="none"/>
                <w:lang w:eastAsia="zh-CN"/>
              </w:rPr>
              <w:t>赎回，</w:t>
            </w:r>
            <w:r>
              <w:rPr>
                <w:rFonts w:hint="eastAsia" w:ascii="仿宋_GB2312" w:hAnsi="Times New Roman" w:eastAsia="仿宋_GB2312" w:cs="Times New Roman"/>
                <w:b w:val="0"/>
                <w:bCs w:val="0"/>
                <w:color w:val="auto"/>
                <w:sz w:val="20"/>
                <w:szCs w:val="18"/>
                <w:highlight w:val="none"/>
                <w:lang w:val="en-US" w:eastAsia="zh-CN"/>
              </w:rPr>
              <w:t>但不可进行申购。</w:t>
            </w:r>
            <w:r>
              <w:rPr>
                <w:rFonts w:hint="eastAsia" w:ascii="仿宋_GB2312" w:hAnsi="Times New Roman" w:eastAsia="仿宋_GB2312" w:cs="Times New Roman"/>
                <w:b w:val="0"/>
                <w:bCs w:val="0"/>
                <w:color w:val="auto"/>
                <w:sz w:val="20"/>
                <w:szCs w:val="18"/>
                <w:highlight w:val="none"/>
                <w:lang w:eastAsia="zh-CN"/>
              </w:rPr>
              <w:t>若</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最后一日遇</w:t>
            </w:r>
            <w:r>
              <w:rPr>
                <w:rFonts w:hint="eastAsia" w:ascii="仿宋_GB2312" w:hAnsi="Times New Roman" w:eastAsia="仿宋_GB2312" w:cs="Times New Roman"/>
                <w:b w:val="0"/>
                <w:bCs w:val="0"/>
                <w:color w:val="auto"/>
                <w:sz w:val="20"/>
                <w:szCs w:val="18"/>
                <w:highlight w:val="none"/>
                <w:lang w:val="en-US" w:eastAsia="zh-CN"/>
              </w:rPr>
              <w:t>非工作日</w:t>
            </w:r>
            <w:r>
              <w:rPr>
                <w:rFonts w:hint="eastAsia" w:ascii="仿宋_GB2312" w:hAnsi="Times New Roman" w:eastAsia="仿宋_GB2312" w:cs="Times New Roman"/>
                <w:b w:val="0"/>
                <w:bCs w:val="0"/>
                <w:color w:val="auto"/>
                <w:sz w:val="20"/>
                <w:szCs w:val="18"/>
                <w:highlight w:val="none"/>
                <w:lang w:eastAsia="zh-CN"/>
              </w:rPr>
              <w:t>，则顺延至下一个工作日。</w:t>
            </w:r>
          </w:p>
          <w:p w14:paraId="4717D396">
            <w:pPr>
              <w:pStyle w:val="3"/>
              <w:numPr>
                <w:ilvl w:val="-1"/>
                <w:numId w:val="0"/>
              </w:numPr>
              <w:ind w:left="0" w:right="153"/>
              <w:rPr>
                <w:rFonts w:hint="eastAsia" w:ascii="仿宋_GB2312" w:eastAsia="仿宋_GB2312" w:cs="Times New Roman" w:hAnsiTheme="minorEastAsia"/>
                <w:b/>
                <w:bCs/>
                <w:color w:val="auto"/>
                <w:sz w:val="20"/>
                <w:szCs w:val="18"/>
                <w:highlight w:val="none"/>
                <w:lang w:val="en-US" w:eastAsia="zh-CN"/>
              </w:rPr>
            </w:pPr>
            <w:r>
              <w:rPr>
                <w:rFonts w:hint="eastAsia" w:ascii="仿宋_GB2312" w:eastAsia="仿宋_GB2312" w:cs="Times New Roman" w:hAnsiTheme="minorEastAsia"/>
                <w:b/>
                <w:bCs/>
                <w:color w:val="auto"/>
                <w:sz w:val="20"/>
                <w:szCs w:val="18"/>
                <w:highlight w:val="none"/>
                <w:lang w:val="en-US" w:eastAsia="zh-CN"/>
              </w:rPr>
              <w:t>2.赎回宽限期清算日</w:t>
            </w:r>
          </w:p>
          <w:p w14:paraId="3CBABFDB">
            <w:pPr>
              <w:pStyle w:val="3"/>
              <w:numPr>
                <w:ilvl w:val="-1"/>
                <w:numId w:val="0"/>
              </w:numPr>
              <w:ind w:left="0" w:right="153"/>
              <w:rPr>
                <w:rFonts w:hint="eastAsia" w:ascii="仿宋_GB2312" w:eastAsia="仿宋_GB2312" w:cs="Times New Roman" w:hAnsiTheme="minorEastAsia"/>
                <w:b w:val="0"/>
                <w:bCs w:val="0"/>
                <w:color w:val="auto"/>
                <w:sz w:val="20"/>
                <w:szCs w:val="18"/>
                <w:highlight w:val="none"/>
                <w:lang w:eastAsia="zh-CN"/>
              </w:rPr>
            </w:pP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结束日下一个工作日为</w:t>
            </w:r>
            <w:r>
              <w:rPr>
                <w:rFonts w:hint="eastAsia" w:ascii="仿宋_GB2312" w:hAnsi="Times New Roman" w:eastAsia="仿宋_GB2312" w:cs="Times New Roman"/>
                <w:b w:val="0"/>
                <w:bCs w:val="0"/>
                <w:color w:val="auto"/>
                <w:sz w:val="20"/>
                <w:szCs w:val="18"/>
                <w:highlight w:val="none"/>
                <w:lang w:val="en-US" w:eastAsia="zh-CN"/>
              </w:rPr>
              <w:t>产品</w:t>
            </w:r>
            <w:r>
              <w:rPr>
                <w:rFonts w:hint="eastAsia" w:ascii="仿宋_GB2312" w:eastAsia="仿宋_GB2312" w:cs="Times New Roman" w:hAnsiTheme="minorEastAsia"/>
                <w:b w:val="0"/>
                <w:bCs w:val="0"/>
                <w:color w:val="auto"/>
                <w:sz w:val="20"/>
                <w:szCs w:val="18"/>
                <w:highlight w:val="none"/>
                <w:lang w:val="en-US" w:eastAsia="zh-CN"/>
              </w:rPr>
              <w:t>赎回宽限期</w:t>
            </w:r>
            <w:r>
              <w:rPr>
                <w:rFonts w:hint="eastAsia" w:ascii="仿宋_GB2312" w:hAnsi="Times New Roman" w:eastAsia="仿宋_GB2312" w:cs="Times New Roman"/>
                <w:b w:val="0"/>
                <w:bCs w:val="0"/>
                <w:color w:val="auto"/>
                <w:sz w:val="20"/>
                <w:szCs w:val="18"/>
                <w:highlight w:val="none"/>
                <w:lang w:eastAsia="zh-CN"/>
              </w:rPr>
              <w:t>清算日。</w:t>
            </w:r>
          </w:p>
          <w:p w14:paraId="2C20BFBB">
            <w:pPr>
              <w:pStyle w:val="3"/>
              <w:ind w:left="0" w:right="153"/>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3.规则：</w:t>
            </w:r>
          </w:p>
          <w:p w14:paraId="2215D53D">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lang w:val="en-US" w:eastAsia="zh-CN"/>
              </w:rPr>
              <w:t>在贵阳农商银行自有销售渠道购买并持有满一个封闭期的投资者可在该期间通过贵阳农商银行营业网点申请赎回持有的产品份额，赎回宽限期内申请赎回交易的，将统一在赎回宽限期清算日确认赎回份额，赎回金额将于清算确认后</w:t>
            </w:r>
            <w:r>
              <w:rPr>
                <w:rFonts w:hint="eastAsia" w:ascii="仿宋_GB2312" w:hAnsi="Times New Roman" w:eastAsia="仿宋_GB2312" w:cs="Times New Roman"/>
                <w:b/>
                <w:bCs/>
                <w:color w:val="auto"/>
                <w:sz w:val="20"/>
                <w:szCs w:val="18"/>
                <w:highlight w:val="none"/>
                <w:u w:val="single"/>
                <w:lang w:val="en-US" w:eastAsia="zh-CN"/>
              </w:rPr>
              <w:t xml:space="preserve">    3</w:t>
            </w:r>
            <w:r>
              <w:rPr>
                <w:rFonts w:hint="eastAsia" w:ascii="仿宋_GB2312" w:hAnsi="Times New Roman" w:eastAsia="仿宋_GB2312" w:cs="Times New Roman"/>
                <w:b/>
                <w:bCs/>
                <w:color w:val="auto"/>
                <w:sz w:val="20"/>
                <w:szCs w:val="18"/>
                <w:highlight w:val="none"/>
                <w:lang w:val="en-US" w:eastAsia="zh-CN"/>
              </w:rPr>
              <w:t>个工作日内到账，</w:t>
            </w:r>
            <w:r>
              <w:rPr>
                <w:rFonts w:hint="eastAsia" w:ascii="仿宋_GB2312" w:eastAsia="仿宋_GB2312" w:cs="Times New Roman" w:hAnsiTheme="minorEastAsia"/>
                <w:b/>
                <w:bCs/>
                <w:color w:val="auto"/>
                <w:sz w:val="20"/>
                <w:szCs w:val="18"/>
                <w:highlight w:val="none"/>
                <w:lang w:val="en-US" w:eastAsia="zh-CN"/>
              </w:rPr>
              <w:t>赎回宽限期清算日</w:t>
            </w:r>
            <w:r>
              <w:rPr>
                <w:rFonts w:hint="eastAsia" w:ascii="仿宋_GB2312" w:eastAsia="仿宋_GB2312" w:cs="Times New Roman" w:hAnsiTheme="minorEastAsia"/>
                <w:b/>
                <w:color w:val="auto"/>
                <w:sz w:val="20"/>
                <w:highlight w:val="none"/>
                <w:lang w:eastAsia="zh-CN"/>
              </w:rPr>
              <w:t>至资金到账日（不含）不计利息。</w:t>
            </w:r>
            <w:r>
              <w:rPr>
                <w:rFonts w:hint="eastAsia" w:ascii="仿宋_GB2312" w:hAnsi="Times New Roman" w:eastAsia="仿宋_GB2312" w:cs="Times New Roman"/>
                <w:b/>
                <w:bCs/>
                <w:color w:val="auto"/>
                <w:sz w:val="20"/>
                <w:szCs w:val="18"/>
                <w:highlight w:val="none"/>
                <w:u w:val="single"/>
                <w:lang w:eastAsia="zh-CN"/>
              </w:rPr>
              <w:t>赎回金额采用赎回宽限期清算日前一工作日产品净值</w:t>
            </w:r>
            <w:r>
              <w:rPr>
                <w:rFonts w:hint="eastAsia" w:ascii="仿宋_GB2312" w:hAnsi="Times New Roman" w:eastAsia="仿宋_GB2312" w:cs="Times New Roman"/>
                <w:b/>
                <w:bCs/>
                <w:color w:val="auto"/>
                <w:sz w:val="20"/>
                <w:szCs w:val="18"/>
                <w:highlight w:val="none"/>
                <w:u w:val="single"/>
                <w:lang w:val="en-US" w:eastAsia="zh-CN"/>
              </w:rPr>
              <w:t>进行确认。</w:t>
            </w:r>
          </w:p>
          <w:p w14:paraId="618B64B8">
            <w:pPr>
              <w:pStyle w:val="3"/>
              <w:numPr>
                <w:ilvl w:val="-1"/>
                <w:numId w:val="0"/>
              </w:numPr>
              <w:spacing w:before="0"/>
              <w:ind w:left="0" w:right="153" w:firstLine="0" w:firstLineChars="0"/>
              <w:jc w:val="both"/>
              <w:rPr>
                <w:rFonts w:hint="default" w:ascii="仿宋_GB2312" w:hAnsi="Times New Roman" w:eastAsia="仿宋_GB2312" w:cs="Times New Roman"/>
                <w:b/>
                <w:bCs/>
                <w:color w:val="auto"/>
                <w:sz w:val="20"/>
                <w:szCs w:val="18"/>
                <w:highlight w:val="none"/>
                <w:u w:val="single"/>
                <w:lang w:val="en-US" w:eastAsia="zh-CN"/>
              </w:rPr>
            </w:pPr>
            <w:r>
              <w:rPr>
                <w:rFonts w:hint="eastAsia" w:ascii="仿宋_GB2312" w:hAnsi="Times New Roman" w:eastAsia="仿宋_GB2312" w:cs="Times New Roman"/>
                <w:b/>
                <w:bCs/>
                <w:color w:val="auto"/>
                <w:sz w:val="20"/>
                <w:szCs w:val="18"/>
                <w:highlight w:val="none"/>
                <w:u w:val="single"/>
                <w:lang w:val="en-US" w:eastAsia="zh-CN"/>
              </w:rPr>
              <w:t>如投资者在赎回宽限期申请赎回时，购买的理财产品未持有满一个封闭期的，则贵阳农商银行不予受理该类赎回申请。</w:t>
            </w:r>
          </w:p>
          <w:p w14:paraId="20D703C0">
            <w:pPr>
              <w:pStyle w:val="3"/>
              <w:numPr>
                <w:ilvl w:val="-1"/>
                <w:numId w:val="0"/>
              </w:numPr>
              <w:spacing w:before="0"/>
              <w:ind w:left="0" w:right="153" w:firstLine="0" w:firstLineChars="0"/>
              <w:jc w:val="both"/>
              <w:rPr>
                <w:rFonts w:hint="eastAsia" w:ascii="仿宋_GB2312" w:hAnsi="Times New Roman" w:eastAsia="仿宋_GB2312" w:cs="Times New Roman"/>
                <w:b/>
                <w:bCs/>
                <w:color w:val="auto"/>
                <w:sz w:val="20"/>
                <w:szCs w:val="18"/>
                <w:highlight w:val="none"/>
                <w:lang w:val="en-US" w:eastAsia="zh-CN"/>
              </w:rPr>
            </w:pPr>
            <w:r>
              <w:rPr>
                <w:rFonts w:hint="eastAsia" w:ascii="仿宋_GB2312" w:hAnsi="Times New Roman" w:eastAsia="仿宋_GB2312" w:cs="Times New Roman"/>
                <w:b/>
                <w:bCs/>
                <w:color w:val="auto"/>
                <w:sz w:val="20"/>
                <w:szCs w:val="18"/>
                <w:highlight w:val="none"/>
                <w:lang w:val="en-US" w:eastAsia="zh-CN"/>
              </w:rPr>
              <w:t>示例如下：</w:t>
            </w:r>
          </w:p>
          <w:tbl>
            <w:tblPr>
              <w:tblStyle w:val="5"/>
              <w:tblpPr w:leftFromText="180" w:rightFromText="180" w:vertAnchor="text" w:horzAnchor="page" w:tblpX="195" w:tblpY="88"/>
              <w:tblOverlap w:val="never"/>
              <w:tblW w:w="6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1315"/>
              <w:gridCol w:w="1550"/>
              <w:gridCol w:w="2692"/>
            </w:tblGrid>
            <w:tr w14:paraId="0C43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FC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计算示例</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1513">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投资者持有份额(份)</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EC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赎回宽限期清算日前一工作日理财产品单位净值</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AC0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投资者可得资金（元）</w:t>
                  </w:r>
                </w:p>
              </w:tc>
            </w:tr>
            <w:tr w14:paraId="07F5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9E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0CB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0BA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1.0010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2D69">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1.0010=100,100.00</w:t>
                  </w:r>
                </w:p>
              </w:tc>
            </w:tr>
            <w:tr w14:paraId="067B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249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情景2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E15F">
                  <w:pPr>
                    <w:keepNext w:val="0"/>
                    <w:keepLines w:val="0"/>
                    <w:widowControl/>
                    <w:suppressLineNumbers w:val="0"/>
                    <w:jc w:val="center"/>
                    <w:textAlignment w:val="center"/>
                    <w:rPr>
                      <w:rFonts w:hint="eastAsia" w:ascii="仿宋_GB2312" w:hAnsi="仿宋_GB2312" w:eastAsia="仿宋_GB2312" w:cs="仿宋_GB2312"/>
                      <w:i w:val="0"/>
                      <w:iCs w:val="0"/>
                      <w:color w:val="auto"/>
                      <w:sz w:val="16"/>
                      <w:szCs w:val="16"/>
                      <w:highlight w:val="none"/>
                      <w:u w:val="none"/>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FC8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0.9990</w:t>
                  </w:r>
                </w:p>
              </w:tc>
              <w:tc>
                <w:tcPr>
                  <w:tcW w:w="2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B68B">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16"/>
                      <w:szCs w:val="16"/>
                      <w:highlight w:val="none"/>
                      <w:u w:val="none"/>
                      <w:lang w:val="en-US" w:eastAsia="zh-CN" w:bidi="ar"/>
                    </w:rPr>
                  </w:pPr>
                  <w:r>
                    <w:rPr>
                      <w:rFonts w:hint="eastAsia" w:ascii="仿宋_GB2312" w:hAnsi="仿宋_GB2312" w:eastAsia="仿宋_GB2312" w:cs="仿宋_GB2312"/>
                      <w:i w:val="0"/>
                      <w:iCs w:val="0"/>
                      <w:color w:val="auto"/>
                      <w:kern w:val="0"/>
                      <w:sz w:val="16"/>
                      <w:szCs w:val="16"/>
                      <w:highlight w:val="none"/>
                      <w:u w:val="none"/>
                      <w:lang w:val="en-US" w:eastAsia="zh-CN" w:bidi="ar"/>
                    </w:rPr>
                    <w:t>100,000.00</w:t>
                  </w:r>
                  <w:r>
                    <w:rPr>
                      <w:rFonts w:hint="eastAsia" w:ascii="仿宋_GB2312" w:hAnsi="仿宋_GB2312" w:eastAsia="仿宋_GB2312" w:cs="仿宋_GB2312"/>
                      <w:color w:val="auto"/>
                      <w:sz w:val="20"/>
                      <w:highlight w:val="none"/>
                      <w:lang w:eastAsia="zh-CN"/>
                    </w:rPr>
                    <w:t>×</w:t>
                  </w:r>
                  <w:r>
                    <w:rPr>
                      <w:rFonts w:hint="eastAsia" w:ascii="仿宋_GB2312" w:hAnsi="仿宋_GB2312" w:eastAsia="仿宋_GB2312" w:cs="仿宋_GB2312"/>
                      <w:i w:val="0"/>
                      <w:iCs w:val="0"/>
                      <w:color w:val="auto"/>
                      <w:kern w:val="0"/>
                      <w:sz w:val="16"/>
                      <w:szCs w:val="16"/>
                      <w:highlight w:val="none"/>
                      <w:u w:val="none"/>
                      <w:lang w:val="en-US" w:eastAsia="zh-CN" w:bidi="ar"/>
                    </w:rPr>
                    <w:t>0.9990=99,900.00</w:t>
                  </w:r>
                </w:p>
              </w:tc>
            </w:tr>
          </w:tbl>
          <w:p w14:paraId="3324BD2C">
            <w:pPr>
              <w:pStyle w:val="3"/>
              <w:ind w:left="0" w:right="153"/>
              <w:jc w:val="left"/>
              <w:rPr>
                <w:rFonts w:hint="eastAsia" w:ascii="仿宋_GB2312" w:hAnsi="Times New Roman" w:eastAsia="仿宋_GB2312" w:cs="Times New Roman"/>
                <w:b w:val="0"/>
                <w:bCs w:val="0"/>
                <w:color w:val="auto"/>
                <w:sz w:val="20"/>
                <w:szCs w:val="18"/>
                <w:highlight w:val="none"/>
                <w:lang w:val="en-US" w:eastAsia="zh-CN"/>
              </w:rPr>
            </w:pPr>
          </w:p>
          <w:p w14:paraId="7E168A68">
            <w:pPr>
              <w:pStyle w:val="3"/>
              <w:ind w:left="0" w:leftChars="0" w:right="153" w:rightChars="0"/>
              <w:rPr>
                <w:rFonts w:hint="eastAsia" w:ascii="仿宋_GB2312" w:hAnsi="Times New Roman" w:eastAsia="仿宋_GB2312" w:cs="Times New Roman"/>
                <w:color w:val="auto"/>
                <w:sz w:val="20"/>
                <w:szCs w:val="18"/>
                <w:highlight w:val="none"/>
                <w:lang w:val="en-US" w:eastAsia="zh-CN"/>
              </w:rPr>
            </w:pP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9"/>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05887B">
            <w:pPr>
              <w:pStyle w:val="9"/>
              <w:numPr>
                <w:ilvl w:val="-1"/>
                <w:numId w:val="0"/>
              </w:numPr>
              <w:ind w:left="54" w:right="41" w:firstLine="0"/>
              <w:jc w:val="both"/>
              <w:rPr>
                <w:rFonts w:hint="eastAsia" w:ascii="仿宋_GB2312" w:eastAsia="仿宋_GB2312" w:cs="Times New Roman" w:hAnsiTheme="minorEastAsia"/>
                <w:sz w:val="20"/>
                <w:szCs w:val="18"/>
                <w:u w:val="single"/>
                <w:lang w:val="en-US"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w:t>
            </w:r>
          </w:p>
          <w:p w14:paraId="18D47F9B">
            <w:pPr>
              <w:pStyle w:val="9"/>
              <w:numPr>
                <w:ilvl w:val="0"/>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9"/>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9"/>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11"/>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11"/>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11"/>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9"/>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9"/>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9"/>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9"/>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9"/>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9"/>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lang w:val="en-US" w:eastAsia="zh-CN"/>
        </w:rPr>
        <w:t>20000</w:t>
      </w:r>
      <w:r>
        <w:rPr>
          <w:rFonts w:hint="eastAsia" w:ascii="仿宋_GB2312" w:eastAsia="仿宋_GB2312" w:cs="Times New Roman" w:hAnsiTheme="minorEastAsia"/>
          <w:b/>
          <w:bCs/>
          <w:sz w:val="20"/>
          <w:u w:val="none"/>
          <w:lang w:val="en-US" w:eastAsia="zh-CN"/>
        </w:rPr>
        <w:t>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8"/>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70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0.20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2"/>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2"/>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keepNext w:val="0"/>
        <w:keepLines w:val="0"/>
        <w:pageBreakBefore w:val="0"/>
        <w:widowControl w:val="0"/>
        <w:kinsoku/>
        <w:wordWrap w:val="0"/>
        <w:overflowPunct/>
        <w:topLinePunct w:val="0"/>
        <w:autoSpaceDE/>
        <w:autoSpaceDN/>
        <w:bidi w:val="0"/>
        <w:adjustRightInd/>
        <w:snapToGrid/>
        <w:spacing w:before="0" w:line="240" w:lineRule="auto"/>
        <w:ind w:left="0" w:right="153" w:firstLine="400" w:firstLineChars="200"/>
        <w:jc w:val="left"/>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eastAsia="仿宋_GB2312" w:cs="Times New Roman" w:hAnsiTheme="minorEastAsia"/>
          <w:sz w:val="20"/>
          <w:lang w:val="en-US" w:eastAsia="zh-CN"/>
        </w:rPr>
        <w:t xml:space="preserve"> </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2"/>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ACD0E9E">
      <w:pPr>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br w:type="page"/>
      </w: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2"/>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rPr>
          <w:rFonts w:ascii="仿宋_GB2312" w:hAnsi="宋体" w:eastAsia="仿宋_GB2312"/>
          <w:sz w:val="18"/>
          <w:szCs w:val="18"/>
          <w:lang w:eastAsia="zh-CN"/>
        </w:rPr>
      </w:pPr>
      <w:r>
        <w:rPr>
          <w:rFonts w:ascii="仿宋_GB2312" w:hAnsi="宋体" w:eastAsia="仿宋_GB2312"/>
          <w:sz w:val="18"/>
          <w:szCs w:val="18"/>
          <w:lang w:eastAsia="zh-CN"/>
        </w:rPr>
        <w:br w:type="page"/>
      </w: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11"/>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11"/>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11"/>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11"/>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keepNext w:val="0"/>
        <w:keepLines w:val="0"/>
        <w:pageBreakBefore w:val="0"/>
        <w:widowControl w:val="0"/>
        <w:kinsoku/>
        <w:wordWrap w:val="0"/>
        <w:overflowPunct/>
        <w:topLinePunct w:val="0"/>
        <w:autoSpaceDE/>
        <w:autoSpaceDN/>
        <w:bidi w:val="0"/>
        <w:adjustRightInd/>
        <w:snapToGrid/>
        <w:spacing w:before="0" w:line="240" w:lineRule="auto"/>
        <w:ind w:left="0" w:right="153" w:firstLine="400" w:firstLineChars="200"/>
        <w:jc w:val="both"/>
        <w:textAlignment w:val="auto"/>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t>
      </w:r>
      <w:r>
        <w:rPr>
          <w:rFonts w:hint="eastAsia" w:ascii="仿宋_GB2312" w:eastAsia="仿宋_GB2312" w:cs="Times New Roman" w:hAnsiTheme="minorEastAsia"/>
          <w:sz w:val="20"/>
          <w:lang w:val="en-US" w:eastAsia="zh-CN"/>
        </w:rPr>
        <w:t xml:space="preserve"> </w:t>
      </w:r>
      <w:r>
        <w:rPr>
          <w:rFonts w:hint="eastAsia" w:ascii="仿宋_GB2312" w:hAnsi="仿宋_GB2312" w:eastAsia="仿宋_GB2312" w:cs="仿宋_GB2312"/>
          <w:color w:val="auto"/>
          <w:kern w:val="0"/>
          <w:sz w:val="20"/>
          <w:szCs w:val="20"/>
          <w:highlight w:val="none"/>
          <w:lang w:val="en-US" w:eastAsia="zh-CN" w:bidi="ar"/>
        </w:rPr>
        <w:t>https://www.gznxbank.com/html/2010000/index.html</w:t>
      </w:r>
      <w:r>
        <w:rPr>
          <w:rFonts w:ascii="仿宋_GB2312" w:eastAsia="仿宋_GB2312" w:cs="Times New Roman" w:hAnsiTheme="minorEastAsia"/>
          <w:sz w:val="20"/>
          <w:lang w:eastAsia="zh-CN"/>
        </w:rPr>
        <w:t>）</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w:t>
      </w:r>
      <w:r>
        <w:rPr>
          <w:rFonts w:hint="eastAsia" w:ascii="仿宋_GB2312" w:eastAsia="仿宋_GB2312" w:cs="Times New Roman" w:hAnsiTheme="minorEastAsia"/>
          <w:b/>
          <w:bCs w:val="0"/>
          <w:sz w:val="20"/>
          <w:lang w:val="en-US" w:eastAsia="zh-CN"/>
        </w:rPr>
        <w:t>96688</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w:t>
      </w:r>
      <w:r>
        <w:rPr>
          <w:rFonts w:hint="eastAsia" w:ascii="仿宋_GB2312" w:eastAsia="仿宋_GB2312" w:cs="Times New Roman" w:hAnsiTheme="minorEastAsia"/>
          <w:b/>
          <w:bCs w:val="0"/>
          <w:sz w:val="20"/>
          <w:lang w:val="en-US" w:eastAsia="zh-CN"/>
        </w:rPr>
        <w:t>688</w:t>
      </w:r>
      <w:r>
        <w:rPr>
          <w:rFonts w:hint="eastAsia" w:ascii="仿宋_GB2312" w:eastAsia="仿宋_GB2312" w:cs="Times New Roman" w:hAnsiTheme="minorEastAsia"/>
          <w:b/>
          <w:bCs w:val="0"/>
          <w:sz w:val="20"/>
          <w:lang w:eastAsia="zh-CN"/>
        </w:rPr>
        <w:t>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3"/>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r>
        <w:rPr>
          <w:rFonts w:hint="eastAsia" w:ascii="仿宋_GB2312" w:hAnsi="黑体" w:eastAsia="仿宋_GB2312" w:cs="Times New Roman"/>
          <w:b/>
          <w:bCs/>
          <w:sz w:val="20"/>
          <w:szCs w:val="20"/>
          <w:lang w:eastAsia="zh-CN"/>
        </w:rPr>
        <w:t>，</w:t>
      </w:r>
      <w:r>
        <w:rPr>
          <w:rFonts w:hint="eastAsia" w:ascii="仿宋_GB2312" w:hAnsi="黑体" w:eastAsia="仿宋_GB2312" w:cs="Times New Roman"/>
          <w:b/>
          <w:bCs/>
          <w:sz w:val="20"/>
          <w:szCs w:val="20"/>
          <w:lang w:val="en-US" w:eastAsia="zh-CN"/>
        </w:rPr>
        <w:t>赎回宽限期内仅接受赎回申请</w:t>
      </w:r>
      <w:r>
        <w:rPr>
          <w:rFonts w:ascii="仿宋_GB2312" w:hAnsi="黑体" w:eastAsia="仿宋_GB2312" w:cs="Times New Roman"/>
          <w:b/>
          <w:bCs/>
          <w:sz w:val="20"/>
          <w:szCs w:val="20"/>
          <w:lang w:eastAsia="zh-CN"/>
        </w:rPr>
        <w:t>。</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5"/>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564EDFBA">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6"/>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rPr>
          <w:rFonts w:ascii="Times New Roman" w:hAnsi="宋体" w:eastAsia="宋体" w:cs="Times New Roman"/>
          <w:sz w:val="24"/>
          <w:szCs w:val="24"/>
          <w:lang w:eastAsia="zh-CN"/>
        </w:rPr>
      </w:pPr>
      <w:r>
        <w:rPr>
          <w:rFonts w:ascii="Times New Roman" w:hAnsi="宋体" w:eastAsia="宋体" w:cs="Times New Roman"/>
          <w:sz w:val="24"/>
          <w:szCs w:val="24"/>
          <w:lang w:eastAsia="zh-CN"/>
        </w:rPr>
        <w:br w:type="page"/>
      </w: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val="en-US" w:eastAsia="zh-CN"/>
        </w:rPr>
        <w:t>96688</w:t>
      </w:r>
      <w:r>
        <w:rPr>
          <w:rFonts w:hint="eastAsia" w:ascii="仿宋_GB2312" w:eastAsia="仿宋_GB2312" w:cs="Times New Roman" w:hAnsiTheme="minorEastAsia"/>
          <w:b/>
          <w:bCs/>
          <w:sz w:val="20"/>
          <w:lang w:eastAsia="zh-CN"/>
        </w:rPr>
        <w:t>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w:t>
      </w:r>
      <w:r>
        <w:rPr>
          <w:rFonts w:hint="eastAsia" w:ascii="仿宋_GB2312" w:eastAsia="仿宋_GB2312" w:cs="Times New Roman"/>
          <w:b/>
          <w:bCs/>
          <w:color w:val="auto"/>
          <w:sz w:val="20"/>
          <w:highlight w:val="none"/>
          <w:lang w:val="en-US" w:eastAsia="zh-CN"/>
        </w:rPr>
        <w:t>96688</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p w14:paraId="52777BA4"/>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dit="readOnly" w:enforcement="1" w:cryptProviderType="rsaFull" w:cryptAlgorithmClass="hash" w:cryptAlgorithmType="typeAny" w:cryptAlgorithmSid="4" w:cryptSpinCount="0" w:hash="COt9hpCVH52bXX+J2pBqFtWAnmA=" w:salt="DPe8qh+2dJr3iPqbpc3jd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B5787"/>
    <w:rsid w:val="0316692F"/>
    <w:rsid w:val="06BE1BDC"/>
    <w:rsid w:val="088A3494"/>
    <w:rsid w:val="08B46C8A"/>
    <w:rsid w:val="09EB2FFF"/>
    <w:rsid w:val="0D900F26"/>
    <w:rsid w:val="0F4B5787"/>
    <w:rsid w:val="1F3A0DAB"/>
    <w:rsid w:val="280262DA"/>
    <w:rsid w:val="2A561E20"/>
    <w:rsid w:val="2FDB5069"/>
    <w:rsid w:val="30C15460"/>
    <w:rsid w:val="44542EF7"/>
    <w:rsid w:val="488C2D69"/>
    <w:rsid w:val="49F650E8"/>
    <w:rsid w:val="4B137294"/>
    <w:rsid w:val="68984A7D"/>
    <w:rsid w:val="6DE93821"/>
    <w:rsid w:val="71C32012"/>
    <w:rsid w:val="75CC331E"/>
    <w:rsid w:val="7A366DD4"/>
    <w:rsid w:val="7A39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footer"/>
    <w:basedOn w:val="1"/>
    <w:unhideWhenUsed/>
    <w:qFormat/>
    <w:uiPriority w:val="99"/>
    <w:pPr>
      <w:tabs>
        <w:tab w:val="center" w:pos="4153"/>
        <w:tab w:val="right" w:pos="8306"/>
      </w:tabs>
      <w:snapToGrid w:val="0"/>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8">
    <w:name w:val="annotation reference"/>
    <w:basedOn w:val="7"/>
    <w:semiHidden/>
    <w:unhideWhenUsed/>
    <w:qFormat/>
    <w:uiPriority w:val="99"/>
    <w:rPr>
      <w:sz w:val="21"/>
      <w:szCs w:val="21"/>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22897</Words>
  <Characters>23761</Characters>
  <Lines>0</Lines>
  <Paragraphs>0</Paragraphs>
  <TotalTime>5</TotalTime>
  <ScaleCrop>false</ScaleCrop>
  <LinksUpToDate>false</LinksUpToDate>
  <CharactersWithSpaces>24169</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2026-04-14T02:43:00Z</dcterms:created>
  <dc:creator>汪雁翔</dc:creator>
  <cp:lastModifiedBy>汪雁翔</cp:lastModifiedBy>
  <dcterms:modified xsi:type="dcterms:W3CDTF">2026-06-10T09:16:47Z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E8E4E15E0CE24386B08BE21C06C365B7_11</vt:lpwstr>
  </property>
</Properties>
</file>