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1年266期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超值宝1年266</w:t>
      </w:r>
      <w:bookmarkStart w:id="0" w:name="_GoBack"/>
      <w:bookmarkEnd w:id="0"/>
      <w:r>
        <w:rPr>
          <w:rFonts w:hint="eastAsia" w:ascii="仿宋_GB2312" w:hAnsi="仿宋_GB2312" w:eastAsia="仿宋_GB2312" w:cs="仿宋_GB2312"/>
          <w:b/>
          <w:bCs/>
          <w:color w:val="auto"/>
          <w:kern w:val="0"/>
          <w:sz w:val="20"/>
          <w:szCs w:val="20"/>
          <w:highlight w:val="none"/>
          <w:lang w:val="en-US" w:eastAsia="zh-CN" w:bidi="ar"/>
        </w:rPr>
        <w:t>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66</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24</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C13306">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C1188326000023</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2026年6月16日9:00至2026年6月22日16:59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2026年6月23日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2027年6月23日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2.产品托管人：南京</w:t>
      </w:r>
      <w:r>
        <w:rPr>
          <w:rFonts w:hint="eastAsia" w:ascii="仿宋_GB2312" w:eastAsia="仿宋_GB2312" w:cs="Times New Roman" w:hAnsiTheme="minorEastAsia"/>
          <w:b/>
          <w:color w:val="auto"/>
          <w:sz w:val="20"/>
          <w:highlight w:val="none"/>
          <w:u w:val="none"/>
          <w:lang w:val="en-US" w:eastAsia="zh-CN"/>
        </w:rPr>
        <w:t>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5084DFE">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Full" w:cryptAlgorithmClass="hash" w:cryptAlgorithmType="typeAny" w:cryptAlgorithmSid="4" w:cryptSpinCount="0" w:hash="7wmQHN2mlMjjtjaDEbV6qEH98O8=" w:salt="l2LyGNT31o6WKpvloeslP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150CBD"/>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BE4F4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4E1F4F"/>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ADB291D"/>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3F10C29"/>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19740</Words>
  <Characters>20439</Characters>
  <Lines>137</Lines>
  <Paragraphs>38</Paragraphs>
  <TotalTime>4</TotalTime>
  <ScaleCrop>false</ScaleCrop>
  <LinksUpToDate>false</LinksUpToDate>
  <CharactersWithSpaces>20836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汪雁翔</cp:lastModifiedBy>
  <cp:lastPrinted>2025-08-20T00:58:00Z</cp:lastPrinted>
  <dcterms:modified xsi:type="dcterms:W3CDTF">2026-06-15T02:40:59Z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