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0218">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贵州瓮安农村商业银行股份有限公司关于贵州麒龙置业有限公司关联企业</w:t>
      </w:r>
    </w:p>
    <w:p w14:paraId="09000A7B">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重大关联交易信息披露</w:t>
      </w:r>
      <w:r>
        <w:rPr>
          <w:rFonts w:hint="default" w:ascii="方正小标宋简体" w:hAnsi="方正小标宋简体" w:eastAsia="方正小标宋简体" w:cs="方正小标宋简体"/>
          <w:sz w:val="44"/>
          <w:szCs w:val="44"/>
          <w:lang w:val="en-US" w:eastAsia="zh-CN"/>
        </w:rPr>
        <w:t>报告</w:t>
      </w:r>
    </w:p>
    <w:p w14:paraId="1C7276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sans-serif" w:hAnsi="sans-serif" w:eastAsia="sans-serif" w:cs="sans-serif"/>
          <w:i w:val="0"/>
          <w:iCs w:val="0"/>
          <w:caps w:val="0"/>
          <w:color w:val="333333"/>
          <w:spacing w:val="0"/>
          <w:sz w:val="24"/>
          <w:szCs w:val="24"/>
          <w:u w:val="none"/>
        </w:rPr>
      </w:pPr>
      <w:r>
        <w:rPr>
          <w:rFonts w:hint="default" w:ascii="sans-serif" w:hAnsi="sans-serif" w:eastAsia="sans-serif" w:cs="sans-serif"/>
          <w:i w:val="0"/>
          <w:iCs w:val="0"/>
          <w:caps w:val="0"/>
          <w:color w:val="333333"/>
          <w:spacing w:val="0"/>
          <w:sz w:val="24"/>
          <w:szCs w:val="24"/>
          <w:u w:val="none"/>
        </w:rPr>
        <w:t>       </w:t>
      </w:r>
    </w:p>
    <w:p w14:paraId="73802F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4" w:firstLineChars="200"/>
        <w:jc w:val="both"/>
        <w:textAlignment w:val="center"/>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根据《银行保险机构关联交易管理办法》第五十三条“银行保险机构应当在签订以下交易协议后15个工作日内逐笔向国家金融监督管理总局或其派出机构报告：（一）重大关联交易”之规定，现将瓮安农商银行（以下简称本行）</w:t>
      </w:r>
      <w:r>
        <w:rPr>
          <w:rFonts w:hint="default" w:ascii="仿宋_GB2312" w:hAnsi="仿宋_GB2312" w:eastAsia="仿宋_GB2312" w:cs="仿宋_GB2312"/>
          <w:spacing w:val="6"/>
          <w:sz w:val="32"/>
          <w:szCs w:val="32"/>
          <w:lang w:val="en-US" w:eastAsia="zh-CN"/>
        </w:rPr>
        <w:t>与贵州麒龙置业有限公司</w:t>
      </w:r>
      <w:r>
        <w:rPr>
          <w:rFonts w:hint="eastAsia" w:ascii="仿宋_GB2312" w:hAnsi="仿宋_GB2312" w:eastAsia="仿宋_GB2312" w:cs="仿宋_GB2312"/>
          <w:spacing w:val="6"/>
          <w:sz w:val="32"/>
          <w:szCs w:val="32"/>
          <w:lang w:val="en-US" w:eastAsia="zh-CN"/>
        </w:rPr>
        <w:t>重大关联交易信息披露如下：</w:t>
      </w:r>
    </w:p>
    <w:p w14:paraId="65C03D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eastAsia" w:ascii="黑体" w:hAnsi="黑体" w:eastAsia="黑体" w:cs="黑体"/>
          <w:i w:val="0"/>
          <w:iCs w:val="0"/>
          <w:caps w:val="0"/>
          <w:color w:val="333333"/>
          <w:spacing w:val="0"/>
          <w:sz w:val="30"/>
          <w:szCs w:val="30"/>
          <w:u w:val="none"/>
          <w:lang w:val="en-US" w:eastAsia="zh-CN"/>
        </w:rPr>
      </w:pPr>
      <w:r>
        <w:rPr>
          <w:rFonts w:hint="default" w:ascii="sans-serif" w:hAnsi="sans-serif" w:eastAsia="sans-serif" w:cs="sans-serif"/>
          <w:i w:val="0"/>
          <w:iCs w:val="0"/>
          <w:caps w:val="0"/>
          <w:color w:val="333333"/>
          <w:spacing w:val="0"/>
          <w:sz w:val="24"/>
          <w:szCs w:val="24"/>
          <w:u w:val="none"/>
        </w:rPr>
        <w:t>  </w:t>
      </w:r>
      <w:r>
        <w:rPr>
          <w:rFonts w:hint="default" w:ascii="仿宋" w:hAnsi="仿宋" w:eastAsia="仿宋" w:cs="仿宋"/>
          <w:i w:val="0"/>
          <w:iCs w:val="0"/>
          <w:caps w:val="0"/>
          <w:color w:val="333333"/>
          <w:spacing w:val="0"/>
          <w:sz w:val="30"/>
          <w:szCs w:val="30"/>
          <w:u w:val="none"/>
          <w:lang w:val="en-US" w:eastAsia="zh-CN"/>
        </w:rPr>
        <w:t> </w:t>
      </w:r>
      <w:r>
        <w:rPr>
          <w:rFonts w:hint="eastAsia" w:ascii="黑体" w:hAnsi="黑体" w:eastAsia="黑体" w:cs="黑体"/>
          <w:i w:val="0"/>
          <w:iCs w:val="0"/>
          <w:caps w:val="0"/>
          <w:color w:val="333333"/>
          <w:spacing w:val="0"/>
          <w:sz w:val="32"/>
          <w:szCs w:val="32"/>
          <w:u w:val="none"/>
          <w:lang w:val="en-US" w:eastAsia="zh-CN"/>
        </w:rPr>
        <w:t>    一、关联交易概述及交易标的情况</w:t>
      </w:r>
    </w:p>
    <w:p w14:paraId="6867B0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 w:hAnsi="仿宋" w:eastAsia="仿宋" w:cs="仿宋"/>
          <w:b/>
          <w:bCs/>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eastAsia" w:ascii="楷体_GB2312" w:hAnsi="楷体_GB2312" w:eastAsia="楷体_GB2312" w:cs="楷体_GB2312"/>
          <w:b w:val="0"/>
          <w:bCs w:val="0"/>
          <w:i w:val="0"/>
          <w:iCs w:val="0"/>
          <w:caps w:val="0"/>
          <w:color w:val="333333"/>
          <w:spacing w:val="0"/>
          <w:sz w:val="32"/>
          <w:szCs w:val="32"/>
          <w:u w:val="none"/>
          <w:lang w:val="en-US" w:eastAsia="zh-CN"/>
        </w:rPr>
        <w:t>   （一）关联交易概述</w:t>
      </w:r>
    </w:p>
    <w:p w14:paraId="4E4B8F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贵州福泉麒龙房地产开发有限公司</w:t>
      </w:r>
      <w:bookmarkStart w:id="0" w:name="_GoBack"/>
      <w:bookmarkEnd w:id="0"/>
      <w:r>
        <w:rPr>
          <w:rFonts w:hint="default" w:ascii="仿宋_GB2312" w:hAnsi="仿宋_GB2312" w:eastAsia="仿宋_GB2312" w:cs="仿宋_GB2312"/>
          <w:spacing w:val="6"/>
          <w:sz w:val="32"/>
          <w:szCs w:val="32"/>
          <w:lang w:val="en-US" w:eastAsia="zh-CN"/>
        </w:rPr>
        <w:t>向本行申请授信597.5万元，期限1年，并在授信项下申请重组</w:t>
      </w:r>
      <w:r>
        <w:rPr>
          <w:rFonts w:hint="eastAsia" w:ascii="仿宋_GB2312" w:hAnsi="仿宋_GB2312" w:eastAsia="仿宋_GB2312" w:cs="仿宋_GB2312"/>
          <w:spacing w:val="6"/>
          <w:sz w:val="32"/>
          <w:szCs w:val="32"/>
          <w:lang w:val="en-US" w:eastAsia="zh-CN"/>
        </w:rPr>
        <w:t>本行</w:t>
      </w:r>
      <w:r>
        <w:rPr>
          <w:rFonts w:hint="default" w:ascii="仿宋_GB2312" w:hAnsi="仿宋_GB2312" w:eastAsia="仿宋_GB2312" w:cs="仿宋_GB2312"/>
          <w:spacing w:val="6"/>
          <w:sz w:val="32"/>
          <w:szCs w:val="32"/>
          <w:lang w:val="en-US" w:eastAsia="zh-CN"/>
        </w:rPr>
        <w:t>的存量债务，重组金额597.5万元，期限5年。该公司是本行股东</w:t>
      </w:r>
      <w:r>
        <w:rPr>
          <w:rFonts w:hint="eastAsia" w:ascii="仿宋_GB2312" w:hAnsi="仿宋_GB2312" w:eastAsia="仿宋_GB2312" w:cs="仿宋_GB2312"/>
          <w:spacing w:val="6"/>
          <w:sz w:val="32"/>
          <w:szCs w:val="32"/>
          <w:lang w:val="en-US" w:eastAsia="zh-CN"/>
        </w:rPr>
        <w:t>贵州麒龙置业有限公司</w:t>
      </w:r>
      <w:r>
        <w:rPr>
          <w:rFonts w:hint="default" w:ascii="仿宋_GB2312" w:hAnsi="仿宋_GB2312" w:eastAsia="仿宋_GB2312" w:cs="仿宋_GB2312"/>
          <w:spacing w:val="6"/>
          <w:sz w:val="32"/>
          <w:szCs w:val="32"/>
          <w:lang w:val="en-US" w:eastAsia="zh-CN"/>
        </w:rPr>
        <w:t>的关联企业。</w:t>
      </w:r>
    </w:p>
    <w:p w14:paraId="12D89A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eastAsia" w:ascii="楷体_GB2312" w:hAnsi="楷体_GB2312" w:eastAsia="楷体_GB2312" w:cs="楷体_GB2312"/>
          <w:b w:val="0"/>
          <w:bCs w:val="0"/>
          <w:i w:val="0"/>
          <w:iCs w:val="0"/>
          <w:caps w:val="0"/>
          <w:color w:val="333333"/>
          <w:spacing w:val="0"/>
          <w:sz w:val="32"/>
          <w:szCs w:val="32"/>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eastAsia" w:ascii="楷体_GB2312" w:hAnsi="楷体_GB2312" w:eastAsia="楷体_GB2312" w:cs="楷体_GB2312"/>
          <w:b w:val="0"/>
          <w:bCs w:val="0"/>
          <w:i w:val="0"/>
          <w:iCs w:val="0"/>
          <w:caps w:val="0"/>
          <w:color w:val="333333"/>
          <w:spacing w:val="0"/>
          <w:sz w:val="32"/>
          <w:szCs w:val="32"/>
          <w:u w:val="none"/>
          <w:lang w:val="en-US" w:eastAsia="zh-CN"/>
        </w:rPr>
        <w:t>（二）交易标的基本情况</w:t>
      </w:r>
    </w:p>
    <w:p w14:paraId="4F93ED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64" w:firstLineChars="200"/>
        <w:jc w:val="both"/>
        <w:textAlignment w:val="center"/>
        <w:rPr>
          <w:rFonts w:hint="default" w:ascii="仿宋_GB2312" w:hAnsi="仿宋_GB2312" w:eastAsia="仿宋_GB2312" w:cs="仿宋_GB2312"/>
          <w:spacing w:val="6"/>
          <w:sz w:val="32"/>
          <w:szCs w:val="32"/>
          <w:lang w:val="en-US" w:eastAsia="zh-CN"/>
        </w:rPr>
      </w:pPr>
      <w:r>
        <w:rPr>
          <w:rFonts w:hint="default" w:ascii="仿宋_GB2312" w:hAnsi="仿宋_GB2312" w:eastAsia="仿宋_GB2312" w:cs="仿宋_GB2312"/>
          <w:spacing w:val="6"/>
          <w:sz w:val="32"/>
          <w:szCs w:val="32"/>
          <w:lang w:val="en-US" w:eastAsia="zh-CN"/>
        </w:rPr>
        <w:t>本行</w:t>
      </w:r>
      <w:r>
        <w:rPr>
          <w:rFonts w:hint="eastAsia" w:ascii="仿宋_GB2312" w:hAnsi="仿宋_GB2312" w:eastAsia="仿宋_GB2312" w:cs="仿宋_GB2312"/>
          <w:spacing w:val="6"/>
          <w:sz w:val="32"/>
          <w:szCs w:val="32"/>
          <w:lang w:val="en-US" w:eastAsia="zh-CN"/>
        </w:rPr>
        <w:t>授信审批委员会</w:t>
      </w:r>
      <w:r>
        <w:rPr>
          <w:rFonts w:hint="default" w:ascii="仿宋_GB2312" w:hAnsi="仿宋_GB2312" w:eastAsia="仿宋_GB2312" w:cs="仿宋_GB2312"/>
          <w:spacing w:val="6"/>
          <w:sz w:val="32"/>
          <w:szCs w:val="32"/>
          <w:lang w:val="en-US" w:eastAsia="zh-CN"/>
        </w:rPr>
        <w:t>出具授信审批通知书，同意</w:t>
      </w:r>
      <w:r>
        <w:rPr>
          <w:rFonts w:hint="eastAsia" w:ascii="仿宋_GB2312" w:hAnsi="仿宋_GB2312" w:eastAsia="仿宋_GB2312" w:cs="仿宋_GB2312"/>
          <w:spacing w:val="6"/>
          <w:sz w:val="32"/>
          <w:szCs w:val="32"/>
          <w:lang w:val="en-US" w:eastAsia="zh-CN"/>
        </w:rPr>
        <w:t>授信</w:t>
      </w:r>
      <w:r>
        <w:rPr>
          <w:rFonts w:hint="eastAsia" w:ascii="Times New Roman" w:hAnsi="Times New Roman" w:eastAsia="仿宋_GB2312" w:cs="Times New Roman"/>
          <w:sz w:val="32"/>
          <w:szCs w:val="32"/>
          <w:lang w:val="en-US" w:eastAsia="zh-CN"/>
        </w:rPr>
        <w:t>597.5万元，授信期限1年，并在授信项下办理借新还旧，金额597.5万元，期限5年</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担保方式为：抵押</w:t>
      </w:r>
      <w:r>
        <w:rPr>
          <w:rFonts w:hint="eastAsia" w:ascii="仿宋_GB2312" w:hAnsi="仿宋_GB2312" w:eastAsia="仿宋_GB2312" w:cs="仿宋_GB2312"/>
          <w:spacing w:val="6"/>
          <w:sz w:val="32"/>
          <w:szCs w:val="32"/>
          <w:lang w:val="en-US" w:eastAsia="zh-CN"/>
        </w:rPr>
        <w:t>+保证</w:t>
      </w:r>
      <w:r>
        <w:rPr>
          <w:rFonts w:hint="default" w:ascii="仿宋_GB2312" w:hAnsi="仿宋_GB2312" w:eastAsia="仿宋_GB2312" w:cs="仿宋_GB2312"/>
          <w:spacing w:val="6"/>
          <w:sz w:val="32"/>
          <w:szCs w:val="32"/>
          <w:lang w:val="en-US" w:eastAsia="zh-CN"/>
        </w:rPr>
        <w:t>。抵押物为</w:t>
      </w:r>
      <w:r>
        <w:rPr>
          <w:rFonts w:hint="eastAsia" w:ascii="仿宋_GB2312" w:hAnsi="仿宋_GB2312" w:eastAsia="仿宋_GB2312" w:cs="仿宋_GB2312"/>
          <w:spacing w:val="6"/>
          <w:sz w:val="32"/>
          <w:szCs w:val="32"/>
          <w:lang w:val="en-US" w:eastAsia="zh-CN"/>
        </w:rPr>
        <w:t>：住宅116套及</w:t>
      </w:r>
      <w:r>
        <w:rPr>
          <w:rFonts w:hint="default" w:ascii="仿宋_GB2312" w:hAnsi="仿宋_GB2312" w:eastAsia="仿宋_GB2312" w:cs="仿宋_GB2312"/>
          <w:spacing w:val="6"/>
          <w:sz w:val="32"/>
          <w:szCs w:val="32"/>
          <w:lang w:val="en-US" w:eastAsia="zh-CN"/>
        </w:rPr>
        <w:t>商业</w:t>
      </w:r>
      <w:r>
        <w:rPr>
          <w:rFonts w:hint="eastAsia" w:ascii="仿宋_GB2312" w:hAnsi="仿宋_GB2312" w:eastAsia="仿宋_GB2312" w:cs="仿宋_GB2312"/>
          <w:spacing w:val="6"/>
          <w:sz w:val="32"/>
          <w:szCs w:val="32"/>
          <w:lang w:val="en-US" w:eastAsia="zh-CN"/>
        </w:rPr>
        <w:t>305</w:t>
      </w:r>
      <w:r>
        <w:rPr>
          <w:rFonts w:hint="default" w:ascii="仿宋_GB2312" w:hAnsi="仿宋_GB2312" w:eastAsia="仿宋_GB2312" w:cs="仿宋_GB2312"/>
          <w:spacing w:val="6"/>
          <w:sz w:val="32"/>
          <w:szCs w:val="32"/>
          <w:lang w:val="en-US" w:eastAsia="zh-CN"/>
        </w:rPr>
        <w:t>套，总面积29146.64平米</w:t>
      </w:r>
      <w:r>
        <w:rPr>
          <w:rFonts w:hint="eastAsia" w:ascii="仿宋_GB2312" w:hAnsi="仿宋_GB2312" w:eastAsia="仿宋_GB2312" w:cs="仿宋_GB2312"/>
          <w:spacing w:val="6"/>
          <w:sz w:val="32"/>
          <w:szCs w:val="32"/>
          <w:lang w:val="en-US" w:eastAsia="zh-CN"/>
        </w:rPr>
        <w:t>，位于福泉市马场坪办事处小河口福泉平越小镇。</w:t>
      </w:r>
    </w:p>
    <w:p w14:paraId="2F2F66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 w:hAnsi="仿宋" w:eastAsia="仿宋" w:cs="仿宋"/>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黑体" w:hAnsi="黑体" w:eastAsia="黑体" w:cs="黑体"/>
          <w:i w:val="0"/>
          <w:iCs w:val="0"/>
          <w:caps w:val="0"/>
          <w:color w:val="333333"/>
          <w:spacing w:val="0"/>
          <w:sz w:val="30"/>
          <w:szCs w:val="30"/>
          <w:u w:val="none"/>
          <w:lang w:val="en-US" w:eastAsia="zh-CN"/>
        </w:rPr>
        <w:t> </w:t>
      </w:r>
      <w:r>
        <w:rPr>
          <w:rFonts w:hint="default" w:ascii="黑体" w:hAnsi="黑体" w:eastAsia="黑体" w:cs="黑体"/>
          <w:i w:val="0"/>
          <w:iCs w:val="0"/>
          <w:caps w:val="0"/>
          <w:color w:val="333333"/>
          <w:spacing w:val="0"/>
          <w:sz w:val="32"/>
          <w:szCs w:val="32"/>
          <w:u w:val="none"/>
          <w:lang w:val="en-US" w:eastAsia="zh-CN"/>
        </w:rPr>
        <w:t xml:space="preserve"> 二、交易对手情况</w:t>
      </w:r>
    </w:p>
    <w:p w14:paraId="4AA083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（一）关联法人名称：</w:t>
      </w:r>
      <w:r>
        <w:rPr>
          <w:rFonts w:hint="eastAsia" w:ascii="仿宋_GB2312" w:hAnsi="仿宋_GB2312" w:eastAsia="仿宋_GB2312" w:cs="仿宋_GB2312"/>
          <w:spacing w:val="6"/>
          <w:sz w:val="32"/>
          <w:szCs w:val="32"/>
          <w:lang w:val="en-US" w:eastAsia="zh-CN"/>
        </w:rPr>
        <w:t>贵州福泉麒龙房地产开发有限公司。</w:t>
      </w:r>
    </w:p>
    <w:p w14:paraId="07A0F5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（二）企业类型：</w:t>
      </w:r>
      <w:r>
        <w:rPr>
          <w:rFonts w:hint="eastAsia" w:ascii="仿宋_GB2312" w:hAnsi="仿宋_GB2312" w:eastAsia="仿宋_GB2312" w:cs="仿宋_GB2312"/>
          <w:spacing w:val="6"/>
          <w:sz w:val="32"/>
          <w:szCs w:val="32"/>
          <w:lang w:val="en-US" w:eastAsia="zh-CN"/>
        </w:rPr>
        <w:t>有限责任公司。</w:t>
      </w:r>
    </w:p>
    <w:p w14:paraId="618FE24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（三）经营范围：法</w:t>
      </w:r>
      <w:r>
        <w:rPr>
          <w:rFonts w:hint="eastAsia" w:ascii="仿宋_GB2312" w:hAnsi="仿宋_GB2312" w:eastAsia="仿宋_GB2312" w:cs="仿宋_GB2312"/>
          <w:spacing w:val="6"/>
          <w:sz w:val="32"/>
          <w:szCs w:val="32"/>
          <w:lang w:val="en-US" w:eastAsia="zh-CN"/>
        </w:rPr>
        <w:t>律、法规、国务院决定规定禁止的不得经营；法律、法规、国务院决定规定应当许可（审批）的，经审批机关批准后凭许可（审批）文件经营;法律、法规、国务院决定规定无需许可（审批）的，市场主体自主选择经营。（房地产开发、经营销售；房屋租赁及仓储经营、管理；车库及商铺销售、经营、管理；物业管理农副产品市场、建材市场、综合市场的建设、物流服务；非金融性投资。（依法须经批准的项目凭许可经营）</w:t>
      </w:r>
    </w:p>
    <w:p w14:paraId="524756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（四）法定代表人：</w:t>
      </w:r>
      <w:r>
        <w:rPr>
          <w:rFonts w:hint="eastAsia" w:ascii="仿宋_GB2312" w:hAnsi="仿宋_GB2312" w:eastAsia="仿宋_GB2312" w:cs="仿宋_GB2312"/>
          <w:spacing w:val="6"/>
          <w:sz w:val="32"/>
          <w:szCs w:val="32"/>
          <w:lang w:val="en-US" w:eastAsia="zh-CN"/>
        </w:rPr>
        <w:t>赵雄。</w:t>
      </w:r>
    </w:p>
    <w:p w14:paraId="3FE4F1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（五）注册地：</w:t>
      </w:r>
      <w:r>
        <w:rPr>
          <w:rFonts w:hint="eastAsia" w:ascii="仿宋_GB2312" w:hAnsi="仿宋_GB2312" w:eastAsia="仿宋_GB2312" w:cs="仿宋_GB2312"/>
          <w:spacing w:val="6"/>
          <w:sz w:val="32"/>
          <w:szCs w:val="32"/>
          <w:lang w:val="en-US" w:eastAsia="zh-CN"/>
        </w:rPr>
        <w:t>贵州省黔南布依族苗族自治州福泉市金山办事处金鸡山路麒龙公园里营销中心</w:t>
      </w:r>
    </w:p>
    <w:p w14:paraId="3FBCB9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（六）注册资金：</w:t>
      </w:r>
      <w:r>
        <w:rPr>
          <w:rFonts w:hint="eastAsia" w:ascii="Times New Roman" w:hAnsi="Times New Roman" w:eastAsia="仿宋_GB2312" w:cs="仿宋_GB2312"/>
          <w:spacing w:val="6"/>
          <w:sz w:val="32"/>
          <w:szCs w:val="32"/>
          <w:lang w:val="en-US" w:eastAsia="zh-CN"/>
        </w:rPr>
        <w:t>1000</w:t>
      </w:r>
      <w:r>
        <w:rPr>
          <w:rFonts w:hint="eastAsia" w:ascii="仿宋_GB2312" w:hAnsi="仿宋_GB2312" w:eastAsia="仿宋_GB2312" w:cs="仿宋_GB2312"/>
          <w:spacing w:val="6"/>
          <w:sz w:val="32"/>
          <w:szCs w:val="32"/>
          <w:lang w:val="en-US" w:eastAsia="zh-CN"/>
        </w:rPr>
        <w:t>万元。由贵州麒龙房地产开发集团有限公司持股</w:t>
      </w:r>
      <w:r>
        <w:rPr>
          <w:rFonts w:hint="eastAsia" w:ascii="Times New Roman" w:hAnsi="Times New Roman" w:eastAsia="仿宋_GB2312" w:cs="仿宋_GB2312"/>
          <w:spacing w:val="6"/>
          <w:sz w:val="32"/>
          <w:szCs w:val="32"/>
          <w:lang w:val="en-US" w:eastAsia="zh-CN"/>
        </w:rPr>
        <w:t>100</w:t>
      </w:r>
      <w:r>
        <w:rPr>
          <w:rFonts w:hint="eastAsia" w:ascii="仿宋_GB2312" w:hAnsi="仿宋_GB2312" w:eastAsia="仿宋_GB2312" w:cs="仿宋_GB2312"/>
          <w:spacing w:val="6"/>
          <w:sz w:val="32"/>
          <w:szCs w:val="32"/>
          <w:lang w:val="en-US" w:eastAsia="zh-CN"/>
        </w:rPr>
        <w:t>%。</w:t>
      </w:r>
    </w:p>
    <w:p w14:paraId="54E495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98" w:firstLineChars="150"/>
        <w:jc w:val="both"/>
        <w:textAlignment w:val="center"/>
        <w:rPr>
          <w:rFonts w:hint="eastAsia" w:ascii="仿宋_GB2312" w:hAnsi="仿宋_GB2312" w:eastAsia="仿宋_GB2312" w:cs="仿宋_GB2312"/>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（七）统一社会信用代码：91522702MA6DNMHL5P</w:t>
      </w:r>
      <w:r>
        <w:rPr>
          <w:rFonts w:hint="eastAsia" w:ascii="仿宋_GB2312" w:hAnsi="仿宋_GB2312" w:eastAsia="仿宋_GB2312" w:cs="仿宋_GB2312"/>
          <w:spacing w:val="6"/>
          <w:sz w:val="32"/>
          <w:szCs w:val="32"/>
          <w:lang w:val="en-US" w:eastAsia="zh-CN"/>
        </w:rPr>
        <w:t>。</w:t>
      </w:r>
    </w:p>
    <w:p w14:paraId="41C2A878">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（八）与本行存在的关联关系：</w:t>
      </w:r>
    </w:p>
    <w:p w14:paraId="7E6E7AAA">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 贵州麒龙置业有限公司</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      持有本行股份3180.12万元，占本行实收资本的4.85%，其实际控股股东为贵州麒龙房地产开发集团有限公司（持股51%）。</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 xml:space="preserve">   2. 贵州福泉麒龙房地产开发有限公司</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      由贵州麒龙房地产开发集团有限公司100%控股。</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3. 贵州麒龙集团（瓮安）湖山悦府置业有限公司</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      由贵州麒龙房地产开发集团有限公司持股51%。</w:t>
      </w:r>
    </w:p>
    <w:p w14:paraId="21926B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以上三家公司</w:t>
      </w:r>
      <w:r>
        <w:rPr>
          <w:rFonts w:hint="eastAsia" w:ascii="仿宋_GB2312" w:hAnsi="仿宋_GB2312" w:eastAsia="仿宋_GB2312" w:cs="仿宋_GB2312"/>
          <w:spacing w:val="6"/>
          <w:sz w:val="32"/>
          <w:szCs w:val="32"/>
          <w:lang w:val="en-US" w:eastAsia="zh-CN"/>
        </w:rPr>
        <w:t>为本行关联方</w:t>
      </w:r>
      <w:r>
        <w:rPr>
          <w:rFonts w:hint="eastAsia" w:ascii="Times New Roman" w:hAnsi="Times New Roman" w:eastAsia="仿宋_GB2312" w:cs="Times New Roman"/>
          <w:sz w:val="32"/>
          <w:szCs w:val="32"/>
          <w:lang w:val="en-US" w:eastAsia="zh-CN"/>
        </w:rPr>
        <w:t>。</w:t>
      </w:r>
    </w:p>
    <w:p w14:paraId="58E91D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 w:hAnsi="仿宋" w:eastAsia="仿宋" w:cs="仿宋"/>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仿宋" w:hAnsi="仿宋" w:eastAsia="仿宋" w:cs="仿宋"/>
          <w:i w:val="0"/>
          <w:iCs w:val="0"/>
          <w:caps w:val="0"/>
          <w:color w:val="333333"/>
          <w:spacing w:val="0"/>
          <w:sz w:val="32"/>
          <w:szCs w:val="32"/>
          <w:u w:val="none"/>
          <w:lang w:val="en-US" w:eastAsia="zh-CN"/>
        </w:rPr>
        <w:t>    </w:t>
      </w:r>
      <w:r>
        <w:rPr>
          <w:rFonts w:hint="default" w:ascii="黑体" w:hAnsi="黑体" w:eastAsia="黑体" w:cs="黑体"/>
          <w:i w:val="0"/>
          <w:iCs w:val="0"/>
          <w:caps w:val="0"/>
          <w:color w:val="333333"/>
          <w:spacing w:val="0"/>
          <w:sz w:val="32"/>
          <w:szCs w:val="32"/>
          <w:u w:val="none"/>
          <w:lang w:val="en-US" w:eastAsia="zh-CN"/>
        </w:rPr>
        <w:t>三、定价政策</w:t>
      </w:r>
    </w:p>
    <w:p w14:paraId="73759F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_GB2312" w:hAnsi="仿宋_GB2312" w:eastAsia="仿宋_GB2312" w:cs="仿宋_GB2312"/>
          <w:spacing w:val="6"/>
          <w:sz w:val="32"/>
          <w:szCs w:val="32"/>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仿宋_GB2312" w:hAnsi="仿宋_GB2312" w:eastAsia="仿宋_GB2312" w:cs="仿宋_GB2312"/>
          <w:spacing w:val="6"/>
          <w:sz w:val="32"/>
          <w:szCs w:val="32"/>
          <w:lang w:val="en-US" w:eastAsia="zh-CN"/>
        </w:rPr>
        <w:t> </w:t>
      </w:r>
      <w:r>
        <w:rPr>
          <w:rFonts w:hint="eastAsia" w:ascii="仿宋_GB2312" w:hAnsi="仿宋_GB2312" w:eastAsia="仿宋_GB2312" w:cs="仿宋_GB2312"/>
          <w:spacing w:val="6"/>
          <w:sz w:val="32"/>
          <w:szCs w:val="32"/>
          <w:lang w:val="en-US" w:eastAsia="zh-CN"/>
        </w:rPr>
        <w:t>本笔交联交易价格</w:t>
      </w:r>
      <w:r>
        <w:rPr>
          <w:rFonts w:hint="default" w:ascii="仿宋_GB2312" w:hAnsi="仿宋_GB2312" w:eastAsia="仿宋_GB2312" w:cs="仿宋_GB2312"/>
          <w:spacing w:val="6"/>
          <w:sz w:val="32"/>
          <w:szCs w:val="32"/>
          <w:lang w:val="en-US" w:eastAsia="zh-CN"/>
        </w:rPr>
        <w:t>经授信审批委员会审议定价。</w:t>
      </w:r>
    </w:p>
    <w:p w14:paraId="75B1F6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黑体" w:hAnsi="黑体" w:eastAsia="黑体" w:cs="黑体"/>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仿宋" w:hAnsi="仿宋" w:eastAsia="仿宋" w:cs="仿宋"/>
          <w:i w:val="0"/>
          <w:iCs w:val="0"/>
          <w:caps w:val="0"/>
          <w:color w:val="333333"/>
          <w:spacing w:val="0"/>
          <w:sz w:val="32"/>
          <w:szCs w:val="32"/>
          <w:u w:val="none"/>
          <w:lang w:val="en-US" w:eastAsia="zh-CN"/>
        </w:rPr>
        <w:t>   </w:t>
      </w:r>
      <w:r>
        <w:rPr>
          <w:rFonts w:hint="default" w:ascii="黑体" w:hAnsi="黑体" w:eastAsia="黑体" w:cs="黑体"/>
          <w:i w:val="0"/>
          <w:iCs w:val="0"/>
          <w:caps w:val="0"/>
          <w:color w:val="333333"/>
          <w:spacing w:val="0"/>
          <w:sz w:val="32"/>
          <w:szCs w:val="32"/>
          <w:u w:val="none"/>
          <w:lang w:val="en-US" w:eastAsia="zh-CN"/>
        </w:rPr>
        <w:t>四、关联交易金额及相应比例</w:t>
      </w:r>
    </w:p>
    <w:p w14:paraId="2DB067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eastAsia" w:ascii="Times New Roman" w:hAnsi="Times New Roman" w:eastAsia="仿宋_GB2312" w:cs="Times New Roman"/>
          <w:sz w:val="32"/>
          <w:szCs w:val="32"/>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eastAsia" w:ascii="仿宋" w:hAnsi="仿宋" w:eastAsia="仿宋" w:cs="仿宋"/>
          <w:i w:val="0"/>
          <w:iCs w:val="0"/>
          <w:caps w:val="0"/>
          <w:color w:val="333333"/>
          <w:spacing w:val="0"/>
          <w:sz w:val="30"/>
          <w:szCs w:val="30"/>
          <w:u w:val="none"/>
          <w:lang w:val="en-US" w:eastAsia="zh-CN"/>
        </w:rPr>
        <w:t xml:space="preserve"> </w:t>
      </w:r>
      <w:r>
        <w:rPr>
          <w:rFonts w:hint="eastAsia" w:ascii="Times New Roman" w:hAnsi="Times New Roman" w:eastAsia="仿宋_GB2312" w:cs="Times New Roman"/>
          <w:sz w:val="32"/>
          <w:szCs w:val="32"/>
          <w:lang w:val="en-US" w:eastAsia="zh-CN"/>
        </w:rPr>
        <w:t>本行上季度末资本净额为96019.88万元，贵州麒龙集团（瓮安）湖山悦府置业有限公司2022年在本行授信金额为2200万元，2023年授信金额为1598万元；贵州福泉麒龙房地产开发有限公司2023年5月在本行授信金额735.3万元，现申请授信597.5万元。</w:t>
      </w:r>
    </w:p>
    <w:p w14:paraId="4019EFF4">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银行保险机构关联交易管理办法〉相关问题答复口径》（银保监办便函〔2023〕25号）第8点规定，银行机构计算累计重大关联交易时，应当按照关联交易金额跨年度持续累计，累计起始时间自《银行保险机构关联交易管理办法》正式实施之日（2022年3月1日）起算。经累计计算，上述两家公司自2022年3月1日以来与本行发生的授信类关联交易金额合计为5,130.8万元，占本行上季度末资本净额5.34%，已超过《银行保险机构关联交易管理办法》第十四条规定的重大关联交易累计认定标准（上季末资本净额的5%）。未超过《银行保险机构关联交易管理办法》第二十七条“各级机构对关联方的授信余额不得突破以下比例限制：（一）对单个关联方的授信余额不得超过本行上季末资本净额的10%；（二）对单个关联法人或非法人组织所在集团客户的合计授信余额不得超过本行上季末资本净额的15%”的规定。</w:t>
      </w:r>
    </w:p>
    <w:p w14:paraId="615A2CC3">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同时，新增授信申请金额597.5万元占本行上季末资本净额的0.62%，尚未单独触发新增累计达到1%以上应重新认定的情形。 </w:t>
      </w:r>
    </w:p>
    <w:p w14:paraId="0A6580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default" w:ascii="仿宋_GB2312" w:hAnsi="仿宋_GB2312" w:eastAsia="仿宋_GB2312" w:cs="仿宋_GB2312"/>
          <w:spacing w:val="6"/>
          <w:sz w:val="32"/>
          <w:szCs w:val="32"/>
          <w:lang w:val="en-US" w:eastAsia="zh-CN"/>
        </w:rPr>
      </w:pPr>
      <w:r>
        <w:rPr>
          <w:rFonts w:hint="eastAsia" w:ascii="Times New Roman" w:hAnsi="Times New Roman" w:eastAsia="仿宋_GB2312" w:cs="Times New Roman"/>
          <w:sz w:val="32"/>
          <w:szCs w:val="32"/>
          <w:lang w:val="en-US" w:eastAsia="zh-CN"/>
        </w:rPr>
        <w:t>综上，本次交易认定为重大关联交易，符合相关规定及本行关联交易管理制度要求。</w:t>
      </w:r>
    </w:p>
    <w:p w14:paraId="24AE7C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黑体" w:hAnsi="黑体" w:eastAsia="黑体" w:cs="黑体"/>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xml:space="preserve">       </w:t>
      </w:r>
      <w:r>
        <w:rPr>
          <w:rFonts w:hint="default" w:ascii="黑体" w:hAnsi="黑体" w:eastAsia="黑体" w:cs="黑体"/>
          <w:i w:val="0"/>
          <w:iCs w:val="0"/>
          <w:caps w:val="0"/>
          <w:color w:val="333333"/>
          <w:spacing w:val="0"/>
          <w:sz w:val="32"/>
          <w:szCs w:val="32"/>
          <w:u w:val="none"/>
          <w:lang w:val="en-US" w:eastAsia="zh-CN"/>
        </w:rPr>
        <w:t>五、审议</w:t>
      </w:r>
      <w:r>
        <w:rPr>
          <w:rFonts w:hint="eastAsia" w:ascii="黑体" w:hAnsi="黑体" w:eastAsia="黑体" w:cs="黑体"/>
          <w:i w:val="0"/>
          <w:iCs w:val="0"/>
          <w:caps w:val="0"/>
          <w:color w:val="333333"/>
          <w:spacing w:val="0"/>
          <w:sz w:val="32"/>
          <w:szCs w:val="32"/>
          <w:u w:val="none"/>
          <w:lang w:val="en-US" w:eastAsia="zh-CN"/>
        </w:rPr>
        <w:t>审批</w:t>
      </w:r>
      <w:r>
        <w:rPr>
          <w:rFonts w:hint="default" w:ascii="黑体" w:hAnsi="黑体" w:eastAsia="黑体" w:cs="黑体"/>
          <w:i w:val="0"/>
          <w:iCs w:val="0"/>
          <w:caps w:val="0"/>
          <w:color w:val="333333"/>
          <w:spacing w:val="0"/>
          <w:sz w:val="32"/>
          <w:szCs w:val="32"/>
          <w:u w:val="none"/>
          <w:lang w:val="en-US" w:eastAsia="zh-CN"/>
        </w:rPr>
        <w:t>情况</w:t>
      </w:r>
    </w:p>
    <w:p w14:paraId="50B957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0" w:firstLineChars="200"/>
        <w:jc w:val="both"/>
        <w:textAlignment w:val="center"/>
        <w:rPr>
          <w:rFonts w:hint="eastAsia" w:ascii="仿宋_GB2312" w:hAnsi="仿宋_GB2312" w:eastAsia="仿宋_GB2312" w:cs="仿宋_GB2312"/>
          <w:spacing w:val="6"/>
          <w:sz w:val="32"/>
          <w:szCs w:val="32"/>
          <w:lang w:val="en-US"/>
        </w:rPr>
      </w:pPr>
      <w:r>
        <w:rPr>
          <w:rFonts w:hint="default" w:ascii="仿宋" w:hAnsi="仿宋" w:eastAsia="仿宋" w:cs="仿宋"/>
          <w:i w:val="0"/>
          <w:iCs w:val="0"/>
          <w:caps w:val="0"/>
          <w:color w:val="333333"/>
          <w:spacing w:val="0"/>
          <w:sz w:val="30"/>
          <w:szCs w:val="30"/>
          <w:u w:val="none"/>
          <w:lang w:val="en-US" w:eastAsia="zh-CN"/>
        </w:rPr>
        <w:t>  </w:t>
      </w:r>
      <w:r>
        <w:rPr>
          <w:rFonts w:hint="eastAsia" w:ascii="仿宋_GB2312" w:hAnsi="仿宋_GB2312" w:eastAsia="仿宋_GB2312" w:cs="仿宋_GB2312"/>
          <w:spacing w:val="6"/>
          <w:sz w:val="32"/>
          <w:szCs w:val="32"/>
          <w:lang w:val="en-US"/>
        </w:rPr>
        <w:t>经营层授信审批委员会审查后提交董事会合规与关联交易控制委员会进行</w:t>
      </w:r>
      <w:r>
        <w:rPr>
          <w:rFonts w:hint="eastAsia" w:ascii="仿宋_GB2312" w:hAnsi="仿宋_GB2312" w:eastAsia="仿宋_GB2312" w:cs="仿宋_GB2312"/>
          <w:spacing w:val="6"/>
          <w:sz w:val="32"/>
          <w:szCs w:val="32"/>
          <w:lang w:val="en-US" w:eastAsia="zh-CN"/>
        </w:rPr>
        <w:t>审核</w:t>
      </w:r>
      <w:r>
        <w:rPr>
          <w:rFonts w:hint="eastAsia" w:ascii="仿宋_GB2312" w:hAnsi="仿宋_GB2312" w:eastAsia="仿宋_GB2312" w:cs="仿宋_GB2312"/>
          <w:color w:val="auto"/>
          <w:spacing w:val="6"/>
          <w:sz w:val="32"/>
          <w:szCs w:val="32"/>
          <w:lang w:val="en-US"/>
        </w:rPr>
        <w:t>，</w:t>
      </w:r>
      <w:r>
        <w:rPr>
          <w:rFonts w:hint="eastAsia" w:ascii="仿宋_GB2312" w:hAnsi="仿宋_GB2312" w:eastAsia="仿宋_GB2312" w:cs="仿宋_GB2312"/>
          <w:color w:val="auto"/>
          <w:spacing w:val="6"/>
          <w:sz w:val="32"/>
          <w:szCs w:val="32"/>
          <w:lang w:val="en-US" w:eastAsia="zh-CN"/>
        </w:rPr>
        <w:t>审核通过后，</w:t>
      </w:r>
      <w:r>
        <w:rPr>
          <w:rFonts w:hint="eastAsia" w:ascii="仿宋_GB2312" w:hAnsi="仿宋_GB2312" w:eastAsia="仿宋_GB2312" w:cs="仿宋_GB2312"/>
          <w:spacing w:val="6"/>
          <w:sz w:val="32"/>
          <w:szCs w:val="32"/>
          <w:lang w:val="en-US"/>
        </w:rPr>
        <w:t>提交董事会进行审议</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val="en-US"/>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lang w:val="en-US"/>
        </w:rPr>
        <w:t>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lang w:val="en-US"/>
        </w:rPr>
        <w:t>月</w:t>
      </w:r>
      <w:r>
        <w:rPr>
          <w:rFonts w:hint="eastAsia" w:ascii="仿宋_GB2312" w:hAnsi="仿宋_GB2312" w:eastAsia="仿宋_GB2312" w:cs="仿宋_GB2312"/>
          <w:spacing w:val="6"/>
          <w:sz w:val="32"/>
          <w:szCs w:val="32"/>
          <w:lang w:val="en-US" w:eastAsia="zh-CN"/>
        </w:rPr>
        <w:t>20</w:t>
      </w:r>
      <w:r>
        <w:rPr>
          <w:rFonts w:hint="eastAsia" w:ascii="仿宋_GB2312" w:hAnsi="仿宋_GB2312" w:eastAsia="仿宋_GB2312" w:cs="仿宋_GB2312"/>
          <w:spacing w:val="6"/>
          <w:sz w:val="32"/>
          <w:szCs w:val="32"/>
          <w:lang w:val="en-US"/>
        </w:rPr>
        <w:t>日</w:t>
      </w:r>
      <w:r>
        <w:rPr>
          <w:rFonts w:hint="eastAsia" w:ascii="仿宋_GB2312" w:hAnsi="仿宋_GB2312" w:eastAsia="仿宋_GB2312" w:cs="仿宋_GB2312"/>
          <w:spacing w:val="6"/>
          <w:sz w:val="32"/>
          <w:szCs w:val="32"/>
          <w:lang w:val="en-US" w:eastAsia="zh-CN"/>
        </w:rPr>
        <w:t>本行</w:t>
      </w:r>
      <w:r>
        <w:rPr>
          <w:rFonts w:hint="eastAsia" w:ascii="仿宋_GB2312" w:hAnsi="仿宋_GB2312" w:eastAsia="仿宋_GB2312" w:cs="仿宋_GB2312"/>
          <w:spacing w:val="6"/>
          <w:sz w:val="32"/>
          <w:szCs w:val="32"/>
          <w:lang w:val="en-US"/>
        </w:rPr>
        <w:t>第四届董事会第</w:t>
      </w:r>
      <w:r>
        <w:rPr>
          <w:rFonts w:hint="eastAsia" w:ascii="仿宋_GB2312" w:hAnsi="仿宋_GB2312" w:eastAsia="仿宋_GB2312" w:cs="仿宋_GB2312"/>
          <w:spacing w:val="6"/>
          <w:sz w:val="32"/>
          <w:szCs w:val="32"/>
          <w:lang w:val="en-US" w:eastAsia="zh-CN"/>
        </w:rPr>
        <w:t>十一</w:t>
      </w:r>
      <w:r>
        <w:rPr>
          <w:rFonts w:hint="eastAsia" w:ascii="仿宋_GB2312" w:hAnsi="仿宋_GB2312" w:eastAsia="仿宋_GB2312" w:cs="仿宋_GB2312"/>
          <w:spacing w:val="6"/>
          <w:sz w:val="32"/>
          <w:szCs w:val="32"/>
          <w:lang w:val="en-US"/>
        </w:rPr>
        <w:t>次临时会议审议通过，</w:t>
      </w:r>
      <w:r>
        <w:rPr>
          <w:rFonts w:hint="eastAsia" w:ascii="仿宋_GB2312" w:hAnsi="仿宋_GB2312" w:eastAsia="仿宋_GB2312" w:cs="仿宋_GB2312"/>
          <w:spacing w:val="6"/>
          <w:sz w:val="32"/>
          <w:szCs w:val="32"/>
          <w:lang w:val="en-US" w:eastAsia="zh-CN"/>
        </w:rPr>
        <w:t>同意授信597.5万元，授信期限1年，并在授信项下办理借新还旧，金额597.5万元，期限5年。</w:t>
      </w:r>
    </w:p>
    <w:p w14:paraId="25AE1A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黑体" w:hAnsi="黑体" w:eastAsia="黑体" w:cs="黑体"/>
          <w:i w:val="0"/>
          <w:iCs w:val="0"/>
          <w:caps w:val="0"/>
          <w:color w:val="333333"/>
          <w:spacing w:val="0"/>
          <w:sz w:val="32"/>
          <w:szCs w:val="32"/>
          <w:u w:val="none"/>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黑体" w:hAnsi="黑体" w:eastAsia="黑体" w:cs="黑体"/>
          <w:i w:val="0"/>
          <w:iCs w:val="0"/>
          <w:caps w:val="0"/>
          <w:color w:val="333333"/>
          <w:spacing w:val="0"/>
          <w:sz w:val="30"/>
          <w:szCs w:val="30"/>
          <w:u w:val="none"/>
          <w:lang w:val="en-US" w:eastAsia="zh-CN"/>
        </w:rPr>
        <w:t> </w:t>
      </w:r>
      <w:r>
        <w:rPr>
          <w:rFonts w:hint="eastAsia" w:ascii="黑体" w:hAnsi="黑体" w:eastAsia="黑体" w:cs="黑体"/>
          <w:i w:val="0"/>
          <w:iCs w:val="0"/>
          <w:caps w:val="0"/>
          <w:color w:val="333333"/>
          <w:spacing w:val="0"/>
          <w:sz w:val="32"/>
          <w:szCs w:val="32"/>
          <w:u w:val="none"/>
          <w:lang w:val="en-US" w:eastAsia="zh-CN"/>
        </w:rPr>
        <w:t>六</w:t>
      </w:r>
      <w:r>
        <w:rPr>
          <w:rFonts w:hint="default" w:ascii="黑体" w:hAnsi="黑体" w:eastAsia="黑体" w:cs="黑体"/>
          <w:i w:val="0"/>
          <w:iCs w:val="0"/>
          <w:caps w:val="0"/>
          <w:color w:val="333333"/>
          <w:spacing w:val="0"/>
          <w:sz w:val="32"/>
          <w:szCs w:val="32"/>
          <w:u w:val="none"/>
          <w:lang w:val="en-US" w:eastAsia="zh-CN"/>
        </w:rPr>
        <w:t>、其他需要披露的事项</w:t>
      </w:r>
    </w:p>
    <w:p w14:paraId="49D4C2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_GB2312" w:hAnsi="仿宋_GB2312" w:eastAsia="仿宋_GB2312" w:cs="仿宋_GB2312"/>
          <w:spacing w:val="6"/>
          <w:sz w:val="32"/>
          <w:szCs w:val="32"/>
          <w:lang w:val="en-US" w:eastAsia="zh-CN"/>
        </w:rPr>
      </w:pPr>
      <w:r>
        <w:rPr>
          <w:rFonts w:hint="default" w:ascii="仿宋" w:hAnsi="仿宋" w:eastAsia="仿宋" w:cs="仿宋"/>
          <w:i w:val="0"/>
          <w:iCs w:val="0"/>
          <w:caps w:val="0"/>
          <w:color w:val="333333"/>
          <w:spacing w:val="0"/>
          <w:sz w:val="30"/>
          <w:szCs w:val="30"/>
          <w:u w:val="none"/>
          <w:lang w:val="en-US" w:eastAsia="zh-CN"/>
        </w:rPr>
        <w:t> </w:t>
      </w:r>
      <w:r>
        <w:rPr>
          <w:rFonts w:hint="default" w:ascii="仿宋_GB2312" w:hAnsi="仿宋_GB2312" w:eastAsia="仿宋_GB2312" w:cs="仿宋_GB2312"/>
          <w:spacing w:val="6"/>
          <w:sz w:val="32"/>
          <w:szCs w:val="32"/>
          <w:lang w:val="en-US" w:eastAsia="zh-CN"/>
        </w:rPr>
        <w:t>     以上交易已经向国家金融监督管理总局</w:t>
      </w:r>
      <w:r>
        <w:rPr>
          <w:rFonts w:hint="eastAsia" w:ascii="仿宋_GB2312" w:hAnsi="仿宋_GB2312" w:eastAsia="仿宋_GB2312" w:cs="仿宋_GB2312"/>
          <w:spacing w:val="6"/>
          <w:sz w:val="32"/>
          <w:szCs w:val="32"/>
          <w:lang w:val="en-US" w:eastAsia="zh-CN"/>
        </w:rPr>
        <w:t>黔南</w:t>
      </w:r>
      <w:r>
        <w:rPr>
          <w:rFonts w:hint="default" w:ascii="仿宋_GB2312" w:hAnsi="仿宋_GB2312" w:eastAsia="仿宋_GB2312" w:cs="仿宋_GB2312"/>
          <w:spacing w:val="6"/>
          <w:sz w:val="32"/>
          <w:szCs w:val="32"/>
          <w:lang w:val="en-US" w:eastAsia="zh-CN"/>
        </w:rPr>
        <w:t>监管分局书面报告！</w:t>
      </w:r>
    </w:p>
    <w:p w14:paraId="1161E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 w:hAnsi="仿宋" w:eastAsia="仿宋" w:cs="仿宋"/>
          <w:i w:val="0"/>
          <w:iCs w:val="0"/>
          <w:caps w:val="0"/>
          <w:color w:val="333333"/>
          <w:spacing w:val="0"/>
          <w:sz w:val="30"/>
          <w:szCs w:val="30"/>
          <w:u w:val="none"/>
          <w:lang w:val="en-US" w:eastAsia="zh-CN"/>
        </w:rPr>
      </w:pPr>
      <w:r>
        <w:rPr>
          <w:rFonts w:hint="default" w:ascii="仿宋" w:hAnsi="仿宋" w:eastAsia="仿宋" w:cs="仿宋"/>
          <w:i w:val="0"/>
          <w:iCs w:val="0"/>
          <w:caps w:val="0"/>
          <w:color w:val="333333"/>
          <w:spacing w:val="0"/>
          <w:sz w:val="30"/>
          <w:szCs w:val="30"/>
          <w:u w:val="none"/>
          <w:lang w:val="en-US" w:eastAsia="zh-CN"/>
        </w:rPr>
        <w:t>       </w:t>
      </w:r>
    </w:p>
    <w:p w14:paraId="75954F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3300" w:firstLineChars="1100"/>
        <w:jc w:val="both"/>
        <w:textAlignment w:val="center"/>
        <w:rPr>
          <w:rFonts w:hint="eastAsia" w:ascii="仿宋" w:hAnsi="仿宋" w:eastAsia="仿宋" w:cs="仿宋"/>
          <w:i w:val="0"/>
          <w:iCs w:val="0"/>
          <w:caps w:val="0"/>
          <w:color w:val="333333"/>
          <w:spacing w:val="0"/>
          <w:sz w:val="30"/>
          <w:szCs w:val="30"/>
          <w:u w:val="none"/>
          <w:lang w:val="en-US" w:eastAsia="zh-CN"/>
        </w:rPr>
      </w:pPr>
    </w:p>
    <w:p w14:paraId="322C23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2988" w:firstLineChars="900"/>
        <w:jc w:val="both"/>
        <w:textAlignment w:val="center"/>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贵州瓮安农村商业银行股份有限公司</w:t>
      </w:r>
    </w:p>
    <w:p w14:paraId="01830F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                            </w:t>
      </w:r>
      <w:r>
        <w:rPr>
          <w:rFonts w:hint="eastAsia" w:ascii="Times New Roman" w:hAnsi="Times New Roman" w:eastAsia="仿宋_GB2312" w:cs="仿宋_GB2312"/>
          <w:spacing w:val="6"/>
          <w:sz w:val="32"/>
          <w:szCs w:val="32"/>
          <w:lang w:val="en-US" w:eastAsia="zh-CN"/>
        </w:rPr>
        <w:t>2025</w:t>
      </w:r>
      <w:r>
        <w:rPr>
          <w:rFonts w:hint="eastAsia" w:ascii="仿宋_GB2312" w:hAnsi="仿宋_GB2312" w:eastAsia="仿宋_GB2312" w:cs="仿宋_GB2312"/>
          <w:spacing w:val="6"/>
          <w:sz w:val="32"/>
          <w:szCs w:val="32"/>
          <w:lang w:val="en-US" w:eastAsia="zh-CN"/>
        </w:rPr>
        <w:t>年</w:t>
      </w:r>
      <w:r>
        <w:rPr>
          <w:rFonts w:hint="eastAsia" w:ascii="Times New Roman" w:hAnsi="Times New Roman" w:eastAsia="仿宋_GB2312" w:cs="仿宋_GB2312"/>
          <w:spacing w:val="6"/>
          <w:sz w:val="32"/>
          <w:szCs w:val="32"/>
          <w:lang w:val="en-US" w:eastAsia="zh-CN"/>
        </w:rPr>
        <w:t>5</w:t>
      </w:r>
      <w:r>
        <w:rPr>
          <w:rFonts w:hint="eastAsia" w:ascii="仿宋_GB2312" w:hAnsi="仿宋_GB2312" w:eastAsia="仿宋_GB2312" w:cs="仿宋_GB2312"/>
          <w:spacing w:val="6"/>
          <w:sz w:val="32"/>
          <w:szCs w:val="32"/>
          <w:lang w:val="en-US" w:eastAsia="zh-CN"/>
        </w:rPr>
        <w:t>月</w:t>
      </w:r>
      <w:r>
        <w:rPr>
          <w:rFonts w:hint="eastAsia" w:ascii="Times New Roman" w:hAnsi="Times New Roman" w:eastAsia="仿宋_GB2312" w:cs="仿宋_GB2312"/>
          <w:spacing w:val="6"/>
          <w:sz w:val="32"/>
          <w:szCs w:val="32"/>
          <w:lang w:val="en-US" w:eastAsia="zh-CN"/>
        </w:rPr>
        <w:t>29</w:t>
      </w:r>
      <w:r>
        <w:rPr>
          <w:rFonts w:hint="default" w:ascii="仿宋_GB2312" w:hAnsi="仿宋_GB2312" w:eastAsia="仿宋_GB2312" w:cs="仿宋_GB2312"/>
          <w:spacing w:val="6"/>
          <w:sz w:val="32"/>
          <w:szCs w:val="32"/>
          <w:lang w:val="en-US" w:eastAsia="zh-CN"/>
        </w:rPr>
        <w:t> 日       </w:t>
      </w:r>
      <w:r>
        <w:rPr>
          <w:rFonts w:hint="eastAsia" w:ascii="仿宋_GB2312" w:hAnsi="仿宋_GB2312" w:eastAsia="仿宋_GB2312" w:cs="仿宋_GB2312"/>
          <w:spacing w:val="6"/>
          <w:sz w:val="32"/>
          <w:szCs w:val="32"/>
          <w:lang w:val="en-US" w:eastAsia="zh-CN"/>
        </w:rPr>
        <w:t xml:space="preserve">    </w:t>
      </w:r>
    </w:p>
    <w:p w14:paraId="3AC72E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center"/>
        <w:rPr>
          <w:rFonts w:hint="eastAsia" w:ascii="仿宋_GB2312" w:hAnsi="仿宋_GB2312" w:eastAsia="仿宋_GB2312" w:cs="仿宋_GB2312"/>
          <w:spacing w:val="6"/>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8D9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E8E6F">
                          <w:pPr>
                            <w:pStyle w:val="9"/>
                            <w:rPr>
                              <w:rFonts w:hint="eastAsia" w:eastAsiaTheme="minorEastAsia"/>
                              <w:lang w:eastAsia="zh-CN"/>
                            </w:rPr>
                          </w:pPr>
                          <w:r>
                            <w:rPr>
                              <w:rFonts w:hint="eastAsia"/>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E8E6F">
                    <w:pPr>
                      <w:pStyle w:val="9"/>
                      <w:rPr>
                        <w:rFonts w:hint="eastAsia" w:eastAsiaTheme="minorEastAsia"/>
                        <w:lang w:eastAsia="zh-CN"/>
                      </w:rPr>
                    </w:pPr>
                    <w:r>
                      <w:rPr>
                        <w:rFonts w:hint="eastAsia"/>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YTAxMDM4MmJhYTMwZTgzZjJjN2ViYzgyNjVkZTcifQ=="/>
  </w:docVars>
  <w:rsids>
    <w:rsidRoot w:val="00000000"/>
    <w:rsid w:val="00A02E80"/>
    <w:rsid w:val="0AB01B43"/>
    <w:rsid w:val="0E734FE7"/>
    <w:rsid w:val="1C150606"/>
    <w:rsid w:val="1C8848D8"/>
    <w:rsid w:val="1F941997"/>
    <w:rsid w:val="20081F3B"/>
    <w:rsid w:val="2A870238"/>
    <w:rsid w:val="2B052CF7"/>
    <w:rsid w:val="2F5B00C1"/>
    <w:rsid w:val="3525170B"/>
    <w:rsid w:val="3E217342"/>
    <w:rsid w:val="460B21D1"/>
    <w:rsid w:val="4CCD2790"/>
    <w:rsid w:val="5A342731"/>
    <w:rsid w:val="5B1D0375"/>
    <w:rsid w:val="5F2525CE"/>
    <w:rsid w:val="66C54B55"/>
    <w:rsid w:val="69FF188D"/>
    <w:rsid w:val="6E9C141A"/>
    <w:rsid w:val="75AE6F45"/>
    <w:rsid w:val="76B9314B"/>
    <w:rsid w:val="79403E77"/>
    <w:rsid w:val="7A51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rPr>
      <w:szCs w:val="21"/>
    </w:rPr>
  </w:style>
  <w:style w:type="paragraph" w:styleId="4">
    <w:name w:val="Body Text Indent 2"/>
    <w:basedOn w:val="1"/>
    <w:next w:val="5"/>
    <w:unhideWhenUsed/>
    <w:qFormat/>
    <w:uiPriority w:val="99"/>
    <w:pPr>
      <w:spacing w:after="120" w:line="480" w:lineRule="auto"/>
      <w:ind w:left="420" w:leftChars="200"/>
    </w:pPr>
    <w:rPr>
      <w:rFonts w:ascii="Times New Roman" w:hAnsi="Times New Roman" w:eastAsia="宋体" w:cs="Times New Roman"/>
      <w:szCs w:val="24"/>
    </w:rPr>
  </w:style>
  <w:style w:type="paragraph" w:styleId="5">
    <w:name w:val="Body Text Indent 3"/>
    <w:basedOn w:val="1"/>
    <w:unhideWhenUsed/>
    <w:qFormat/>
    <w:uiPriority w:val="99"/>
    <w:pPr>
      <w:ind w:firstLine="640" w:firstLineChars="200"/>
    </w:pPr>
    <w:rPr>
      <w:rFonts w:ascii="仿宋_GB2312" w:hAnsi="Times New Roman" w:eastAsia="宋体"/>
    </w:rPr>
  </w:style>
  <w:style w:type="paragraph" w:styleId="6">
    <w:name w:val="Body Text First Indent"/>
    <w:basedOn w:val="7"/>
    <w:unhideWhenUsed/>
    <w:qFormat/>
    <w:uiPriority w:val="99"/>
    <w:pPr>
      <w:ind w:firstLine="420" w:firstLineChars="100"/>
    </w:pPr>
  </w:style>
  <w:style w:type="paragraph" w:styleId="7">
    <w:name w:val="Body Text"/>
    <w:basedOn w:val="1"/>
    <w:next w:val="1"/>
    <w:unhideWhenUsed/>
    <w:qFormat/>
    <w:uiPriority w:val="1"/>
    <w:pPr>
      <w:autoSpaceDE w:val="0"/>
      <w:autoSpaceDN w:val="0"/>
      <w:adjustRightInd w:val="0"/>
      <w:spacing w:beforeLines="0" w:afterLines="0"/>
      <w:jc w:val="left"/>
    </w:pPr>
    <w:rPr>
      <w:rFonts w:hint="eastAsia" w:ascii="仿宋_GB2312" w:hAnsi="仿宋_GB2312" w:eastAsia="仿宋_GB2312"/>
      <w:kern w:val="0"/>
      <w:sz w:val="32"/>
      <w:szCs w:val="20"/>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首行缩进"/>
    <w:basedOn w:val="1"/>
    <w:qFormat/>
    <w:uiPriority w:val="0"/>
    <w:pPr>
      <w:ind w:firstLine="200" w:firstLineChars="200"/>
    </w:pPr>
    <w:rPr>
      <w:lang w:val="zh-CN" w:eastAsia="zh-CN"/>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1313</Words>
  <Characters>1421</Characters>
  <Lines>0</Lines>
  <Paragraphs>0</Paragraphs>
  <TotalTime>3</TotalTime>
  <ScaleCrop>false</ScaleCrop>
  <LinksUpToDate>false</LinksUpToDate>
  <CharactersWithSpaces>1544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2023-12-12T01:28:00Z</dcterms:created>
  <dc:creator>Administrator.it-202208221118</dc:creator>
  <cp:lastModifiedBy>133722-黎庆芬</cp:lastModifiedBy>
  <dcterms:modified xsi:type="dcterms:W3CDTF">2026-05-29T08:04:14Z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C6441A99DA104DE4832BEAC30AEA5D7E_13</vt:lpwstr>
  </property>
</Properties>
</file>