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21875">
      <w:pPr>
        <w:widowControl w:val="0"/>
        <w:jc w:val="center"/>
        <w:rPr>
          <w:rFonts w:ascii="宋体"/>
          <w:b/>
          <w:sz w:val="84"/>
          <w:szCs w:val="84"/>
        </w:rPr>
      </w:pPr>
    </w:p>
    <w:p w14:paraId="7A9AF5CE">
      <w:pPr>
        <w:widowControl w:val="0"/>
        <w:spacing w:line="1000" w:lineRule="exact"/>
        <w:jc w:val="center"/>
        <w:textAlignment w:val="auto"/>
        <w:rPr>
          <w:rFonts w:ascii="宋体" w:hAnsi="宋体"/>
          <w:b/>
          <w:bCs/>
          <w:spacing w:val="-20"/>
          <w:sz w:val="72"/>
        </w:rPr>
      </w:pPr>
      <w:r>
        <w:rPr>
          <w:rFonts w:hint="eastAsia" w:ascii="宋体"/>
          <w:b/>
          <w:bCs/>
          <w:sz w:val="56"/>
          <w:szCs w:val="48"/>
        </w:rPr>
        <w:t>贵州普定农村商业银行股份有限公司采购综合法律顾问项目(第二次)</w:t>
      </w:r>
    </w:p>
    <w:p w14:paraId="53C84AD3">
      <w:pPr>
        <w:widowControl w:val="0"/>
        <w:spacing w:line="1000" w:lineRule="exact"/>
        <w:jc w:val="center"/>
        <w:textAlignment w:val="auto"/>
        <w:rPr>
          <w:rFonts w:ascii="宋体" w:hAnsi="宋体"/>
          <w:b/>
          <w:bCs/>
          <w:spacing w:val="-20"/>
          <w:sz w:val="72"/>
        </w:rPr>
      </w:pPr>
    </w:p>
    <w:p w14:paraId="48E03D66">
      <w:pPr>
        <w:widowControl w:val="0"/>
        <w:spacing w:line="1000" w:lineRule="exact"/>
        <w:jc w:val="center"/>
        <w:textAlignment w:val="auto"/>
        <w:rPr>
          <w:rFonts w:ascii="宋体"/>
          <w:b/>
          <w:bCs/>
          <w:spacing w:val="-20"/>
          <w:sz w:val="72"/>
        </w:rPr>
      </w:pPr>
      <w:r>
        <w:rPr>
          <w:rFonts w:hint="eastAsia" w:ascii="宋体" w:hAnsi="宋体"/>
          <w:b/>
          <w:bCs/>
          <w:spacing w:val="-20"/>
          <w:sz w:val="72"/>
        </w:rPr>
        <w:t>竞争性磋商文件</w:t>
      </w:r>
    </w:p>
    <w:p w14:paraId="0372F4FE">
      <w:pPr>
        <w:widowControl w:val="0"/>
        <w:ind w:firstLine="3753" w:firstLineChars="445"/>
        <w:textAlignment w:val="auto"/>
        <w:rPr>
          <w:rFonts w:ascii="宋体"/>
          <w:b/>
          <w:bCs/>
          <w:sz w:val="84"/>
        </w:rPr>
      </w:pPr>
    </w:p>
    <w:p w14:paraId="7AB33354">
      <w:pPr>
        <w:widowControl w:val="0"/>
        <w:jc w:val="center"/>
        <w:textAlignment w:val="auto"/>
        <w:rPr>
          <w:rFonts w:ascii="宋体"/>
          <w:b/>
          <w:bCs/>
          <w:sz w:val="32"/>
        </w:rPr>
      </w:pPr>
    </w:p>
    <w:p w14:paraId="2B73A255">
      <w:pPr>
        <w:widowControl w:val="0"/>
        <w:textAlignment w:val="auto"/>
        <w:rPr>
          <w:rFonts w:ascii="宋体"/>
          <w:b/>
          <w:bCs/>
          <w:sz w:val="32"/>
        </w:rPr>
      </w:pPr>
    </w:p>
    <w:p w14:paraId="24365966">
      <w:pPr>
        <w:widowControl w:val="0"/>
        <w:textAlignment w:val="auto"/>
        <w:rPr>
          <w:rFonts w:ascii="宋体"/>
          <w:b/>
          <w:bCs/>
          <w:sz w:val="32"/>
        </w:rPr>
      </w:pPr>
    </w:p>
    <w:p w14:paraId="36B4DB5C">
      <w:pPr>
        <w:widowControl w:val="0"/>
        <w:ind w:firstLine="964" w:firstLineChars="300"/>
        <w:textAlignment w:val="auto"/>
        <w:rPr>
          <w:rFonts w:ascii="宋体"/>
          <w:b/>
          <w:bCs/>
          <w:sz w:val="32"/>
        </w:rPr>
      </w:pPr>
    </w:p>
    <w:p w14:paraId="6BD823B9">
      <w:pPr>
        <w:widowControl w:val="0"/>
        <w:ind w:firstLine="964" w:firstLineChars="300"/>
        <w:textAlignment w:val="auto"/>
        <w:rPr>
          <w:rFonts w:ascii="宋体"/>
          <w:b/>
          <w:bCs/>
          <w:sz w:val="32"/>
        </w:rPr>
      </w:pPr>
    </w:p>
    <w:p w14:paraId="2005E0A0">
      <w:pPr>
        <w:widowControl w:val="0"/>
        <w:ind w:firstLine="964" w:firstLineChars="300"/>
        <w:textAlignment w:val="auto"/>
        <w:rPr>
          <w:rFonts w:ascii="宋体"/>
          <w:b/>
          <w:bCs/>
          <w:sz w:val="32"/>
        </w:rPr>
      </w:pPr>
    </w:p>
    <w:p w14:paraId="48365FA4">
      <w:pPr>
        <w:widowControl w:val="0"/>
        <w:ind w:firstLine="964" w:firstLineChars="300"/>
        <w:textAlignment w:val="auto"/>
        <w:rPr>
          <w:rFonts w:ascii="宋体"/>
          <w:b/>
          <w:bCs/>
          <w:sz w:val="32"/>
        </w:rPr>
      </w:pPr>
    </w:p>
    <w:p w14:paraId="3AA21714">
      <w:pPr>
        <w:widowControl w:val="0"/>
        <w:spacing w:line="500" w:lineRule="atLeast"/>
        <w:ind w:firstLine="1262" w:firstLineChars="419"/>
        <w:textAlignment w:val="auto"/>
        <w:rPr>
          <w:rFonts w:ascii="宋体"/>
          <w:b/>
          <w:bCs/>
          <w:sz w:val="30"/>
          <w:szCs w:val="30"/>
        </w:rPr>
      </w:pPr>
    </w:p>
    <w:p w14:paraId="093A7E72">
      <w:pPr>
        <w:widowControl w:val="0"/>
        <w:spacing w:line="500" w:lineRule="atLeast"/>
        <w:ind w:firstLine="1262" w:firstLineChars="419"/>
        <w:textAlignment w:val="auto"/>
        <w:rPr>
          <w:rFonts w:ascii="宋体"/>
          <w:b/>
          <w:bCs/>
          <w:sz w:val="30"/>
          <w:szCs w:val="30"/>
        </w:rPr>
      </w:pPr>
    </w:p>
    <w:p w14:paraId="6BEBEB4A">
      <w:pPr>
        <w:widowControl w:val="0"/>
        <w:tabs>
          <w:tab w:val="left" w:pos="8105"/>
        </w:tabs>
        <w:spacing w:line="500" w:lineRule="atLeast"/>
        <w:textAlignment w:val="auto"/>
        <w:rPr>
          <w:rFonts w:ascii="宋体"/>
          <w:b/>
          <w:bCs/>
          <w:sz w:val="30"/>
          <w:szCs w:val="30"/>
        </w:rPr>
      </w:pPr>
      <w:r>
        <w:rPr>
          <w:rFonts w:hint="eastAsia" w:ascii="宋体" w:hAnsi="宋体"/>
          <w:b/>
          <w:bCs/>
          <w:sz w:val="30"/>
          <w:szCs w:val="30"/>
        </w:rPr>
        <w:t>业主单位：</w:t>
      </w:r>
      <w:r>
        <w:rPr>
          <w:rFonts w:hint="eastAsia" w:ascii="宋体" w:hAnsi="宋体"/>
          <w:b/>
          <w:bCs/>
          <w:sz w:val="30"/>
          <w:szCs w:val="30"/>
          <w:u w:val="single"/>
        </w:rPr>
        <w:t>贵州普定农村商业银行股份有限公司</w:t>
      </w:r>
      <w:r>
        <w:rPr>
          <w:rFonts w:ascii="宋体"/>
          <w:b/>
          <w:bCs/>
          <w:sz w:val="30"/>
          <w:szCs w:val="30"/>
        </w:rPr>
        <w:tab/>
      </w:r>
    </w:p>
    <w:p w14:paraId="1AD7D551">
      <w:pPr>
        <w:widowControl w:val="0"/>
        <w:textAlignment w:val="auto"/>
        <w:rPr>
          <w:rFonts w:ascii="Calibri" w:hAnsi="Calibri"/>
        </w:rPr>
      </w:pPr>
    </w:p>
    <w:p w14:paraId="0A083D9E">
      <w:pPr>
        <w:spacing w:line="600" w:lineRule="atLeast"/>
        <w:rPr>
          <w:rStyle w:val="16"/>
          <w:rFonts w:ascii="宋体"/>
          <w:b/>
          <w:bCs/>
          <w:sz w:val="30"/>
          <w:szCs w:val="30"/>
        </w:rPr>
        <w:sectPr>
          <w:footerReference r:id="rId4" w:type="first"/>
          <w:footerReference r:id="rId3" w:type="default"/>
          <w:pgSz w:w="11906" w:h="16838"/>
          <w:pgMar w:top="1089" w:right="1106" w:bottom="1090" w:left="1259" w:header="624" w:footer="720" w:gutter="0"/>
          <w:pgNumType w:start="1"/>
          <w:cols w:space="425" w:num="1"/>
          <w:docGrid w:linePitch="312" w:charSpace="0"/>
        </w:sectPr>
      </w:pPr>
      <w:r>
        <w:rPr>
          <w:rStyle w:val="16"/>
          <w:rFonts w:hint="eastAsia" w:ascii="宋体"/>
          <w:b/>
          <w:bCs/>
          <w:sz w:val="30"/>
          <w:szCs w:val="30"/>
        </w:rPr>
        <w:t>日    期</w:t>
      </w:r>
      <w:r>
        <w:rPr>
          <w:rFonts w:hint="eastAsia" w:ascii="宋体" w:hAnsi="宋体"/>
          <w:b/>
          <w:bCs/>
          <w:sz w:val="30"/>
          <w:szCs w:val="30"/>
        </w:rPr>
        <w:t>：</w:t>
      </w:r>
      <w:r>
        <w:rPr>
          <w:rFonts w:hint="eastAsia" w:ascii="宋体" w:hAnsi="宋体"/>
          <w:b/>
          <w:bCs/>
          <w:sz w:val="30"/>
          <w:szCs w:val="30"/>
          <w:u w:val="single"/>
        </w:rPr>
        <w:t>2026年6月</w:t>
      </w:r>
    </w:p>
    <w:p w14:paraId="1A36F379">
      <w:pPr>
        <w:tabs>
          <w:tab w:val="left" w:pos="1245"/>
          <w:tab w:val="center" w:pos="4535"/>
        </w:tabs>
        <w:spacing w:line="600" w:lineRule="exact"/>
        <w:jc w:val="center"/>
        <w:rPr>
          <w:rStyle w:val="16"/>
          <w:rFonts w:ascii="宋体"/>
          <w:b/>
          <w:bCs/>
          <w:sz w:val="44"/>
          <w:szCs w:val="44"/>
        </w:rPr>
      </w:pPr>
      <w:r>
        <w:rPr>
          <w:rStyle w:val="16"/>
          <w:rFonts w:hint="eastAsia" w:ascii="宋体" w:hAnsi="宋体"/>
          <w:b/>
          <w:bCs/>
          <w:sz w:val="44"/>
          <w:szCs w:val="44"/>
        </w:rPr>
        <w:t>目</w:t>
      </w:r>
      <w:r>
        <w:rPr>
          <w:rStyle w:val="16"/>
          <w:rFonts w:ascii="宋体" w:hAnsi="宋体"/>
          <w:b/>
          <w:bCs/>
          <w:sz w:val="44"/>
          <w:szCs w:val="44"/>
        </w:rPr>
        <w:t xml:space="preserve">   </w:t>
      </w:r>
      <w:r>
        <w:rPr>
          <w:rStyle w:val="16"/>
          <w:rFonts w:hint="eastAsia" w:ascii="宋体" w:hAnsi="宋体"/>
          <w:b/>
          <w:bCs/>
          <w:sz w:val="44"/>
          <w:szCs w:val="44"/>
        </w:rPr>
        <w:t>录</w:t>
      </w:r>
    </w:p>
    <w:p w14:paraId="42B418DC">
      <w:pPr>
        <w:tabs>
          <w:tab w:val="left" w:pos="1245"/>
          <w:tab w:val="center" w:pos="4535"/>
        </w:tabs>
        <w:spacing w:line="600" w:lineRule="exact"/>
        <w:jc w:val="center"/>
        <w:rPr>
          <w:rStyle w:val="16"/>
          <w:rFonts w:ascii="宋体"/>
          <w:b/>
          <w:bCs/>
          <w:sz w:val="44"/>
          <w:szCs w:val="44"/>
        </w:rPr>
      </w:pPr>
    </w:p>
    <w:p w14:paraId="281A5A5D">
      <w:pPr>
        <w:tabs>
          <w:tab w:val="left" w:pos="1245"/>
          <w:tab w:val="center" w:pos="4535"/>
        </w:tabs>
        <w:spacing w:line="520" w:lineRule="exact"/>
        <w:jc w:val="distribute"/>
        <w:rPr>
          <w:rStyle w:val="16"/>
          <w:rFonts w:ascii="宋体"/>
          <w:bCs/>
          <w:spacing w:val="24"/>
          <w:sz w:val="24"/>
        </w:rPr>
      </w:pPr>
      <w:r>
        <w:rPr>
          <w:rStyle w:val="16"/>
          <w:rFonts w:hint="eastAsia" w:ascii="宋体" w:hAnsi="宋体"/>
          <w:bCs/>
          <w:sz w:val="24"/>
        </w:rPr>
        <w:t>第一章</w:t>
      </w:r>
      <w:r>
        <w:rPr>
          <w:rStyle w:val="16"/>
          <w:rFonts w:ascii="宋体" w:hAnsi="宋体"/>
          <w:bCs/>
          <w:sz w:val="24"/>
        </w:rPr>
        <w:t xml:space="preserve">  </w:t>
      </w:r>
      <w:r>
        <w:rPr>
          <w:rStyle w:val="16"/>
          <w:rFonts w:hint="eastAsia" w:ascii="宋体" w:hAnsi="宋体"/>
          <w:bCs/>
          <w:sz w:val="24"/>
        </w:rPr>
        <w:t>竞争性磋商</w:t>
      </w:r>
      <w:r>
        <w:rPr>
          <w:rStyle w:val="16"/>
          <w:rFonts w:hint="eastAsia" w:ascii="宋体" w:hAnsi="宋体"/>
          <w:bCs/>
          <w:spacing w:val="24"/>
          <w:sz w:val="24"/>
        </w:rPr>
        <w:t>公告…</w:t>
      </w:r>
      <w:r>
        <w:rPr>
          <w:rStyle w:val="16"/>
          <w:rFonts w:hint="eastAsia" w:ascii="宋体"/>
          <w:bCs/>
          <w:sz w:val="24"/>
        </w:rPr>
        <w:t>…………………………</w:t>
      </w:r>
      <w:r>
        <w:rPr>
          <w:rStyle w:val="16"/>
          <w:rFonts w:hint="eastAsia" w:ascii="宋体" w:hAnsi="宋体"/>
          <w:bCs/>
          <w:sz w:val="24"/>
        </w:rPr>
        <w:t>…</w:t>
      </w:r>
      <w:r>
        <w:rPr>
          <w:rStyle w:val="16"/>
          <w:rFonts w:hint="eastAsia" w:ascii="宋体"/>
          <w:bCs/>
          <w:sz w:val="24"/>
        </w:rPr>
        <w:t>……………………………………</w:t>
      </w:r>
      <w:r>
        <w:rPr>
          <w:rStyle w:val="16"/>
          <w:rFonts w:hint="eastAsia" w:ascii="宋体" w:hAnsi="宋体"/>
          <w:bCs/>
          <w:sz w:val="24"/>
        </w:rPr>
        <w:t>…3</w:t>
      </w:r>
    </w:p>
    <w:p w14:paraId="3DC214ED">
      <w:pPr>
        <w:tabs>
          <w:tab w:val="left" w:pos="1245"/>
          <w:tab w:val="center" w:pos="4535"/>
        </w:tabs>
        <w:spacing w:line="520" w:lineRule="exact"/>
        <w:jc w:val="distribute"/>
        <w:rPr>
          <w:rStyle w:val="16"/>
          <w:rFonts w:ascii="宋体"/>
          <w:bCs/>
          <w:sz w:val="24"/>
        </w:rPr>
      </w:pPr>
      <w:r>
        <w:rPr>
          <w:rStyle w:val="16"/>
          <w:rFonts w:hint="eastAsia" w:ascii="宋体" w:hAnsi="宋体"/>
          <w:bCs/>
          <w:sz w:val="24"/>
        </w:rPr>
        <w:t>第二章</w:t>
      </w:r>
      <w:r>
        <w:rPr>
          <w:rStyle w:val="16"/>
          <w:rFonts w:ascii="宋体" w:hAnsi="宋体"/>
          <w:bCs/>
          <w:sz w:val="24"/>
        </w:rPr>
        <w:t xml:space="preserve">  </w:t>
      </w:r>
      <w:r>
        <w:rPr>
          <w:rStyle w:val="16"/>
          <w:rFonts w:hint="eastAsia" w:ascii="宋体" w:hAnsi="宋体"/>
          <w:bCs/>
          <w:sz w:val="24"/>
        </w:rPr>
        <w:t>竞争性磋商须知</w:t>
      </w:r>
      <w:r>
        <w:rPr>
          <w:rStyle w:val="16"/>
          <w:rFonts w:hint="eastAsia" w:ascii="宋体" w:hAnsi="宋体"/>
          <w:bCs/>
          <w:spacing w:val="24"/>
          <w:sz w:val="24"/>
        </w:rPr>
        <w:t>…</w:t>
      </w:r>
      <w:r>
        <w:rPr>
          <w:rStyle w:val="16"/>
          <w:rFonts w:hint="eastAsia" w:ascii="宋体"/>
          <w:bCs/>
          <w:sz w:val="24"/>
        </w:rPr>
        <w:t>…………………………</w:t>
      </w:r>
      <w:r>
        <w:rPr>
          <w:rStyle w:val="16"/>
          <w:rFonts w:hint="eastAsia" w:ascii="宋体" w:hAnsi="宋体"/>
          <w:bCs/>
          <w:sz w:val="24"/>
        </w:rPr>
        <w:t>…</w:t>
      </w:r>
      <w:r>
        <w:rPr>
          <w:rStyle w:val="16"/>
          <w:rFonts w:hint="eastAsia" w:ascii="宋体"/>
          <w:bCs/>
          <w:sz w:val="24"/>
        </w:rPr>
        <w:t>……………………………………</w:t>
      </w:r>
      <w:r>
        <w:rPr>
          <w:rStyle w:val="16"/>
          <w:rFonts w:hint="eastAsia" w:ascii="宋体" w:hAnsi="宋体"/>
          <w:bCs/>
          <w:sz w:val="24"/>
        </w:rPr>
        <w:t>……5</w:t>
      </w:r>
    </w:p>
    <w:p w14:paraId="3921E600">
      <w:pPr>
        <w:tabs>
          <w:tab w:val="left" w:pos="1245"/>
          <w:tab w:val="center" w:pos="4535"/>
        </w:tabs>
        <w:spacing w:line="520" w:lineRule="exact"/>
        <w:jc w:val="distribute"/>
        <w:rPr>
          <w:rStyle w:val="16"/>
          <w:rFonts w:ascii="宋体"/>
          <w:bCs/>
          <w:sz w:val="24"/>
        </w:rPr>
      </w:pPr>
      <w:r>
        <w:rPr>
          <w:rStyle w:val="16"/>
          <w:rFonts w:hint="eastAsia" w:ascii="宋体" w:hAnsi="宋体"/>
          <w:bCs/>
          <w:sz w:val="24"/>
        </w:rPr>
        <w:t>第三章</w:t>
      </w:r>
      <w:r>
        <w:rPr>
          <w:rStyle w:val="16"/>
          <w:rFonts w:ascii="宋体" w:hAnsi="宋体"/>
          <w:bCs/>
          <w:sz w:val="24"/>
        </w:rPr>
        <w:t xml:space="preserve">  </w:t>
      </w:r>
      <w:r>
        <w:rPr>
          <w:rStyle w:val="16"/>
          <w:rFonts w:hint="eastAsia" w:ascii="宋体" w:hAnsi="宋体"/>
          <w:bCs/>
          <w:sz w:val="24"/>
        </w:rPr>
        <w:t>评审工作程序</w:t>
      </w:r>
      <w:r>
        <w:rPr>
          <w:rStyle w:val="16"/>
          <w:rFonts w:ascii="宋体" w:hAnsi="宋体"/>
          <w:bCs/>
          <w:sz w:val="24"/>
        </w:rPr>
        <w:t xml:space="preserve">  </w:t>
      </w:r>
      <w:r>
        <w:rPr>
          <w:rStyle w:val="16"/>
          <w:rFonts w:hint="eastAsia" w:ascii="宋体" w:hAnsi="宋体"/>
          <w:bCs/>
          <w:sz w:val="24"/>
        </w:rPr>
        <w:t>……………………………………………………………</w:t>
      </w:r>
      <w:r>
        <w:rPr>
          <w:rStyle w:val="16"/>
          <w:rFonts w:hint="eastAsia" w:ascii="宋体"/>
          <w:bCs/>
          <w:sz w:val="24"/>
        </w:rPr>
        <w:t>…………</w:t>
      </w:r>
      <w:r>
        <w:rPr>
          <w:rStyle w:val="16"/>
          <w:rFonts w:ascii="宋体" w:hAnsi="宋体"/>
          <w:bCs/>
          <w:sz w:val="24"/>
        </w:rPr>
        <w:t xml:space="preserve"> </w:t>
      </w:r>
      <w:r>
        <w:rPr>
          <w:rStyle w:val="16"/>
          <w:rFonts w:hint="eastAsia" w:ascii="宋体" w:hAnsi="宋体"/>
          <w:bCs/>
          <w:sz w:val="24"/>
        </w:rPr>
        <w:t>10</w:t>
      </w:r>
    </w:p>
    <w:p w14:paraId="0E34409A">
      <w:pPr>
        <w:tabs>
          <w:tab w:val="left" w:pos="1245"/>
          <w:tab w:val="center" w:pos="4535"/>
        </w:tabs>
        <w:spacing w:line="520" w:lineRule="exact"/>
        <w:jc w:val="distribute"/>
        <w:rPr>
          <w:rStyle w:val="16"/>
          <w:rFonts w:ascii="宋体"/>
          <w:bCs/>
          <w:sz w:val="24"/>
        </w:rPr>
      </w:pPr>
      <w:r>
        <w:rPr>
          <w:rStyle w:val="16"/>
          <w:rFonts w:hint="eastAsia" w:ascii="宋体" w:hAnsi="宋体"/>
          <w:bCs/>
          <w:sz w:val="24"/>
        </w:rPr>
        <w:t>第四章</w:t>
      </w:r>
      <w:r>
        <w:rPr>
          <w:rStyle w:val="16"/>
          <w:rFonts w:ascii="宋体" w:hAnsi="宋体"/>
          <w:bCs/>
          <w:sz w:val="24"/>
        </w:rPr>
        <w:t xml:space="preserve"> </w:t>
      </w:r>
      <w:r>
        <w:rPr>
          <w:rStyle w:val="16"/>
          <w:rFonts w:hint="eastAsia" w:ascii="宋体" w:hAnsi="宋体"/>
          <w:bCs/>
          <w:sz w:val="24"/>
        </w:rPr>
        <w:t>竞选文件格式</w:t>
      </w:r>
      <w:r>
        <w:rPr>
          <w:rStyle w:val="16"/>
          <w:rFonts w:hint="eastAsia" w:ascii="宋体"/>
          <w:bCs/>
          <w:sz w:val="24"/>
        </w:rPr>
        <w:t>……………………………………………………………</w:t>
      </w:r>
      <w:r>
        <w:rPr>
          <w:rStyle w:val="16"/>
          <w:rFonts w:hint="eastAsia" w:ascii="宋体" w:hAnsi="宋体"/>
          <w:bCs/>
          <w:sz w:val="24"/>
        </w:rPr>
        <w:t>…</w:t>
      </w:r>
      <w:r>
        <w:rPr>
          <w:rStyle w:val="16"/>
          <w:rFonts w:hint="eastAsia" w:ascii="宋体"/>
          <w:bCs/>
          <w:sz w:val="24"/>
        </w:rPr>
        <w:t>…………</w:t>
      </w:r>
      <w:r>
        <w:rPr>
          <w:rStyle w:val="16"/>
          <w:rFonts w:ascii="宋体" w:hAnsi="宋体"/>
          <w:bCs/>
          <w:sz w:val="24"/>
        </w:rPr>
        <w:t xml:space="preserve"> </w:t>
      </w:r>
      <w:r>
        <w:rPr>
          <w:rStyle w:val="16"/>
          <w:rFonts w:hint="eastAsia" w:ascii="宋体" w:hAnsi="宋体"/>
          <w:bCs/>
          <w:sz w:val="24"/>
        </w:rPr>
        <w:t>11</w:t>
      </w:r>
    </w:p>
    <w:p w14:paraId="435E7833"/>
    <w:p w14:paraId="72D8867B">
      <w:pPr>
        <w:rPr>
          <w:rFonts w:ascii="宋体" w:hAnsi="宋体" w:cs="宋体"/>
          <w:b/>
          <w:sz w:val="36"/>
        </w:rPr>
      </w:pPr>
      <w:r>
        <w:rPr>
          <w:rFonts w:hint="eastAsia" w:ascii="宋体" w:hAnsi="宋体" w:cs="宋体"/>
          <w:b/>
          <w:sz w:val="36"/>
        </w:rPr>
        <w:br w:type="page"/>
      </w:r>
    </w:p>
    <w:p w14:paraId="71648C5C">
      <w:pPr>
        <w:tabs>
          <w:tab w:val="left" w:pos="1426"/>
          <w:tab w:val="center" w:pos="4882"/>
        </w:tabs>
        <w:spacing w:line="560" w:lineRule="exact"/>
        <w:jc w:val="center"/>
        <w:outlineLvl w:val="0"/>
        <w:rPr>
          <w:rFonts w:ascii="宋体" w:hAnsi="宋体" w:cs="宋体"/>
          <w:b/>
          <w:sz w:val="36"/>
        </w:rPr>
      </w:pPr>
      <w:r>
        <w:rPr>
          <w:rFonts w:hint="eastAsia" w:ascii="宋体" w:hAnsi="宋体" w:cs="宋体"/>
          <w:b/>
          <w:sz w:val="36"/>
        </w:rPr>
        <w:t>第一章  竞争性磋商公告</w:t>
      </w:r>
    </w:p>
    <w:p w14:paraId="09C7B5B9">
      <w:pPr>
        <w:widowControl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一、项目概况</w:t>
      </w:r>
    </w:p>
    <w:p w14:paraId="2C1BCD28">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1.项目名称：综合法律顾问</w:t>
      </w:r>
    </w:p>
    <w:p w14:paraId="13A663C6">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2.项目预算：163000.00</w:t>
      </w:r>
      <w:r>
        <w:rPr>
          <w:rFonts w:hint="eastAsia" w:ascii="仿宋_GB2312" w:hAnsi="仿宋_GB2312" w:eastAsia="仿宋_GB2312" w:cs="仿宋_GB2312"/>
          <w:color w:val="000000"/>
          <w:kern w:val="0"/>
          <w:sz w:val="32"/>
          <w:szCs w:val="32"/>
        </w:rPr>
        <w:t>元</w:t>
      </w:r>
      <w:r>
        <w:rPr>
          <w:rFonts w:hint="eastAsia" w:ascii="仿宋_GB2312" w:hAnsi="仿宋_GB2312" w:eastAsia="仿宋_GB2312" w:cs="仿宋_GB2312"/>
          <w:sz w:val="32"/>
          <w:szCs w:val="32"/>
        </w:rPr>
        <w:t>。</w:t>
      </w:r>
    </w:p>
    <w:p w14:paraId="5F3DF51A">
      <w:pPr>
        <w:widowControl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二、竞选人资格要求</w:t>
      </w:r>
    </w:p>
    <w:p w14:paraId="30A6861E">
      <w:pPr>
        <w:spacing w:line="560" w:lineRule="exact"/>
        <w:ind w:firstLine="640" w:firstLineChars="200"/>
        <w:rPr>
          <w:rFonts w:hint="eastAsia" w:ascii="Times New Roman" w:hAnsi="Times New Roman" w:eastAsia="楷体_GB2312" w:cs="楷体_GB2312"/>
          <w:color w:val="auto"/>
          <w:kern w:val="0"/>
          <w:sz w:val="32"/>
          <w:szCs w:val="32"/>
          <w:highlight w:val="none"/>
          <w:lang w:val="en-US" w:eastAsia="zh-CN" w:bidi="ar"/>
        </w:rPr>
      </w:pPr>
      <w:r>
        <w:rPr>
          <w:rFonts w:hint="eastAsia" w:ascii="Times New Roman" w:hAnsi="Times New Roman" w:eastAsia="楷体_GB2312" w:cs="楷体_GB2312"/>
          <w:color w:val="auto"/>
          <w:kern w:val="0"/>
          <w:sz w:val="32"/>
          <w:szCs w:val="32"/>
          <w:highlight w:val="none"/>
          <w:lang w:val="en-US" w:eastAsia="zh-CN" w:bidi="ar"/>
        </w:rPr>
        <w:t>（一）项目资质：</w:t>
      </w:r>
    </w:p>
    <w:p w14:paraId="3D6D7306">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竞选人基本资质条件为：</w:t>
      </w:r>
    </w:p>
    <w:p w14:paraId="03FB7970">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1.依法设立的律师事务所，执业许可证等证照齐全、有效。      </w:t>
      </w:r>
    </w:p>
    <w:p w14:paraId="3878AB71">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2.指派执业律师须具备扎实的民商事、金融法律专业能力，熟悉银行信贷、资产保全、金融纠纷处理等业务者优先。  </w:t>
      </w:r>
    </w:p>
    <w:p w14:paraId="4E1D2E9E">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3.具有良好执业信誉，近三年无重大违法违规及行业惩戒记录。</w:t>
      </w:r>
    </w:p>
    <w:p w14:paraId="6AE0853E">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4.具备高效响应、驻场或上门服务能力，能够保障服务时效与质量。</w:t>
      </w:r>
    </w:p>
    <w:p w14:paraId="4EAF1ED4">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5.竞选人未被“信用中国”网站列入失信被执行人、重大税收违法案件当事人名单、政府采购严重违法失信行为记录名单（提供“信用中国”网站查询截图）。</w:t>
      </w:r>
    </w:p>
    <w:p w14:paraId="1FD5713C">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6.竞选人法定代表人/负责人、控股股东或实际控制人与采购人高管人员及使用需求部门、采购部门关键岗位人员无夫妻、直系血亲、三代以内旁系血亲或者近姻亲关系（提供承诺函）。</w:t>
      </w:r>
    </w:p>
    <w:p w14:paraId="322075B4">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7.负责人为同一个人或者存在控股、管理关系的不同供应商，不得同时参加同一项目/包件采购（提供承诺函）。</w:t>
      </w:r>
    </w:p>
    <w:p w14:paraId="2D4A83B5">
      <w:pPr>
        <w:widowControl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【报名时，须提供以上资料复印件加盖公章一套，不提供或提供不齐全不予报名。】</w:t>
      </w:r>
    </w:p>
    <w:p w14:paraId="661F58FC">
      <w:pPr>
        <w:widowControl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 xml:space="preserve">三、竞争性磋商文件信息 </w:t>
      </w:r>
    </w:p>
    <w:p w14:paraId="5536A4E9">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竞争性磋商文件获取方式：贵州普定农村商业银行官方网站</w:t>
      </w:r>
    </w:p>
    <w:p w14:paraId="6BBC8571">
      <w:pPr>
        <w:widowControl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四、竞争性磋商文件的递交</w:t>
      </w:r>
    </w:p>
    <w:p w14:paraId="017BB323">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1.竞争性磋商文件递交的截止时间：2026年6月12日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w:t>
      </w:r>
    </w:p>
    <w:p w14:paraId="3A613AEF">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2.开标时间：2026年6月16日15时30分</w:t>
      </w:r>
    </w:p>
    <w:p w14:paraId="0924C4BE">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3.开标地点：安顺市普定县穿洞街道中心大道（新县委大楼旁）（贵州普定农村商业银行股份有限公司602</w:t>
      </w:r>
      <w:r>
        <w:rPr>
          <w:rFonts w:hint="eastAsia" w:ascii="仿宋_GB2312" w:hAnsi="仿宋_GB2312" w:eastAsia="仿宋_GB2312" w:cs="仿宋_GB2312"/>
          <w:sz w:val="32"/>
          <w:szCs w:val="32"/>
          <w:lang w:val="en-US" w:eastAsia="zh-CN"/>
        </w:rPr>
        <w:t>会议室</w:t>
      </w:r>
      <w:r>
        <w:rPr>
          <w:rFonts w:hint="eastAsia" w:ascii="仿宋_GB2312" w:hAnsi="仿宋_GB2312" w:eastAsia="仿宋_GB2312" w:cs="仿宋_GB2312"/>
          <w:sz w:val="32"/>
          <w:szCs w:val="32"/>
        </w:rPr>
        <w:t>）</w:t>
      </w:r>
    </w:p>
    <w:p w14:paraId="3B428B00">
      <w:pPr>
        <w:widowControl w:val="0"/>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【逾期送达的、未送达指定地点的或者不按照要求密封的响应文件，将予以拒收。】</w:t>
      </w:r>
    </w:p>
    <w:p w14:paraId="3C166382">
      <w:pPr>
        <w:widowControl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五、联系方式</w:t>
      </w:r>
    </w:p>
    <w:p w14:paraId="0A5ECA0C">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采购单位：贵州普定农村商业银行股份有限公司</w:t>
      </w:r>
    </w:p>
    <w:p w14:paraId="4C9441C1">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地址：贵州省安顺市普定县穿洞街道中心大道（新县委大楼旁）</w:t>
      </w:r>
    </w:p>
    <w:p w14:paraId="12A8A87C">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联系人：吴宏应</w:t>
      </w:r>
    </w:p>
    <w:p w14:paraId="3B19C506">
      <w:pPr>
        <w:widowControl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ascii="仿宋_GB2312" w:hAnsi="仿宋_GB2312" w:eastAsia="仿宋_GB2312" w:cs="仿宋_GB2312"/>
          <w:sz w:val="32"/>
          <w:szCs w:val="32"/>
        </w:rPr>
        <w:t>15329235070</w:t>
      </w:r>
    </w:p>
    <w:p w14:paraId="29A7AB19"/>
    <w:p w14:paraId="092D84A8">
      <w:pPr>
        <w:rPr>
          <w:rFonts w:ascii="宋体" w:hAnsi="宋体" w:cs="宋体"/>
          <w:b/>
          <w:sz w:val="36"/>
        </w:rPr>
      </w:pPr>
      <w:r>
        <w:rPr>
          <w:rFonts w:hint="eastAsia" w:ascii="宋体" w:hAnsi="宋体" w:cs="宋体"/>
          <w:b/>
          <w:sz w:val="36"/>
        </w:rPr>
        <w:br w:type="page"/>
      </w:r>
    </w:p>
    <w:p w14:paraId="5E9178F0">
      <w:pPr>
        <w:tabs>
          <w:tab w:val="left" w:pos="1426"/>
          <w:tab w:val="center" w:pos="4882"/>
        </w:tabs>
        <w:spacing w:line="560" w:lineRule="exact"/>
        <w:ind w:firstLine="2891" w:firstLineChars="800"/>
        <w:outlineLvl w:val="0"/>
        <w:rPr>
          <w:rFonts w:ascii="宋体" w:hAnsi="宋体" w:cs="宋体"/>
          <w:b/>
          <w:sz w:val="28"/>
          <w:szCs w:val="21"/>
        </w:rPr>
      </w:pPr>
      <w:r>
        <w:rPr>
          <w:rFonts w:hint="eastAsia" w:ascii="宋体" w:hAnsi="宋体" w:cs="宋体"/>
          <w:b/>
          <w:sz w:val="36"/>
        </w:rPr>
        <w:t>第二章  竞争性磋商须知</w:t>
      </w:r>
    </w:p>
    <w:p w14:paraId="00A079BC">
      <w:pPr>
        <w:pStyle w:val="5"/>
        <w:spacing w:line="323" w:lineRule="auto"/>
      </w:pPr>
    </w:p>
    <w:p w14:paraId="4B448F7C">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一、项目概况</w:t>
      </w:r>
    </w:p>
    <w:p w14:paraId="4FCB84C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1.项目名称：综合法律顾问项目</w:t>
      </w:r>
    </w:p>
    <w:p w14:paraId="3028C1B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2.项目预算：163000.00元。</w:t>
      </w:r>
    </w:p>
    <w:p w14:paraId="45F4AFA7">
      <w:pPr>
        <w:widowControl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二、主要采购内容</w:t>
      </w:r>
    </w:p>
    <w:p w14:paraId="110B6158">
      <w:pPr>
        <w:spacing w:line="560" w:lineRule="exact"/>
        <w:ind w:firstLine="640" w:firstLineChars="200"/>
        <w:rPr>
          <w:rFonts w:hint="eastAsia" w:ascii="Times New Roman" w:hAnsi="Times New Roman" w:eastAsia="楷体_GB2312" w:cs="楷体_GB2312"/>
          <w:color w:val="auto"/>
          <w:kern w:val="0"/>
          <w:sz w:val="32"/>
          <w:szCs w:val="32"/>
          <w:highlight w:val="none"/>
          <w:lang w:val="en-US" w:eastAsia="zh-CN" w:bidi="ar"/>
        </w:rPr>
      </w:pPr>
      <w:r>
        <w:rPr>
          <w:rFonts w:hint="eastAsia" w:ascii="Times New Roman" w:hAnsi="Times New Roman" w:eastAsia="楷体_GB2312" w:cs="楷体_GB2312"/>
          <w:color w:val="auto"/>
          <w:kern w:val="0"/>
          <w:sz w:val="32"/>
          <w:szCs w:val="32"/>
          <w:highlight w:val="none"/>
          <w:lang w:val="en-US" w:eastAsia="zh-CN" w:bidi="ar"/>
        </w:rPr>
        <w:t>（一）日常法律事务</w:t>
      </w:r>
    </w:p>
    <w:p w14:paraId="3FE610B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1.对本行涉及的</w:t>
      </w:r>
      <w:r>
        <w:rPr>
          <w:rFonts w:hint="eastAsia" w:ascii="仿宋_GB2312" w:hAnsi="仿宋_GB2312" w:eastAsia="仿宋_GB2312" w:cs="仿宋_GB2312"/>
          <w:sz w:val="32"/>
          <w:szCs w:val="32"/>
        </w:rPr>
        <w:t>日常业务、信贷管理、资产保全、合同管理、合规管理等提供法律咨询意见。</w:t>
      </w:r>
    </w:p>
    <w:p w14:paraId="24CF30A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2.协助本行</w:t>
      </w:r>
      <w:r>
        <w:rPr>
          <w:rFonts w:hint="eastAsia" w:ascii="仿宋_GB2312" w:hAnsi="仿宋_GB2312" w:eastAsia="仿宋_GB2312" w:cs="仿宋_GB2312"/>
          <w:sz w:val="32"/>
          <w:szCs w:val="32"/>
        </w:rPr>
        <w:t>审查、起草、修改各类合同、协议、法律文书及内部管理制度，维护本行合法权益。</w:t>
      </w:r>
    </w:p>
    <w:p w14:paraId="04C84A8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3.应邀参与本行的重大业务谈判、项目论证，提供法律风险评估与专业建议。</w:t>
      </w:r>
    </w:p>
    <w:p w14:paraId="2C7AB60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4.就涉及本行劳动人事等法律问题提供咨询意见和审查意见。</w:t>
      </w:r>
    </w:p>
    <w:p w14:paraId="13D398F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5.应本行要求，为员工提供法制宣传、法律知识教育和培训 。</w:t>
      </w:r>
    </w:p>
    <w:p w14:paraId="47B25B2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6.应本行要求出具律师函 。</w:t>
      </w:r>
    </w:p>
    <w:p w14:paraId="43DA0DC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7.为本行法律问题及案例进行研究、整理工作。</w:t>
      </w:r>
    </w:p>
    <w:p w14:paraId="0CA2EC2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8.就本行之行为和有关法律事实出具《律师见证书》。</w:t>
      </w:r>
    </w:p>
    <w:p w14:paraId="7786520D">
      <w:pPr>
        <w:spacing w:line="560" w:lineRule="exact"/>
        <w:ind w:firstLine="640" w:firstLineChars="200"/>
        <w:rPr>
          <w:rFonts w:hint="eastAsia" w:ascii="Times New Roman" w:hAnsi="Times New Roman" w:eastAsia="楷体_GB2312" w:cs="楷体_GB2312"/>
          <w:color w:val="auto"/>
          <w:kern w:val="0"/>
          <w:sz w:val="32"/>
          <w:szCs w:val="32"/>
          <w:highlight w:val="none"/>
          <w:lang w:val="en-US" w:eastAsia="zh-CN" w:bidi="ar"/>
        </w:rPr>
      </w:pPr>
      <w:r>
        <w:rPr>
          <w:rFonts w:hint="eastAsia" w:ascii="Times New Roman" w:hAnsi="Times New Roman" w:eastAsia="楷体_GB2312" w:cs="楷体_GB2312"/>
          <w:color w:val="auto"/>
          <w:kern w:val="0"/>
          <w:sz w:val="32"/>
          <w:szCs w:val="32"/>
          <w:highlight w:val="none"/>
          <w:lang w:val="en-US" w:eastAsia="zh-CN" w:bidi="ar"/>
        </w:rPr>
        <w:t>（二）非诉讼法律事务</w:t>
      </w:r>
    </w:p>
    <w:p w14:paraId="0B43671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1.为本行进行专项事实调查、资信调查，出具《法律意见书》。</w:t>
      </w:r>
    </w:p>
    <w:p w14:paraId="39E65D4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2.根据本行企业委托，代办企业工商登记、商标权、专利权申请和注册等事项。</w:t>
      </w:r>
    </w:p>
    <w:p w14:paraId="11A3A92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3.涉及包括但不限于PPP、基金、银行系资管、同业理财等新型金融业务的结构化设计及合规审查。</w:t>
      </w:r>
    </w:p>
    <w:p w14:paraId="6C49D10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4.为本行办理房地产、土地征用拆迁补偿、土地使用权出让转让、建筑报建、楼宇买卖（预售）、物业租赁、抵押、产权登记过户等房地产业务中涉及到的有关法律手续。</w:t>
      </w:r>
    </w:p>
    <w:p w14:paraId="4E95083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5.通过法律途径代理企业追讨各类债款；代理索赔、债权担保事宜。</w:t>
      </w:r>
    </w:p>
    <w:p w14:paraId="03148FE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6.办理本行在进出口贸易、保险、资产信托、海商海事、海外投资、国际运输、技术（设备）转受让中涉及到的法律事务。</w:t>
      </w:r>
    </w:p>
    <w:p w14:paraId="5FE38C6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7.其他非诉讼法律事务。</w:t>
      </w:r>
    </w:p>
    <w:p w14:paraId="0414A834">
      <w:pPr>
        <w:spacing w:line="560" w:lineRule="exact"/>
        <w:ind w:firstLine="640" w:firstLineChars="200"/>
        <w:rPr>
          <w:rFonts w:hint="eastAsia" w:ascii="Times New Roman" w:hAnsi="Times New Roman" w:eastAsia="楷体_GB2312" w:cs="楷体_GB2312"/>
          <w:color w:val="auto"/>
          <w:kern w:val="0"/>
          <w:sz w:val="32"/>
          <w:szCs w:val="32"/>
          <w:highlight w:val="none"/>
          <w:lang w:val="en-US" w:eastAsia="zh-CN" w:bidi="ar"/>
        </w:rPr>
      </w:pPr>
      <w:r>
        <w:rPr>
          <w:rFonts w:hint="eastAsia" w:ascii="Times New Roman" w:hAnsi="Times New Roman" w:eastAsia="楷体_GB2312" w:cs="楷体_GB2312"/>
          <w:color w:val="auto"/>
          <w:kern w:val="0"/>
          <w:sz w:val="32"/>
          <w:szCs w:val="32"/>
          <w:highlight w:val="none"/>
          <w:lang w:val="en-US" w:eastAsia="zh-CN" w:bidi="ar"/>
        </w:rPr>
        <w:t>（三）代理诉讼、仲裁类法律事务</w:t>
      </w:r>
    </w:p>
    <w:p w14:paraId="28D45C4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1.代为办理本行信贷类、信用卡类金融借款纠纷诉讼、仲裁等案件；</w:t>
      </w:r>
    </w:p>
    <w:p w14:paraId="14EAD4D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2.根据本行委托，代理参加除前述贷款类、信用卡类之外的其他诉讼、仲裁、调解活动等。</w:t>
      </w:r>
    </w:p>
    <w:p w14:paraId="5390B7CF">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三、服务要求</w:t>
      </w:r>
      <w:r>
        <w:rPr>
          <w:rFonts w:hint="eastAsia" w:ascii="仿宋_GB2312" w:hAnsi="仿宋_GB2312" w:cs="仿宋_GB2312"/>
          <w:sz w:val="32"/>
          <w:szCs w:val="32"/>
        </w:rPr>
        <w:br w:type="textWrapping"/>
      </w:r>
      <w:r>
        <w:rPr>
          <w:rFonts w:hint="eastAsia" w:ascii="仿宋_GB2312" w:hAnsi="仿宋_GB2312" w:cs="仿宋_GB2312"/>
          <w:sz w:val="32"/>
          <w:szCs w:val="32"/>
        </w:rPr>
        <w:t xml:space="preserve">    </w:t>
      </w:r>
      <w:r>
        <w:rPr>
          <w:rFonts w:hint="eastAsia" w:ascii="仿宋_GB2312" w:hAnsi="仿宋_GB2312" w:eastAsia="仿宋_GB2312" w:cs="仿宋_GB2312"/>
          <w:sz w:val="32"/>
          <w:szCs w:val="32"/>
        </w:rPr>
        <w:t>1.效率要求：在收到本行移交的案件材料后，应在5个工作日内完成初步分析并制定清收策略；应在10个工作日内完成案件诉讼前准备工作。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2.质量要求：确保所有法律文书的规范性和准确性；确保诉讼策略的可行性和有效性；确保在法定时限内完成各项法律程序的推进。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3.沟通要求：建立固定的沟通联络机制，指定专人对接，确保信息传递及时、准确。</w:t>
      </w:r>
    </w:p>
    <w:p w14:paraId="5168C97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4.驻点要求：需派驻两名专职人员到本行司法调解站工作并自行负责派驻人员的薪酬待遇。</w:t>
      </w:r>
    </w:p>
    <w:p w14:paraId="742A7AC0">
      <w:pPr>
        <w:spacing w:line="560" w:lineRule="exact"/>
        <w:ind w:firstLine="640" w:firstLineChars="200"/>
        <w:rPr>
          <w:rFonts w:ascii="黑体" w:hAnsi="黑体" w:eastAsia="黑体" w:cs="黑体"/>
          <w:szCs w:val="32"/>
        </w:rPr>
      </w:pPr>
      <w:r>
        <w:rPr>
          <w:rFonts w:hint="eastAsia" w:ascii="仿宋_GB2312" w:hAnsi="仿宋_GB2312" w:cs="仿宋_GB2312"/>
          <w:sz w:val="32"/>
          <w:szCs w:val="32"/>
        </w:rPr>
        <w:t xml:space="preserve"> </w:t>
      </w:r>
      <w:r>
        <w:rPr>
          <w:rFonts w:hint="eastAsia" w:ascii="黑体" w:hAnsi="黑体" w:eastAsia="黑体" w:cs="黑体"/>
          <w:b w:val="0"/>
          <w:bCs w:val="0"/>
          <w:sz w:val="32"/>
          <w:szCs w:val="32"/>
        </w:rPr>
        <w:t>四、服务费用</w:t>
      </w:r>
    </w:p>
    <w:p w14:paraId="2B12D85C">
      <w:pPr>
        <w:spacing w:line="560" w:lineRule="exact"/>
        <w:ind w:firstLine="640" w:firstLineChars="200"/>
        <w:rPr>
          <w:rFonts w:hint="eastAsia" w:ascii="Times New Roman" w:hAnsi="Times New Roman" w:eastAsia="楷体_GB2312" w:cs="楷体_GB2312"/>
          <w:color w:val="auto"/>
          <w:kern w:val="0"/>
          <w:sz w:val="32"/>
          <w:szCs w:val="32"/>
          <w:highlight w:val="none"/>
          <w:lang w:val="en-US" w:eastAsia="zh-CN" w:bidi="ar"/>
        </w:rPr>
      </w:pPr>
      <w:r>
        <w:rPr>
          <w:rFonts w:hint="eastAsia" w:ascii="Times New Roman" w:hAnsi="Times New Roman" w:eastAsia="楷体_GB2312" w:cs="楷体_GB2312"/>
          <w:color w:val="auto"/>
          <w:kern w:val="0"/>
          <w:sz w:val="32"/>
          <w:szCs w:val="32"/>
          <w:highlight w:val="none"/>
          <w:lang w:val="en-US" w:eastAsia="zh-CN" w:bidi="ar"/>
        </w:rPr>
        <w:t>（一）全年法律顾问费用不超过163000元/年（需包含2名派驻人员薪酬）；</w:t>
      </w:r>
    </w:p>
    <w:p w14:paraId="7A6E550F">
      <w:pPr>
        <w:spacing w:line="560" w:lineRule="exact"/>
        <w:ind w:firstLine="640" w:firstLineChars="200"/>
        <w:rPr>
          <w:rFonts w:hint="eastAsia" w:ascii="黑体" w:hAnsi="黑体" w:eastAsia="黑体" w:cs="黑体"/>
          <w:sz w:val="32"/>
          <w:szCs w:val="32"/>
        </w:rPr>
      </w:pPr>
      <w:r>
        <w:rPr>
          <w:rFonts w:hint="eastAsia" w:ascii="Times New Roman" w:hAnsi="Times New Roman" w:eastAsia="楷体_GB2312" w:cs="楷体_GB2312"/>
          <w:color w:val="auto"/>
          <w:kern w:val="0"/>
          <w:sz w:val="32"/>
          <w:szCs w:val="32"/>
          <w:highlight w:val="none"/>
          <w:lang w:val="en-US" w:eastAsia="zh-CN" w:bidi="ar"/>
        </w:rPr>
        <w:t>（</w:t>
      </w:r>
      <w:r>
        <w:rPr>
          <w:rFonts w:hint="eastAsia" w:ascii="Times New Roman" w:hAnsi="Times New Roman" w:eastAsia="楷体_GB2312" w:cs="楷体_GB2312"/>
          <w:color w:val="auto"/>
          <w:kern w:val="0"/>
          <w:sz w:val="32"/>
          <w:szCs w:val="32"/>
          <w:highlight w:val="none"/>
          <w:lang w:val="en-US" w:eastAsia="zh-CN" w:bidi="ar"/>
        </w:rPr>
        <w:t>二）另行委托代理案件的采用全风险代理模式，具体标准如下：</w:t>
      </w:r>
    </w:p>
    <w:p w14:paraId="253705B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1.单笔代理案件标的在300000元（含）以下，按现金收回贷款本息的5</w:t>
      </w:r>
      <w:r>
        <w:rPr>
          <w:rFonts w:hint="eastAsia" w:ascii="仿宋_GB2312" w:hAnsi="仿宋_GB2312" w:eastAsia="仿宋_GB2312" w:cs="仿宋_GB2312"/>
          <w:sz w:val="32"/>
          <w:szCs w:val="32"/>
        </w:rPr>
        <w:t>%计提费用。</w:t>
      </w:r>
    </w:p>
    <w:p w14:paraId="189088D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2.单笔代理案件标的在300000元至500000元（含），按现金收回贷款本息4</w:t>
      </w:r>
      <w:r>
        <w:rPr>
          <w:rFonts w:hint="eastAsia" w:ascii="仿宋_GB2312" w:hAnsi="仿宋_GB2312" w:eastAsia="仿宋_GB2312" w:cs="仿宋_GB2312"/>
          <w:sz w:val="32"/>
          <w:szCs w:val="32"/>
        </w:rPr>
        <w:t>%计提费用。</w:t>
      </w:r>
    </w:p>
    <w:p w14:paraId="0449831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4.单笔代理案件标的在500000元至1000000元（含），按现金收回贷款本息3</w:t>
      </w:r>
      <w:r>
        <w:rPr>
          <w:rFonts w:hint="eastAsia" w:ascii="仿宋_GB2312" w:hAnsi="仿宋_GB2312" w:eastAsia="仿宋_GB2312" w:cs="仿宋_GB2312"/>
          <w:sz w:val="32"/>
          <w:szCs w:val="32"/>
        </w:rPr>
        <w:t>%计提费用。</w:t>
      </w:r>
    </w:p>
    <w:p w14:paraId="7D3B2F8F">
      <w:pPr>
        <w:spacing w:line="56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5.单笔代理案件标的1000000元以上或其它</w:t>
      </w:r>
      <w:r>
        <w:rPr>
          <w:rFonts w:hint="eastAsia" w:ascii="仿宋_GB2312" w:hAnsi="仿宋_GB2312" w:eastAsia="仿宋_GB2312" w:cs="仿宋_GB2312"/>
          <w:sz w:val="32"/>
          <w:szCs w:val="32"/>
        </w:rPr>
        <w:t>的，重新进行议价。</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457"/>
        <w:gridCol w:w="1128"/>
        <w:gridCol w:w="6487"/>
      </w:tblGrid>
      <w:tr w14:paraId="2F19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349" w:type="pct"/>
            <w:vAlign w:val="center"/>
          </w:tcPr>
          <w:p w14:paraId="49F0FA8E">
            <w:pPr>
              <w:pStyle w:val="5"/>
              <w:spacing w:line="560" w:lineRule="exact"/>
              <w:jc w:val="center"/>
              <w:rPr>
                <w:rFonts w:ascii="仿宋_GB2312" w:hAnsi="仿宋_GB2312" w:cs="仿宋_GB2312"/>
                <w:b/>
                <w:bCs/>
                <w:sz w:val="24"/>
              </w:rPr>
            </w:pPr>
            <w:r>
              <w:rPr>
                <w:rFonts w:hint="eastAsia" w:ascii="仿宋_GB2312" w:hAnsi="仿宋_GB2312" w:eastAsia="仿宋_GB2312" w:cs="仿宋_GB2312"/>
                <w:b/>
                <w:bCs/>
                <w:sz w:val="24"/>
              </w:rPr>
              <w:t>序号</w:t>
            </w:r>
          </w:p>
        </w:tc>
        <w:tc>
          <w:tcPr>
            <w:tcW w:w="746" w:type="pct"/>
            <w:vAlign w:val="center"/>
          </w:tcPr>
          <w:p w14:paraId="7FD44FEC">
            <w:pPr>
              <w:pStyle w:val="5"/>
              <w:spacing w:line="560" w:lineRule="exact"/>
              <w:jc w:val="center"/>
              <w:rPr>
                <w:rFonts w:ascii="仿宋_GB2312" w:hAnsi="仿宋_GB2312" w:cs="仿宋_GB2312"/>
                <w:b/>
                <w:bCs/>
                <w:sz w:val="24"/>
              </w:rPr>
            </w:pPr>
            <w:r>
              <w:rPr>
                <w:rFonts w:hint="eastAsia" w:ascii="仿宋_GB2312" w:hAnsi="仿宋_GB2312" w:eastAsia="仿宋_GB2312" w:cs="仿宋_GB2312"/>
                <w:b/>
                <w:bCs/>
                <w:sz w:val="24"/>
              </w:rPr>
              <w:t>评分项目</w:t>
            </w:r>
          </w:p>
        </w:tc>
        <w:tc>
          <w:tcPr>
            <w:tcW w:w="578" w:type="pct"/>
            <w:vAlign w:val="center"/>
          </w:tcPr>
          <w:p w14:paraId="20D77054">
            <w:pPr>
              <w:pStyle w:val="5"/>
              <w:spacing w:line="560" w:lineRule="exact"/>
              <w:jc w:val="center"/>
              <w:rPr>
                <w:rFonts w:ascii="仿宋_GB2312" w:hAnsi="仿宋_GB2312" w:cs="仿宋_GB2312"/>
                <w:b/>
                <w:bCs/>
                <w:sz w:val="24"/>
              </w:rPr>
            </w:pPr>
            <w:r>
              <w:rPr>
                <w:rFonts w:hint="eastAsia" w:ascii="仿宋_GB2312" w:hAnsi="仿宋_GB2312" w:eastAsia="仿宋_GB2312" w:cs="仿宋_GB2312"/>
                <w:b/>
                <w:bCs/>
                <w:sz w:val="24"/>
              </w:rPr>
              <w:t>分值</w:t>
            </w:r>
          </w:p>
        </w:tc>
        <w:tc>
          <w:tcPr>
            <w:tcW w:w="3325" w:type="pct"/>
            <w:vAlign w:val="center"/>
          </w:tcPr>
          <w:p w14:paraId="185B0862">
            <w:pPr>
              <w:pStyle w:val="5"/>
              <w:spacing w:line="560" w:lineRule="exact"/>
              <w:jc w:val="center"/>
              <w:rPr>
                <w:rFonts w:ascii="仿宋_GB2312" w:hAnsi="仿宋_GB2312" w:cs="仿宋_GB2312"/>
                <w:b/>
                <w:bCs/>
                <w:sz w:val="24"/>
              </w:rPr>
            </w:pPr>
            <w:r>
              <w:rPr>
                <w:rFonts w:hint="eastAsia" w:ascii="仿宋_GB2312" w:hAnsi="仿宋_GB2312" w:eastAsia="仿宋_GB2312" w:cs="仿宋_GB2312"/>
                <w:b/>
                <w:bCs/>
                <w:sz w:val="24"/>
              </w:rPr>
              <w:t>说明</w:t>
            </w:r>
          </w:p>
        </w:tc>
      </w:tr>
      <w:tr w14:paraId="4D95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jc w:val="center"/>
        </w:trPr>
        <w:tc>
          <w:tcPr>
            <w:tcW w:w="349" w:type="pct"/>
            <w:vAlign w:val="center"/>
          </w:tcPr>
          <w:p w14:paraId="64B572DF">
            <w:pPr>
              <w:pStyle w:val="5"/>
              <w:spacing w:line="560" w:lineRule="exact"/>
              <w:ind w:firstLine="236" w:firstLineChars="98"/>
              <w:rPr>
                <w:rFonts w:ascii="仿宋_GB2312" w:hAnsi="仿宋_GB2312" w:cs="仿宋_GB2312"/>
                <w:b/>
                <w:bCs/>
                <w:sz w:val="24"/>
              </w:rPr>
            </w:pPr>
            <w:r>
              <w:rPr>
                <w:rFonts w:hint="eastAsia" w:ascii="仿宋_GB2312" w:hAnsi="仿宋_GB2312" w:eastAsia="仿宋_GB2312" w:cs="仿宋_GB2312"/>
                <w:b/>
                <w:bCs/>
                <w:sz w:val="24"/>
              </w:rPr>
              <w:t>1</w:t>
            </w:r>
          </w:p>
        </w:tc>
        <w:tc>
          <w:tcPr>
            <w:tcW w:w="746" w:type="pct"/>
            <w:vAlign w:val="center"/>
          </w:tcPr>
          <w:p w14:paraId="02F0ABEE">
            <w:pPr>
              <w:pStyle w:val="5"/>
              <w:spacing w:line="560" w:lineRule="exact"/>
              <w:jc w:val="center"/>
              <w:rPr>
                <w:rFonts w:ascii="仿宋_GB2312" w:hAnsi="仿宋_GB2312" w:cs="仿宋_GB2312"/>
                <w:b/>
                <w:bCs/>
                <w:sz w:val="24"/>
              </w:rPr>
            </w:pPr>
            <w:r>
              <w:rPr>
                <w:rFonts w:hint="eastAsia" w:ascii="仿宋_GB2312" w:hAnsi="仿宋_GB2312" w:eastAsia="仿宋_GB2312" w:cs="仿宋_GB2312"/>
                <w:b/>
                <w:bCs/>
                <w:sz w:val="24"/>
              </w:rPr>
              <w:t>项目服务方案</w:t>
            </w:r>
          </w:p>
        </w:tc>
        <w:tc>
          <w:tcPr>
            <w:tcW w:w="578" w:type="pct"/>
            <w:vAlign w:val="center"/>
          </w:tcPr>
          <w:p w14:paraId="7FCEF492">
            <w:pPr>
              <w:spacing w:line="560" w:lineRule="exact"/>
              <w:jc w:val="center"/>
              <w:rPr>
                <w:rFonts w:ascii="仿宋_GB2312" w:hAnsi="仿宋_GB2312" w:cs="仿宋_GB2312"/>
                <w:b/>
                <w:sz w:val="24"/>
              </w:rPr>
            </w:pPr>
            <w:r>
              <w:rPr>
                <w:rFonts w:hint="eastAsia" w:ascii="仿宋_GB2312" w:hAnsi="仿宋_GB2312" w:eastAsia="仿宋_GB2312" w:cs="仿宋_GB2312"/>
                <w:b/>
                <w:sz w:val="24"/>
              </w:rPr>
              <w:t>25分</w:t>
            </w:r>
          </w:p>
          <w:p w14:paraId="61BB2AB2">
            <w:pPr>
              <w:spacing w:line="560" w:lineRule="exact"/>
              <w:jc w:val="center"/>
              <w:rPr>
                <w:rFonts w:ascii="仿宋_GB2312" w:hAnsi="仿宋_GB2312" w:cs="仿宋_GB2312"/>
                <w:b/>
                <w:sz w:val="24"/>
              </w:rPr>
            </w:pPr>
          </w:p>
        </w:tc>
        <w:tc>
          <w:tcPr>
            <w:tcW w:w="3325" w:type="pct"/>
            <w:vAlign w:val="center"/>
          </w:tcPr>
          <w:p w14:paraId="4225A5F3">
            <w:pPr>
              <w:spacing w:line="560" w:lineRule="exact"/>
              <w:rPr>
                <w:rFonts w:ascii="仿宋_GB2312" w:hAnsi="仿宋_GB2312" w:cs="仿宋_GB2312"/>
                <w:sz w:val="24"/>
              </w:rPr>
            </w:pPr>
            <w:r>
              <w:rPr>
                <w:rFonts w:hint="eastAsia" w:ascii="仿宋_GB2312" w:hAnsi="仿宋_GB2312" w:eastAsia="仿宋_GB2312" w:cs="仿宋_GB2312"/>
                <w:sz w:val="24"/>
              </w:rPr>
              <w:t>根据投标人投标文件中对本次招标制定的目的和策略方法是否有准确、深入的了解，整体方案是否思路清晰，内容是否具有科学性、前瞻性、合理性等情况由谈判小组综合评分。方案应包含：</w:t>
            </w:r>
          </w:p>
          <w:p w14:paraId="7B484538">
            <w:pPr>
              <w:spacing w:line="560" w:lineRule="exact"/>
              <w:rPr>
                <w:rFonts w:ascii="仿宋_GB2312" w:hAnsi="仿宋_GB2312" w:cs="仿宋_GB2312"/>
                <w:sz w:val="24"/>
              </w:rPr>
            </w:pPr>
            <w:r>
              <w:rPr>
                <w:rFonts w:hint="eastAsia" w:ascii="仿宋_GB2312" w:hAnsi="仿宋_GB2312" w:eastAsia="仿宋_GB2312" w:cs="仿宋_GB2312"/>
                <w:sz w:val="24"/>
              </w:rPr>
              <w:t>1.律所简介；</w:t>
            </w:r>
          </w:p>
          <w:p w14:paraId="5C0BD9CE">
            <w:pPr>
              <w:spacing w:line="560" w:lineRule="exact"/>
              <w:rPr>
                <w:rFonts w:ascii="仿宋_GB2312" w:hAnsi="仿宋_GB2312" w:cs="仿宋_GB2312"/>
                <w:sz w:val="24"/>
              </w:rPr>
            </w:pPr>
            <w:r>
              <w:rPr>
                <w:rFonts w:hint="eastAsia" w:ascii="仿宋_GB2312" w:hAnsi="仿宋_GB2312" w:eastAsia="仿宋_GB2312" w:cs="仿宋_GB2312"/>
                <w:sz w:val="24"/>
              </w:rPr>
              <w:t>2.典型案例；</w:t>
            </w:r>
          </w:p>
          <w:p w14:paraId="4F593DAB">
            <w:pPr>
              <w:spacing w:line="560" w:lineRule="exact"/>
              <w:rPr>
                <w:rFonts w:ascii="仿宋_GB2312" w:hAnsi="仿宋_GB2312" w:cs="仿宋_GB2312"/>
                <w:sz w:val="24"/>
              </w:rPr>
            </w:pPr>
            <w:r>
              <w:rPr>
                <w:rFonts w:hint="eastAsia" w:ascii="仿宋_GB2312" w:hAnsi="仿宋_GB2312" w:eastAsia="仿宋_GB2312" w:cs="仿宋_GB2312"/>
                <w:sz w:val="24"/>
              </w:rPr>
              <w:t>3.服务范围及内容；</w:t>
            </w:r>
          </w:p>
          <w:p w14:paraId="6C7B6B0F">
            <w:pPr>
              <w:spacing w:line="560" w:lineRule="exact"/>
              <w:rPr>
                <w:rFonts w:ascii="仿宋_GB2312" w:hAnsi="仿宋_GB2312" w:cs="仿宋_GB2312"/>
                <w:sz w:val="24"/>
              </w:rPr>
            </w:pPr>
            <w:r>
              <w:rPr>
                <w:rFonts w:hint="eastAsia" w:ascii="仿宋_GB2312" w:hAnsi="仿宋_GB2312" w:eastAsia="仿宋_GB2312" w:cs="仿宋_GB2312"/>
                <w:sz w:val="24"/>
              </w:rPr>
              <w:t>4.反馈机制和保密机制；</w:t>
            </w:r>
          </w:p>
          <w:p w14:paraId="35F8DDD5">
            <w:pPr>
              <w:spacing w:line="560" w:lineRule="exact"/>
              <w:rPr>
                <w:rFonts w:ascii="仿宋_GB2312" w:hAnsi="仿宋_GB2312" w:cs="仿宋_GB2312"/>
                <w:sz w:val="24"/>
              </w:rPr>
            </w:pPr>
            <w:r>
              <w:rPr>
                <w:rFonts w:hint="eastAsia" w:ascii="仿宋_GB2312" w:hAnsi="仿宋_GB2312" w:eastAsia="仿宋_GB2312" w:cs="仿宋_GB2312"/>
                <w:sz w:val="24"/>
              </w:rPr>
              <w:t>所有内容由供应商根据自身对项目的理解及企业实力自行编写，包含上述全部内容，服务方案详细清晰；缺一项扣5分，本项最低得分0分。</w:t>
            </w:r>
          </w:p>
          <w:p w14:paraId="40E88B55">
            <w:pPr>
              <w:spacing w:line="560" w:lineRule="exact"/>
              <w:rPr>
                <w:rFonts w:ascii="仿宋_GB2312" w:hAnsi="仿宋_GB2312" w:cs="仿宋_GB2312"/>
                <w:sz w:val="24"/>
              </w:rPr>
            </w:pPr>
            <w:r>
              <w:rPr>
                <w:rFonts w:hint="eastAsia" w:ascii="仿宋_GB2312" w:hAnsi="仿宋_GB2312" w:eastAsia="仿宋_GB2312" w:cs="仿宋_GB2312"/>
                <w:sz w:val="24"/>
              </w:rPr>
              <w:t>注：由谈判小组谈判时根据各投标人的方案内容进行比较评分。</w:t>
            </w:r>
          </w:p>
        </w:tc>
      </w:tr>
      <w:tr w14:paraId="48E5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9" w:hRule="atLeast"/>
          <w:jc w:val="center"/>
        </w:trPr>
        <w:tc>
          <w:tcPr>
            <w:tcW w:w="349" w:type="pct"/>
            <w:vAlign w:val="center"/>
          </w:tcPr>
          <w:p w14:paraId="70023774">
            <w:pPr>
              <w:pStyle w:val="5"/>
              <w:spacing w:line="560" w:lineRule="exact"/>
              <w:ind w:firstLine="236" w:firstLineChars="98"/>
              <w:rPr>
                <w:rFonts w:ascii="仿宋_GB2312" w:hAnsi="仿宋_GB2312" w:cs="仿宋_GB2312"/>
                <w:b/>
                <w:bCs/>
                <w:sz w:val="24"/>
              </w:rPr>
            </w:pPr>
            <w:r>
              <w:rPr>
                <w:rFonts w:hint="eastAsia" w:ascii="仿宋_GB2312" w:hAnsi="仿宋_GB2312" w:eastAsia="仿宋_GB2312" w:cs="仿宋_GB2312"/>
                <w:b/>
                <w:bCs/>
                <w:sz w:val="24"/>
              </w:rPr>
              <w:t>2</w:t>
            </w:r>
          </w:p>
        </w:tc>
        <w:tc>
          <w:tcPr>
            <w:tcW w:w="746" w:type="pct"/>
            <w:vAlign w:val="center"/>
          </w:tcPr>
          <w:p w14:paraId="7411A350">
            <w:pPr>
              <w:pStyle w:val="5"/>
              <w:spacing w:line="560" w:lineRule="exact"/>
              <w:jc w:val="center"/>
              <w:rPr>
                <w:rFonts w:ascii="仿宋_GB2312" w:hAnsi="仿宋_GB2312" w:cs="仿宋_GB2312"/>
                <w:b/>
                <w:bCs/>
                <w:sz w:val="24"/>
              </w:rPr>
            </w:pPr>
            <w:r>
              <w:rPr>
                <w:rFonts w:hint="eastAsia" w:ascii="仿宋_GB2312" w:hAnsi="仿宋_GB2312" w:eastAsia="仿宋_GB2312" w:cs="仿宋_GB2312"/>
                <w:b/>
                <w:sz w:val="24"/>
              </w:rPr>
              <w:t>质量控制、人员组织</w:t>
            </w:r>
          </w:p>
          <w:p w14:paraId="3A4282F6">
            <w:pPr>
              <w:pStyle w:val="5"/>
              <w:spacing w:line="560" w:lineRule="exact"/>
              <w:jc w:val="center"/>
              <w:rPr>
                <w:rFonts w:ascii="仿宋_GB2312" w:hAnsi="仿宋_GB2312" w:cs="仿宋_GB2312"/>
                <w:b/>
                <w:sz w:val="24"/>
              </w:rPr>
            </w:pPr>
          </w:p>
        </w:tc>
        <w:tc>
          <w:tcPr>
            <w:tcW w:w="578" w:type="pct"/>
            <w:vAlign w:val="center"/>
          </w:tcPr>
          <w:p w14:paraId="0B0EC8BC">
            <w:pPr>
              <w:spacing w:line="560" w:lineRule="exact"/>
              <w:jc w:val="center"/>
              <w:rPr>
                <w:rFonts w:ascii="仿宋_GB2312" w:hAnsi="仿宋_GB2312" w:cs="仿宋_GB2312"/>
                <w:b/>
                <w:sz w:val="24"/>
              </w:rPr>
            </w:pPr>
            <w:r>
              <w:rPr>
                <w:rFonts w:hint="eastAsia" w:ascii="仿宋_GB2312" w:hAnsi="仿宋_GB2312" w:eastAsia="仿宋_GB2312" w:cs="仿宋_GB2312"/>
                <w:b/>
                <w:sz w:val="24"/>
              </w:rPr>
              <w:t>25分</w:t>
            </w:r>
          </w:p>
        </w:tc>
        <w:tc>
          <w:tcPr>
            <w:tcW w:w="3325" w:type="pct"/>
            <w:vAlign w:val="center"/>
          </w:tcPr>
          <w:p w14:paraId="5F40266B">
            <w:pPr>
              <w:spacing w:line="560" w:lineRule="exact"/>
              <w:rPr>
                <w:rFonts w:ascii="仿宋_GB2312" w:hAnsi="仿宋_GB2312" w:cs="仿宋_GB2312"/>
                <w:sz w:val="24"/>
              </w:rPr>
            </w:pPr>
            <w:r>
              <w:rPr>
                <w:rFonts w:hint="eastAsia" w:ascii="仿宋_GB2312" w:hAnsi="仿宋_GB2312" w:eastAsia="仿宋_GB2312" w:cs="仿宋_GB2312"/>
                <w:sz w:val="24"/>
              </w:rPr>
              <w:t>针对本次项目投入的项目组人员及人员业务素质，服务工作人员。建立有专门金融团队且有4人的得5分，超过4人的，每增加1人加5分，需派驻两名专职人员到我行司法调解站工作，派驻人员月工资薪酬不低于5550元。（满分20分）</w:t>
            </w:r>
          </w:p>
          <w:p w14:paraId="16310DD0">
            <w:pPr>
              <w:numPr>
                <w:ilvl w:val="0"/>
                <w:numId w:val="2"/>
              </w:numPr>
              <w:spacing w:line="560" w:lineRule="exact"/>
              <w:textAlignment w:val="auto"/>
              <w:rPr>
                <w:rFonts w:ascii="仿宋_GB2312" w:hAnsi="仿宋_GB2312" w:cs="仿宋_GB2312"/>
                <w:sz w:val="24"/>
              </w:rPr>
            </w:pPr>
            <w:r>
              <w:rPr>
                <w:rFonts w:hint="eastAsia" w:ascii="仿宋_GB2312" w:hAnsi="仿宋_GB2312" w:eastAsia="仿宋_GB2312" w:cs="仿宋_GB2312"/>
                <w:sz w:val="24"/>
              </w:rPr>
              <w:t>配有较强的专业技术队伍，工作人员近3年内没有法院不良记录、银行征信不良记录、税务部门不良记录及其他不良记录；企业法定代表人、控股股东和主要管理人员无各类不良记录；（满分5分）</w:t>
            </w:r>
          </w:p>
          <w:p w14:paraId="05527EE2">
            <w:pPr>
              <w:spacing w:line="560" w:lineRule="exact"/>
              <w:rPr>
                <w:rFonts w:ascii="仿宋_GB2312" w:hAnsi="仿宋_GB2312" w:cs="仿宋_GB2312"/>
                <w:sz w:val="24"/>
              </w:rPr>
            </w:pPr>
            <w:r>
              <w:rPr>
                <w:rFonts w:hint="eastAsia" w:ascii="仿宋_GB2312" w:hAnsi="仿宋_GB2312" w:eastAsia="仿宋_GB2312" w:cs="仿宋_GB2312"/>
                <w:sz w:val="24"/>
              </w:rPr>
              <w:t>3.本项满分25分。</w:t>
            </w:r>
          </w:p>
        </w:tc>
      </w:tr>
      <w:tr w14:paraId="0F5F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349" w:type="pct"/>
            <w:vAlign w:val="center"/>
          </w:tcPr>
          <w:p w14:paraId="3CA67BCF">
            <w:pPr>
              <w:pStyle w:val="5"/>
              <w:spacing w:line="560" w:lineRule="exact"/>
              <w:ind w:firstLine="236" w:firstLineChars="98"/>
              <w:rPr>
                <w:rFonts w:ascii="仿宋_GB2312" w:hAnsi="仿宋_GB2312" w:cs="仿宋_GB2312"/>
                <w:b/>
                <w:bCs/>
                <w:sz w:val="24"/>
              </w:rPr>
            </w:pPr>
            <w:r>
              <w:rPr>
                <w:rFonts w:hint="eastAsia" w:ascii="仿宋_GB2312" w:hAnsi="仿宋_GB2312" w:eastAsia="仿宋_GB2312" w:cs="仿宋_GB2312"/>
                <w:b/>
                <w:bCs/>
                <w:sz w:val="24"/>
              </w:rPr>
              <w:t>3</w:t>
            </w:r>
          </w:p>
        </w:tc>
        <w:tc>
          <w:tcPr>
            <w:tcW w:w="746" w:type="pct"/>
            <w:vAlign w:val="center"/>
          </w:tcPr>
          <w:p w14:paraId="0B03D653">
            <w:pPr>
              <w:pStyle w:val="5"/>
              <w:spacing w:line="560" w:lineRule="exact"/>
              <w:jc w:val="center"/>
              <w:rPr>
                <w:rFonts w:ascii="仿宋_GB2312" w:hAnsi="仿宋_GB2312" w:cs="仿宋_GB2312"/>
                <w:b/>
                <w:sz w:val="24"/>
              </w:rPr>
            </w:pPr>
            <w:r>
              <w:rPr>
                <w:rFonts w:hint="eastAsia" w:ascii="仿宋_GB2312" w:hAnsi="仿宋_GB2312" w:eastAsia="仿宋_GB2312" w:cs="仿宋_GB2312"/>
                <w:b/>
                <w:sz w:val="24"/>
              </w:rPr>
              <w:t>其他金融机构服务</w:t>
            </w:r>
          </w:p>
          <w:p w14:paraId="78D6B423">
            <w:pPr>
              <w:pStyle w:val="5"/>
              <w:spacing w:line="560" w:lineRule="exact"/>
              <w:jc w:val="center"/>
              <w:rPr>
                <w:rFonts w:ascii="仿宋_GB2312" w:hAnsi="仿宋_GB2312" w:cs="仿宋_GB2312"/>
                <w:b/>
                <w:sz w:val="24"/>
              </w:rPr>
            </w:pPr>
          </w:p>
          <w:p w14:paraId="5DC77E25">
            <w:pPr>
              <w:pStyle w:val="5"/>
              <w:spacing w:line="560" w:lineRule="exact"/>
              <w:jc w:val="center"/>
              <w:rPr>
                <w:rFonts w:ascii="仿宋_GB2312" w:hAnsi="仿宋_GB2312" w:cs="仿宋_GB2312"/>
                <w:b/>
                <w:sz w:val="24"/>
              </w:rPr>
            </w:pPr>
          </w:p>
        </w:tc>
        <w:tc>
          <w:tcPr>
            <w:tcW w:w="578" w:type="pct"/>
            <w:vAlign w:val="center"/>
          </w:tcPr>
          <w:p w14:paraId="0A07D3ED">
            <w:pPr>
              <w:spacing w:line="560" w:lineRule="exact"/>
              <w:jc w:val="center"/>
              <w:rPr>
                <w:rFonts w:ascii="仿宋_GB2312" w:hAnsi="仿宋_GB2312" w:cs="仿宋_GB2312"/>
                <w:b/>
                <w:sz w:val="24"/>
              </w:rPr>
            </w:pPr>
            <w:r>
              <w:rPr>
                <w:rFonts w:hint="eastAsia" w:ascii="仿宋_GB2312" w:hAnsi="仿宋_GB2312" w:eastAsia="仿宋_GB2312" w:cs="仿宋_GB2312"/>
                <w:b/>
                <w:sz w:val="24"/>
              </w:rPr>
              <w:t>25分</w:t>
            </w:r>
          </w:p>
        </w:tc>
        <w:tc>
          <w:tcPr>
            <w:tcW w:w="3325" w:type="pct"/>
            <w:vAlign w:val="center"/>
          </w:tcPr>
          <w:p w14:paraId="77564E8F">
            <w:pPr>
              <w:spacing w:line="560" w:lineRule="exact"/>
              <w:rPr>
                <w:rFonts w:ascii="仿宋_GB2312" w:hAnsi="仿宋_GB2312" w:cs="仿宋_GB2312"/>
                <w:sz w:val="24"/>
              </w:rPr>
            </w:pPr>
            <w:r>
              <w:rPr>
                <w:rFonts w:hint="eastAsia" w:ascii="仿宋_GB2312" w:hAnsi="仿宋_GB2312" w:eastAsia="仿宋_GB2312" w:cs="仿宋_GB2312"/>
                <w:sz w:val="24"/>
              </w:rPr>
              <w:t>除采购人外，有1家其他金融机构法律服务经验且取得较好成效的得基础分15分，超过1家的，每增加1家加5分（满分25分）。</w:t>
            </w:r>
          </w:p>
          <w:p w14:paraId="6A8EEEF9">
            <w:pPr>
              <w:pStyle w:val="25"/>
              <w:spacing w:line="560" w:lineRule="exact"/>
              <w:rPr>
                <w:rFonts w:ascii="仿宋_GB2312" w:hAnsi="仿宋_GB2312" w:eastAsia="仿宋_GB2312" w:cs="仿宋_GB2312"/>
                <w:sz w:val="24"/>
              </w:rPr>
            </w:pPr>
            <w:r>
              <w:rPr>
                <w:rFonts w:hint="eastAsia" w:ascii="仿宋_GB2312" w:hAnsi="仿宋_GB2312" w:eastAsia="仿宋_GB2312" w:cs="仿宋_GB2312"/>
                <w:sz w:val="24"/>
              </w:rPr>
              <w:t>注：需要提供纸质证明材料。</w:t>
            </w:r>
          </w:p>
        </w:tc>
      </w:tr>
      <w:tr w14:paraId="7ED3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exact"/>
          <w:jc w:val="center"/>
        </w:trPr>
        <w:tc>
          <w:tcPr>
            <w:tcW w:w="349" w:type="pct"/>
            <w:vAlign w:val="center"/>
          </w:tcPr>
          <w:p w14:paraId="4E137AE5">
            <w:pPr>
              <w:pStyle w:val="5"/>
              <w:spacing w:line="560" w:lineRule="exact"/>
              <w:rPr>
                <w:rFonts w:ascii="仿宋_GB2312" w:hAnsi="仿宋_GB2312" w:cs="仿宋_GB2312"/>
                <w:b/>
                <w:bCs/>
                <w:sz w:val="24"/>
              </w:rPr>
            </w:pPr>
            <w:r>
              <w:rPr>
                <w:rFonts w:hint="eastAsia" w:ascii="仿宋_GB2312" w:hAnsi="仿宋_GB2312" w:eastAsia="仿宋_GB2312" w:cs="仿宋_GB2312"/>
                <w:b/>
                <w:bCs/>
                <w:sz w:val="24"/>
              </w:rPr>
              <w:t>4</w:t>
            </w:r>
          </w:p>
        </w:tc>
        <w:tc>
          <w:tcPr>
            <w:tcW w:w="746" w:type="pct"/>
            <w:vAlign w:val="center"/>
          </w:tcPr>
          <w:p w14:paraId="1D05F8F7">
            <w:pPr>
              <w:pStyle w:val="5"/>
              <w:spacing w:line="560" w:lineRule="exact"/>
              <w:rPr>
                <w:rFonts w:ascii="仿宋_GB2312" w:hAnsi="仿宋_GB2312" w:cs="仿宋_GB2312"/>
                <w:b/>
                <w:bCs/>
                <w:sz w:val="24"/>
              </w:rPr>
            </w:pPr>
            <w:r>
              <w:rPr>
                <w:rFonts w:hint="eastAsia" w:ascii="仿宋_GB2312" w:hAnsi="仿宋_GB2312" w:eastAsia="仿宋_GB2312" w:cs="仿宋_GB2312"/>
                <w:b/>
                <w:bCs/>
                <w:sz w:val="24"/>
              </w:rPr>
              <w:t>费率折扣</w:t>
            </w:r>
          </w:p>
        </w:tc>
        <w:tc>
          <w:tcPr>
            <w:tcW w:w="578" w:type="pct"/>
            <w:vAlign w:val="center"/>
          </w:tcPr>
          <w:p w14:paraId="59D98AE6">
            <w:pPr>
              <w:spacing w:line="560" w:lineRule="exact"/>
              <w:rPr>
                <w:rFonts w:ascii="仿宋_GB2312" w:hAnsi="仿宋_GB2312" w:cs="仿宋_GB2312"/>
                <w:b/>
                <w:sz w:val="24"/>
              </w:rPr>
            </w:pPr>
            <w:r>
              <w:rPr>
                <w:rFonts w:hint="eastAsia" w:ascii="仿宋_GB2312" w:hAnsi="仿宋_GB2312" w:eastAsia="仿宋_GB2312" w:cs="仿宋_GB2312"/>
                <w:b/>
                <w:sz w:val="24"/>
              </w:rPr>
              <w:t>25分</w:t>
            </w:r>
          </w:p>
        </w:tc>
        <w:tc>
          <w:tcPr>
            <w:tcW w:w="3325" w:type="pct"/>
            <w:vAlign w:val="center"/>
          </w:tcPr>
          <w:p w14:paraId="27A8C059">
            <w:pPr>
              <w:widowControl w:val="0"/>
              <w:numPr>
                <w:ilvl w:val="0"/>
                <w:numId w:val="3"/>
              </w:numPr>
              <w:spacing w:line="560" w:lineRule="exact"/>
              <w:textAlignment w:val="auto"/>
              <w:rPr>
                <w:rFonts w:ascii="仿宋_GB2312" w:hAnsi="仿宋_GB2312" w:cs="仿宋_GB2312"/>
                <w:sz w:val="24"/>
              </w:rPr>
            </w:pPr>
            <w:r>
              <w:rPr>
                <w:rFonts w:hint="eastAsia" w:ascii="仿宋_GB2312" w:hAnsi="仿宋_GB2312" w:eastAsia="仿宋_GB2312" w:cs="仿宋_GB2312"/>
                <w:sz w:val="24"/>
              </w:rPr>
              <w:t>综合法律顾问费每降低1000元，得1分。（满分10分）</w:t>
            </w:r>
          </w:p>
          <w:p w14:paraId="66EBF211">
            <w:pPr>
              <w:widowControl w:val="0"/>
              <w:numPr>
                <w:ilvl w:val="0"/>
                <w:numId w:val="3"/>
              </w:numPr>
              <w:spacing w:line="560" w:lineRule="exact"/>
              <w:textAlignment w:val="auto"/>
              <w:rPr>
                <w:rFonts w:ascii="仿宋_GB2312" w:hAnsi="仿宋_GB2312" w:cs="仿宋_GB2312"/>
                <w:sz w:val="24"/>
              </w:rPr>
            </w:pPr>
            <w:r>
              <w:rPr>
                <w:rFonts w:hint="eastAsia" w:ascii="仿宋_GB2312" w:hAnsi="仿宋_GB2312" w:eastAsia="仿宋_GB2312" w:cs="仿宋_GB2312"/>
                <w:sz w:val="24"/>
              </w:rPr>
              <w:t>诉讼代理中，单笔代理案件标的在300000元（含）以下，风险代理费率每降低0.2个百分点，得1分。（满分5分）</w:t>
            </w:r>
          </w:p>
          <w:p w14:paraId="253267FA">
            <w:pPr>
              <w:widowControl w:val="0"/>
              <w:numPr>
                <w:ilvl w:val="0"/>
                <w:numId w:val="3"/>
              </w:numPr>
              <w:spacing w:line="560" w:lineRule="exact"/>
              <w:textAlignment w:val="auto"/>
              <w:rPr>
                <w:rFonts w:ascii="仿宋_GB2312" w:hAnsi="仿宋_GB2312" w:cs="仿宋_GB2312"/>
                <w:sz w:val="24"/>
              </w:rPr>
            </w:pPr>
            <w:r>
              <w:rPr>
                <w:rFonts w:hint="eastAsia" w:ascii="仿宋_GB2312" w:hAnsi="仿宋_GB2312" w:eastAsia="仿宋_GB2312" w:cs="仿宋_GB2312"/>
                <w:sz w:val="24"/>
              </w:rPr>
              <w:t>单笔代理案件标的在300000元至500000元（含），风险代理费率每降低0.2个百分点，得1分。（满分5分）</w:t>
            </w:r>
          </w:p>
          <w:p w14:paraId="1DD156CA">
            <w:pPr>
              <w:widowControl w:val="0"/>
              <w:numPr>
                <w:ilvl w:val="0"/>
                <w:numId w:val="3"/>
              </w:numPr>
              <w:spacing w:line="560" w:lineRule="exact"/>
              <w:textAlignment w:val="auto"/>
              <w:rPr>
                <w:rFonts w:ascii="仿宋_GB2312" w:hAnsi="仿宋_GB2312" w:cs="仿宋_GB2312"/>
                <w:sz w:val="24"/>
              </w:rPr>
            </w:pPr>
            <w:r>
              <w:rPr>
                <w:rFonts w:hint="eastAsia" w:ascii="仿宋_GB2312" w:hAnsi="仿宋_GB2312" w:eastAsia="仿宋_GB2312" w:cs="仿宋_GB2312"/>
                <w:sz w:val="24"/>
              </w:rPr>
              <w:t>单笔代理案件标的在500000元至1000000元（含），代理费率每降低0.2个百分点，得1分。（满分5分）</w:t>
            </w:r>
          </w:p>
          <w:p w14:paraId="58E32DC2">
            <w:pPr>
              <w:widowControl w:val="0"/>
              <w:numPr>
                <w:ilvl w:val="0"/>
                <w:numId w:val="3"/>
              </w:numPr>
              <w:spacing w:line="560" w:lineRule="exact"/>
              <w:textAlignment w:val="auto"/>
              <w:rPr>
                <w:rFonts w:ascii="仿宋_GB2312" w:hAnsi="仿宋_GB2312" w:cs="仿宋_GB2312"/>
                <w:sz w:val="24"/>
              </w:rPr>
            </w:pPr>
            <w:r>
              <w:rPr>
                <w:rFonts w:hint="eastAsia" w:ascii="仿宋_GB2312" w:hAnsi="仿宋_GB2312" w:eastAsia="仿宋_GB2312" w:cs="仿宋_GB2312"/>
                <w:sz w:val="24"/>
              </w:rPr>
              <w:t>本项满分25分。</w:t>
            </w:r>
          </w:p>
        </w:tc>
      </w:tr>
      <w:tr w14:paraId="2F11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1096" w:type="pct"/>
            <w:gridSpan w:val="2"/>
            <w:vAlign w:val="center"/>
          </w:tcPr>
          <w:p w14:paraId="0ADAB073">
            <w:pPr>
              <w:pStyle w:val="5"/>
              <w:spacing w:line="560" w:lineRule="exact"/>
              <w:rPr>
                <w:rFonts w:ascii="仿宋_GB2312" w:hAnsi="仿宋_GB2312" w:cs="仿宋_GB2312"/>
                <w:b/>
                <w:bCs/>
                <w:sz w:val="24"/>
              </w:rPr>
            </w:pPr>
            <w:r>
              <w:rPr>
                <w:rFonts w:hint="eastAsia" w:ascii="仿宋_GB2312" w:hAnsi="仿宋_GB2312" w:eastAsia="仿宋_GB2312" w:cs="仿宋_GB2312"/>
                <w:b/>
                <w:bCs/>
                <w:sz w:val="24"/>
              </w:rPr>
              <w:t>合计</w:t>
            </w:r>
          </w:p>
        </w:tc>
        <w:tc>
          <w:tcPr>
            <w:tcW w:w="578" w:type="pct"/>
            <w:vAlign w:val="center"/>
          </w:tcPr>
          <w:p w14:paraId="75302A2E">
            <w:pPr>
              <w:spacing w:line="560" w:lineRule="exact"/>
              <w:rPr>
                <w:rFonts w:ascii="仿宋_GB2312" w:hAnsi="仿宋_GB2312" w:cs="仿宋_GB2312"/>
                <w:b/>
                <w:sz w:val="24"/>
              </w:rPr>
            </w:pPr>
            <w:r>
              <w:rPr>
                <w:rFonts w:hint="eastAsia" w:ascii="仿宋_GB2312" w:hAnsi="仿宋_GB2312" w:eastAsia="仿宋_GB2312" w:cs="仿宋_GB2312"/>
                <w:b/>
                <w:sz w:val="24"/>
              </w:rPr>
              <w:t>100分</w:t>
            </w:r>
          </w:p>
        </w:tc>
        <w:tc>
          <w:tcPr>
            <w:tcW w:w="3325" w:type="pct"/>
            <w:vAlign w:val="center"/>
          </w:tcPr>
          <w:p w14:paraId="78D132AE">
            <w:pPr>
              <w:spacing w:line="560" w:lineRule="exact"/>
              <w:rPr>
                <w:rFonts w:ascii="仿宋_GB2312" w:hAnsi="仿宋_GB2312" w:cs="仿宋_GB2312"/>
                <w:sz w:val="24"/>
              </w:rPr>
            </w:pPr>
          </w:p>
        </w:tc>
      </w:tr>
    </w:tbl>
    <w:p w14:paraId="36E899AF">
      <w:pPr>
        <w:widowControl w:val="0"/>
        <w:spacing w:line="560" w:lineRule="exact"/>
        <w:ind w:firstLine="560" w:firstLineChars="200"/>
        <w:textAlignment w:val="auto"/>
        <w:rPr>
          <w:rFonts w:ascii="宋体" w:hAnsi="宋体" w:cs="宋体"/>
          <w:sz w:val="28"/>
          <w:szCs w:val="28"/>
        </w:rPr>
      </w:pPr>
    </w:p>
    <w:p w14:paraId="588B22EB">
      <w:pPr>
        <w:widowControl w:val="0"/>
        <w:spacing w:line="560" w:lineRule="exact"/>
        <w:ind w:firstLine="560" w:firstLineChars="200"/>
        <w:textAlignment w:val="auto"/>
        <w:rPr>
          <w:rFonts w:ascii="宋体" w:hAnsi="宋体" w:cs="宋体"/>
          <w:sz w:val="28"/>
          <w:szCs w:val="28"/>
        </w:rPr>
      </w:pPr>
    </w:p>
    <w:p w14:paraId="79B20D7E">
      <w:pPr>
        <w:widowControl w:val="0"/>
        <w:spacing w:line="560" w:lineRule="exact"/>
        <w:ind w:firstLine="560" w:firstLineChars="200"/>
        <w:textAlignment w:val="auto"/>
        <w:rPr>
          <w:rFonts w:ascii="宋体" w:hAnsi="宋体" w:cs="宋体"/>
          <w:sz w:val="28"/>
          <w:szCs w:val="28"/>
        </w:rPr>
      </w:pPr>
    </w:p>
    <w:p w14:paraId="201FCF70">
      <w:pPr>
        <w:widowControl w:val="0"/>
        <w:spacing w:line="560" w:lineRule="exact"/>
        <w:ind w:firstLine="560" w:firstLineChars="200"/>
        <w:textAlignment w:val="auto"/>
        <w:rPr>
          <w:rFonts w:ascii="宋体" w:hAnsi="宋体" w:cs="宋体"/>
          <w:sz w:val="28"/>
          <w:szCs w:val="28"/>
        </w:rPr>
      </w:pPr>
    </w:p>
    <w:p w14:paraId="0D2F112A">
      <w:pPr>
        <w:widowControl w:val="0"/>
        <w:spacing w:line="560" w:lineRule="exact"/>
        <w:ind w:firstLine="560" w:firstLineChars="200"/>
        <w:textAlignment w:val="auto"/>
        <w:rPr>
          <w:rFonts w:ascii="宋体" w:hAnsi="宋体" w:cs="宋体"/>
          <w:sz w:val="28"/>
          <w:szCs w:val="28"/>
        </w:rPr>
      </w:pPr>
    </w:p>
    <w:p w14:paraId="2A24E4DC">
      <w:pPr>
        <w:widowControl w:val="0"/>
        <w:spacing w:line="560" w:lineRule="exact"/>
        <w:ind w:firstLine="560" w:firstLineChars="200"/>
        <w:textAlignment w:val="auto"/>
        <w:rPr>
          <w:rFonts w:ascii="宋体" w:hAnsi="宋体" w:cs="宋体"/>
          <w:sz w:val="28"/>
          <w:szCs w:val="28"/>
        </w:rPr>
      </w:pPr>
    </w:p>
    <w:p w14:paraId="4421C60F">
      <w:pPr>
        <w:widowControl w:val="0"/>
        <w:spacing w:line="560" w:lineRule="exact"/>
        <w:ind w:firstLine="560" w:firstLineChars="200"/>
        <w:textAlignment w:val="auto"/>
        <w:rPr>
          <w:rFonts w:ascii="宋体" w:hAnsi="宋体" w:cs="宋体"/>
          <w:sz w:val="28"/>
          <w:szCs w:val="28"/>
        </w:rPr>
      </w:pPr>
    </w:p>
    <w:p w14:paraId="7597424D">
      <w:pPr>
        <w:spacing w:line="560" w:lineRule="exact"/>
        <w:ind w:firstLine="640" w:firstLineChars="200"/>
        <w:rPr>
          <w:rFonts w:hint="eastAsia" w:ascii="黑体" w:hAnsi="黑体" w:eastAsia="黑体" w:cs="黑体"/>
          <w:b w:val="0"/>
          <w:bCs w:val="0"/>
          <w:sz w:val="32"/>
          <w:szCs w:val="32"/>
        </w:rPr>
      </w:pPr>
      <w:bookmarkStart w:id="0" w:name="_Toc257724565"/>
      <w:bookmarkStart w:id="1" w:name="_Toc138581182"/>
      <w:bookmarkStart w:id="2" w:name="_Toc132253940"/>
      <w:bookmarkStart w:id="3" w:name="_Toc140467269"/>
      <w:bookmarkStart w:id="4" w:name="_Toc132254106"/>
      <w:bookmarkStart w:id="5" w:name="_Toc134953364"/>
      <w:bookmarkStart w:id="6" w:name="_Toc138581101"/>
      <w:bookmarkStart w:id="7" w:name="_Toc132254458"/>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竞争性磋商文件（编制要求）</w:t>
      </w:r>
    </w:p>
    <w:p w14:paraId="154536D0">
      <w:pPr>
        <w:pStyle w:val="18"/>
        <w:numPr>
          <w:ilvl w:val="0"/>
          <w:numId w:val="0"/>
        </w:numPr>
        <w:tabs>
          <w:tab w:val="left" w:pos="630"/>
          <w:tab w:val="clear" w:pos="420"/>
        </w:tabs>
        <w:spacing w:line="440" w:lineRule="exact"/>
        <w:ind w:firstLine="640" w:firstLineChars="200"/>
        <w:rPr>
          <w:rFonts w:hint="eastAsia" w:ascii="Times New Roman" w:hAnsi="Times New Roman" w:eastAsia="楷体_GB2312" w:cs="楷体_GB2312"/>
          <w:b w:val="0"/>
          <w:color w:val="auto"/>
          <w:kern w:val="0"/>
          <w:sz w:val="32"/>
          <w:szCs w:val="32"/>
          <w:highlight w:val="none"/>
          <w:lang w:val="en-US" w:eastAsia="zh-CN" w:bidi="ar"/>
        </w:rPr>
      </w:pPr>
      <w:r>
        <w:rPr>
          <w:rFonts w:hint="eastAsia" w:ascii="Times New Roman" w:hAnsi="Times New Roman" w:eastAsia="楷体_GB2312" w:cs="楷体_GB2312"/>
          <w:b w:val="0"/>
          <w:color w:val="auto"/>
          <w:kern w:val="0"/>
          <w:sz w:val="32"/>
          <w:szCs w:val="32"/>
          <w:highlight w:val="none"/>
          <w:lang w:val="en-US" w:eastAsia="zh-CN" w:bidi="ar"/>
        </w:rPr>
        <w:t>(一)竞争性磋商文件的构成</w:t>
      </w:r>
      <w:bookmarkEnd w:id="0"/>
    </w:p>
    <w:p w14:paraId="763A7411">
      <w:pPr>
        <w:pStyle w:val="19"/>
        <w:tabs>
          <w:tab w:val="left" w:pos="842"/>
          <w:tab w:val="clear" w:pos="700"/>
        </w:tabs>
        <w:spacing w:line="440" w:lineRule="exact"/>
        <w:ind w:left="105"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代表人授权委托书</w:t>
      </w:r>
    </w:p>
    <w:p w14:paraId="5FC6AEC8">
      <w:pPr>
        <w:pStyle w:val="19"/>
        <w:tabs>
          <w:tab w:val="left" w:pos="842"/>
          <w:tab w:val="clear" w:pos="700"/>
        </w:tabs>
        <w:spacing w:line="440" w:lineRule="exact"/>
        <w:ind w:left="105"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采购竞争性磋商通知书</w:t>
      </w:r>
    </w:p>
    <w:p w14:paraId="4407C782">
      <w:pPr>
        <w:pStyle w:val="19"/>
        <w:tabs>
          <w:tab w:val="left" w:pos="842"/>
          <w:tab w:val="clear" w:pos="700"/>
        </w:tabs>
        <w:spacing w:line="440" w:lineRule="exact"/>
        <w:ind w:left="105"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竞选人资质证明资料</w:t>
      </w:r>
    </w:p>
    <w:p w14:paraId="483D85F6">
      <w:pPr>
        <w:pStyle w:val="19"/>
        <w:tabs>
          <w:tab w:val="left" w:pos="842"/>
          <w:tab w:val="clear" w:pos="700"/>
        </w:tabs>
        <w:spacing w:line="440" w:lineRule="exact"/>
        <w:ind w:left="105"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信用承诺函</w:t>
      </w:r>
    </w:p>
    <w:bookmarkEnd w:id="1"/>
    <w:bookmarkEnd w:id="2"/>
    <w:bookmarkEnd w:id="3"/>
    <w:bookmarkEnd w:id="4"/>
    <w:bookmarkEnd w:id="5"/>
    <w:bookmarkEnd w:id="6"/>
    <w:bookmarkEnd w:id="7"/>
    <w:p w14:paraId="3BE67955">
      <w:pPr>
        <w:pStyle w:val="18"/>
        <w:numPr>
          <w:ilvl w:val="0"/>
          <w:numId w:val="0"/>
        </w:numPr>
        <w:tabs>
          <w:tab w:val="left" w:pos="630"/>
          <w:tab w:val="clear" w:pos="420"/>
        </w:tabs>
        <w:spacing w:line="440" w:lineRule="exact"/>
        <w:ind w:firstLine="640" w:firstLineChars="200"/>
        <w:rPr>
          <w:rFonts w:hint="eastAsia" w:ascii="Times New Roman" w:hAnsi="Times New Roman" w:eastAsia="楷体_GB2312" w:cs="楷体_GB2312"/>
          <w:b w:val="0"/>
          <w:color w:val="auto"/>
          <w:kern w:val="0"/>
          <w:sz w:val="32"/>
          <w:szCs w:val="32"/>
          <w:highlight w:val="none"/>
          <w:lang w:val="en-US" w:eastAsia="zh-CN" w:bidi="ar"/>
        </w:rPr>
      </w:pPr>
      <w:bookmarkStart w:id="8" w:name="_Toc257724566"/>
      <w:bookmarkStart w:id="9" w:name="_Toc138581102"/>
      <w:bookmarkStart w:id="10" w:name="_Toc132254107"/>
      <w:bookmarkStart w:id="11" w:name="_Toc140467270"/>
      <w:bookmarkStart w:id="12" w:name="_Toc138581183"/>
      <w:bookmarkStart w:id="13" w:name="_Toc132254459"/>
      <w:bookmarkStart w:id="14" w:name="_Toc211218925"/>
      <w:bookmarkStart w:id="15" w:name="_Toc132253941"/>
      <w:bookmarkStart w:id="16" w:name="_Toc134953365"/>
      <w:r>
        <w:rPr>
          <w:rFonts w:hint="eastAsia" w:ascii="Times New Roman" w:hAnsi="Times New Roman" w:eastAsia="楷体_GB2312" w:cs="楷体_GB2312"/>
          <w:b w:val="0"/>
          <w:color w:val="auto"/>
          <w:kern w:val="0"/>
          <w:sz w:val="32"/>
          <w:szCs w:val="32"/>
          <w:highlight w:val="none"/>
          <w:lang w:val="en-US" w:eastAsia="zh-CN" w:bidi="ar"/>
        </w:rPr>
        <w:t>(二)装订、密封、递交要求</w:t>
      </w:r>
    </w:p>
    <w:p w14:paraId="1CCA2E03">
      <w:pPr>
        <w:pStyle w:val="19"/>
        <w:tabs>
          <w:tab w:val="left" w:pos="842"/>
          <w:tab w:val="clear" w:pos="700"/>
        </w:tabs>
        <w:spacing w:line="440" w:lineRule="exact"/>
        <w:ind w:left="105"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响应文件一式贰份，其中正本一份，副本一份，</w:t>
      </w:r>
      <w:r>
        <w:rPr>
          <w:rFonts w:hint="eastAsia" w:ascii="仿宋_GB2312" w:hAnsi="仿宋_GB2312" w:eastAsia="仿宋_GB2312" w:cs="仿宋_GB2312"/>
          <w:kern w:val="2"/>
          <w:sz w:val="32"/>
          <w:szCs w:val="32"/>
          <w:lang w:val="zh-CN" w:eastAsia="zh-CN" w:bidi="ar-SA"/>
        </w:rPr>
        <w:t>均应标明：项目名称、竞选人名称、年 月 日。</w:t>
      </w:r>
      <w:r>
        <w:rPr>
          <w:rFonts w:hint="eastAsia" w:ascii="仿宋_GB2312" w:hAnsi="仿宋_GB2312" w:eastAsia="仿宋_GB2312" w:cs="仿宋_GB2312"/>
          <w:kern w:val="2"/>
          <w:sz w:val="32"/>
          <w:szCs w:val="32"/>
          <w:lang w:val="en-US" w:eastAsia="zh-CN" w:bidi="ar-SA"/>
        </w:rPr>
        <w:t>所有外层密封袋的封口处应粘贴牢固，每一封口处均应贴密封条，并加盖公章。装订成册。外封套至少标明：竞选人名称、地址、及项目名称，并加盖公章。</w:t>
      </w:r>
    </w:p>
    <w:p w14:paraId="2C753ABE">
      <w:pPr>
        <w:pStyle w:val="19"/>
        <w:tabs>
          <w:tab w:val="left" w:pos="842"/>
          <w:tab w:val="clear" w:pos="700"/>
        </w:tabs>
        <w:spacing w:line="440" w:lineRule="exact"/>
        <w:ind w:left="105"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竞争性磋商文件必须加盖竞选人公章和全权代表签字。</w:t>
      </w:r>
    </w:p>
    <w:p w14:paraId="584157E3">
      <w:pPr>
        <w:pStyle w:val="19"/>
        <w:tabs>
          <w:tab w:val="left" w:pos="842"/>
          <w:tab w:val="clear" w:pos="700"/>
        </w:tabs>
        <w:spacing w:line="440" w:lineRule="exact"/>
        <w:ind w:left="105"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 xml:space="preserve">竞选单位未按上述规定提交，其将被拒收，并原封退还给竞选单位。 </w:t>
      </w:r>
    </w:p>
    <w:p w14:paraId="6B836638">
      <w:pPr>
        <w:pStyle w:val="19"/>
        <w:tabs>
          <w:tab w:val="left" w:pos="842"/>
          <w:tab w:val="clear" w:pos="700"/>
        </w:tabs>
        <w:spacing w:line="440" w:lineRule="exact"/>
        <w:ind w:left="105"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正、副本不一致时，以正本为准。</w:t>
      </w:r>
    </w:p>
    <w:p w14:paraId="7885D2DC">
      <w:pPr>
        <w:pStyle w:val="19"/>
        <w:tabs>
          <w:tab w:val="left" w:pos="842"/>
          <w:tab w:val="clear" w:pos="700"/>
        </w:tabs>
        <w:spacing w:line="440" w:lineRule="exact"/>
        <w:ind w:left="105" w:firstLine="640" w:firstLineChars="200"/>
        <w:rPr>
          <w:rFonts w:asciiTheme="minorEastAsia" w:hAnsiTheme="minorEastAsia" w:eastAsiaTheme="minorEastAsia" w:cstheme="minorEastAsia"/>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递交截止时间:2026年6月12日17时。</w:t>
      </w:r>
    </w:p>
    <w:bookmarkEnd w:id="8"/>
    <w:bookmarkEnd w:id="9"/>
    <w:bookmarkEnd w:id="10"/>
    <w:bookmarkEnd w:id="11"/>
    <w:bookmarkEnd w:id="12"/>
    <w:bookmarkEnd w:id="13"/>
    <w:bookmarkEnd w:id="14"/>
    <w:bookmarkEnd w:id="15"/>
    <w:bookmarkEnd w:id="16"/>
    <w:p w14:paraId="2CAD31A0">
      <w:bookmarkStart w:id="17" w:name="_Toc257724568"/>
      <w:bookmarkStart w:id="18" w:name="_Toc134953366"/>
      <w:bookmarkStart w:id="19" w:name="_Toc132254460"/>
      <w:bookmarkStart w:id="20" w:name="_Toc211218926"/>
      <w:bookmarkStart w:id="21" w:name="_Toc132254108"/>
      <w:bookmarkStart w:id="22" w:name="_Toc138581184"/>
      <w:bookmarkStart w:id="23" w:name="_Toc138581103"/>
      <w:bookmarkStart w:id="24" w:name="_Toc132253942"/>
      <w:bookmarkStart w:id="25" w:name="_Toc140467271"/>
      <w:r>
        <w:rPr>
          <w:rFonts w:hint="eastAsia"/>
        </w:rPr>
        <w:br w:type="page"/>
      </w:r>
      <w:bookmarkEnd w:id="17"/>
      <w:bookmarkEnd w:id="18"/>
      <w:bookmarkEnd w:id="19"/>
      <w:bookmarkEnd w:id="20"/>
      <w:bookmarkEnd w:id="21"/>
      <w:bookmarkEnd w:id="22"/>
      <w:bookmarkEnd w:id="23"/>
      <w:bookmarkEnd w:id="24"/>
      <w:bookmarkEnd w:id="25"/>
      <w:bookmarkStart w:id="26" w:name="_Toc389620192"/>
      <w:bookmarkStart w:id="27" w:name="_Toc385992353"/>
      <w:bookmarkStart w:id="28" w:name="_Toc138581112"/>
      <w:bookmarkStart w:id="29" w:name="_Toc140467280"/>
      <w:bookmarkStart w:id="30" w:name="_Toc173680909"/>
      <w:bookmarkStart w:id="31" w:name="_Toc182068833"/>
      <w:bookmarkStart w:id="32" w:name="_Toc134953375"/>
      <w:bookmarkStart w:id="33" w:name="_Toc132253951"/>
      <w:bookmarkStart w:id="34" w:name="_Toc132254469"/>
      <w:bookmarkStart w:id="35" w:name="_Toc138581193"/>
      <w:bookmarkStart w:id="36" w:name="_Toc132254117"/>
    </w:p>
    <w:p w14:paraId="57A0D788">
      <w:pPr>
        <w:pStyle w:val="20"/>
        <w:spacing w:beforeLines="0" w:afterLines="0" w:line="560" w:lineRule="exact"/>
      </w:pPr>
      <w:r>
        <w:rPr>
          <w:rFonts w:hint="eastAsia" w:ascii="宋体" w:hAnsi="宋体" w:eastAsia="宋体"/>
          <w:sz w:val="36"/>
          <w:szCs w:val="24"/>
        </w:rPr>
        <w:t>第三章 评审工作程序</w:t>
      </w:r>
    </w:p>
    <w:bookmarkEnd w:id="26"/>
    <w:bookmarkEnd w:id="27"/>
    <w:p w14:paraId="48AE66E0">
      <w:pPr>
        <w:pStyle w:val="18"/>
        <w:numPr>
          <w:ilvl w:val="0"/>
          <w:numId w:val="0"/>
        </w:numPr>
        <w:spacing w:line="440" w:lineRule="exact"/>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1.竞争性磋商程序</w:t>
      </w:r>
    </w:p>
    <w:p w14:paraId="752C81C1">
      <w:pPr>
        <w:pStyle w:val="19"/>
        <w:tabs>
          <w:tab w:val="left" w:pos="420"/>
          <w:tab w:val="left" w:pos="842"/>
        </w:tabs>
        <w:spacing w:line="440" w:lineRule="exact"/>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1.1竞选人全权代表向竞争性磋商小组递交响应文件</w:t>
      </w:r>
    </w:p>
    <w:p w14:paraId="0196EFBF">
      <w:pPr>
        <w:pStyle w:val="19"/>
        <w:tabs>
          <w:tab w:val="left" w:pos="420"/>
          <w:tab w:val="left" w:pos="842"/>
        </w:tabs>
        <w:spacing w:line="440" w:lineRule="exact"/>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1.2竞争性磋商小组审阅响应文件</w:t>
      </w:r>
    </w:p>
    <w:p w14:paraId="113E2B39">
      <w:pPr>
        <w:pStyle w:val="19"/>
        <w:tabs>
          <w:tab w:val="left" w:pos="312"/>
        </w:tabs>
        <w:spacing w:line="440" w:lineRule="exact"/>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(1)竞争性磋商小组依据竞争性磋商文件的规定，对响应文件的有效性、完整性和对竞争性磋商文件的响应程度进行审查，</w:t>
      </w:r>
    </w:p>
    <w:p w14:paraId="21474D28">
      <w:pPr>
        <w:pStyle w:val="19"/>
        <w:tabs>
          <w:tab w:val="left" w:pos="312"/>
        </w:tabs>
        <w:spacing w:line="440" w:lineRule="exact"/>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(2)在竞争性磋商文件及程序符合法律规定的前提下，未响应竞争性磋商文件的竞选将不进入评分环节。递交响应文件作出实质响应的竞选人不足3家的，终止竞争性磋商，重新组织采购。</w:t>
      </w:r>
    </w:p>
    <w:p w14:paraId="7EE929C0">
      <w:pPr>
        <w:pStyle w:val="19"/>
        <w:tabs>
          <w:tab w:val="left" w:pos="420"/>
          <w:tab w:val="left" w:pos="842"/>
        </w:tabs>
        <w:spacing w:line="440" w:lineRule="exact"/>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2.评标：</w:t>
      </w:r>
    </w:p>
    <w:p w14:paraId="341B5690">
      <w:pPr>
        <w:pStyle w:val="19"/>
        <w:spacing w:line="440" w:lineRule="exact"/>
        <w:ind w:left="7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由竞争性磋商小组采用综合评分对竞选人的竞争性磋商文件进行打分。</w:t>
      </w:r>
    </w:p>
    <w:bookmarkEnd w:id="28"/>
    <w:bookmarkEnd w:id="29"/>
    <w:bookmarkEnd w:id="30"/>
    <w:bookmarkEnd w:id="31"/>
    <w:bookmarkEnd w:id="32"/>
    <w:bookmarkEnd w:id="33"/>
    <w:bookmarkEnd w:id="34"/>
    <w:bookmarkEnd w:id="35"/>
    <w:bookmarkEnd w:id="36"/>
    <w:p w14:paraId="14B18574">
      <w:pPr>
        <w:pStyle w:val="18"/>
        <w:numPr>
          <w:ilvl w:val="0"/>
          <w:numId w:val="0"/>
        </w:numPr>
        <w:spacing w:line="440" w:lineRule="exact"/>
        <w:ind w:firstLine="640" w:firstLineChars="200"/>
        <w:rPr>
          <w:rFonts w:hint="eastAsia" w:ascii="仿宋_GB2312" w:hAnsi="仿宋_GB2312" w:eastAsia="仿宋_GB2312" w:cs="仿宋_GB2312"/>
          <w:b w:val="0"/>
          <w:kern w:val="2"/>
          <w:sz w:val="32"/>
          <w:szCs w:val="32"/>
          <w:lang w:val="en-US" w:eastAsia="zh-CN" w:bidi="ar-SA"/>
        </w:rPr>
      </w:pPr>
      <w:bookmarkStart w:id="37" w:name="_Toc257724579"/>
      <w:r>
        <w:rPr>
          <w:rFonts w:hint="eastAsia" w:ascii="仿宋_GB2312" w:hAnsi="仿宋_GB2312" w:eastAsia="仿宋_GB2312" w:cs="仿宋_GB2312"/>
          <w:b w:val="0"/>
          <w:kern w:val="2"/>
          <w:sz w:val="32"/>
          <w:szCs w:val="32"/>
          <w:lang w:val="en-US" w:eastAsia="zh-CN" w:bidi="ar-SA"/>
        </w:rPr>
        <w:t>3.评审原则和评审方法</w:t>
      </w:r>
    </w:p>
    <w:p w14:paraId="3FE6DFCF">
      <w:pPr>
        <w:pStyle w:val="19"/>
        <w:tabs>
          <w:tab w:val="left" w:pos="420"/>
          <w:tab w:val="left" w:pos="842"/>
        </w:tabs>
        <w:spacing w:line="440" w:lineRule="exact"/>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3.1评审原则</w:t>
      </w:r>
    </w:p>
    <w:p w14:paraId="7C48EB53">
      <w:pPr>
        <w:pStyle w:val="19"/>
        <w:tabs>
          <w:tab w:val="left" w:pos="420"/>
          <w:tab w:val="left" w:pos="842"/>
        </w:tabs>
        <w:spacing w:line="440" w:lineRule="exact"/>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本次竞争性磋商遵循公开透明、公平竞争、公正和诚实信用的原则。竞争性磋商小组成员按照客观、公正、审慎的原则，根据竞争性磋商文件规定的评审程序、评审方法和评审标准进行独立评审。未实质性响应竞争性磋商文件的响应文件按无效响应处理，并告知提交响应文件的竞选人。</w:t>
      </w:r>
    </w:p>
    <w:p w14:paraId="05515A08">
      <w:pPr>
        <w:pStyle w:val="19"/>
        <w:tabs>
          <w:tab w:val="left" w:pos="420"/>
          <w:tab w:val="left" w:pos="842"/>
        </w:tabs>
        <w:spacing w:line="440" w:lineRule="exact"/>
        <w:ind w:firstLine="800" w:firstLineChars="25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4.评分标准 </w:t>
      </w:r>
    </w:p>
    <w:p w14:paraId="7B3542FC">
      <w:pPr>
        <w:pStyle w:val="19"/>
        <w:spacing w:line="440" w:lineRule="exact"/>
        <w:ind w:left="105" w:leftChars="50"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根据有关规定，竞争性磋商小组成员按照客观、公正、谨慎的原则，根据竞争性磋商文件规定的评审程序、评审方法和评审标准进行独立评审。根据得分高低确定成交供应商。</w:t>
      </w:r>
    </w:p>
    <w:p w14:paraId="0EC3BE0C">
      <w:pPr>
        <w:pStyle w:val="19"/>
        <w:spacing w:line="440" w:lineRule="exact"/>
        <w:ind w:left="105" w:leftChars="50" w:firstLine="720" w:firstLineChars="300"/>
        <w:rPr>
          <w:rFonts w:asciiTheme="minorEastAsia" w:hAnsiTheme="minorEastAsia" w:eastAsiaTheme="minorEastAsia" w:cstheme="minorEastAsia"/>
        </w:rPr>
      </w:pPr>
    </w:p>
    <w:p w14:paraId="28A481EE">
      <w:pPr>
        <w:pStyle w:val="19"/>
        <w:spacing w:line="440" w:lineRule="exact"/>
        <w:ind w:left="105" w:leftChars="50" w:firstLine="720" w:firstLineChars="300"/>
        <w:rPr>
          <w:rFonts w:asciiTheme="minorEastAsia" w:hAnsiTheme="minorEastAsia" w:eastAsiaTheme="minorEastAsia" w:cstheme="minorEastAsia"/>
        </w:rPr>
      </w:pPr>
    </w:p>
    <w:p w14:paraId="383B608D">
      <w:pPr>
        <w:pStyle w:val="19"/>
        <w:spacing w:line="440" w:lineRule="exact"/>
        <w:ind w:left="105" w:leftChars="50" w:firstLine="720" w:firstLineChars="300"/>
        <w:rPr>
          <w:rFonts w:asciiTheme="minorEastAsia" w:hAnsiTheme="minorEastAsia" w:eastAsiaTheme="minorEastAsia" w:cstheme="minorEastAsia"/>
        </w:rPr>
      </w:pPr>
    </w:p>
    <w:p w14:paraId="49554BC5">
      <w:pPr>
        <w:pStyle w:val="19"/>
        <w:spacing w:line="440" w:lineRule="exact"/>
        <w:ind w:left="105" w:leftChars="50" w:firstLine="720" w:firstLineChars="300"/>
        <w:rPr>
          <w:rFonts w:asciiTheme="minorEastAsia" w:hAnsiTheme="minorEastAsia" w:eastAsiaTheme="minorEastAsia" w:cstheme="minorEastAsia"/>
        </w:rPr>
      </w:pPr>
    </w:p>
    <w:p w14:paraId="07DBFD36">
      <w:pPr>
        <w:pStyle w:val="19"/>
        <w:spacing w:line="440" w:lineRule="exact"/>
        <w:ind w:left="105" w:leftChars="50" w:firstLine="720" w:firstLineChars="300"/>
        <w:rPr>
          <w:rFonts w:asciiTheme="minorEastAsia" w:hAnsiTheme="minorEastAsia" w:eastAsiaTheme="minorEastAsia" w:cstheme="minorEastAsia"/>
        </w:rPr>
      </w:pPr>
    </w:p>
    <w:p w14:paraId="3E11BFF6">
      <w:pPr>
        <w:pStyle w:val="19"/>
        <w:spacing w:line="440" w:lineRule="exact"/>
        <w:ind w:left="105" w:leftChars="50" w:firstLine="720" w:firstLineChars="300"/>
        <w:rPr>
          <w:rFonts w:asciiTheme="minorEastAsia" w:hAnsiTheme="minorEastAsia" w:eastAsiaTheme="minorEastAsia" w:cstheme="minorEastAsia"/>
        </w:rPr>
      </w:pPr>
    </w:p>
    <w:p w14:paraId="1EDE12FE">
      <w:pPr>
        <w:pStyle w:val="19"/>
        <w:spacing w:line="440" w:lineRule="exact"/>
        <w:ind w:left="105" w:leftChars="50" w:firstLine="720" w:firstLineChars="300"/>
        <w:rPr>
          <w:rFonts w:asciiTheme="minorEastAsia" w:hAnsiTheme="minorEastAsia" w:eastAsiaTheme="minorEastAsia" w:cstheme="minorEastAsia"/>
        </w:rPr>
      </w:pPr>
    </w:p>
    <w:p w14:paraId="669C5492">
      <w:pPr>
        <w:pStyle w:val="19"/>
        <w:spacing w:line="440" w:lineRule="exact"/>
        <w:ind w:left="105" w:leftChars="50" w:firstLine="720" w:firstLineChars="300"/>
        <w:rPr>
          <w:rFonts w:asciiTheme="minorEastAsia" w:hAnsiTheme="minorEastAsia" w:eastAsiaTheme="minorEastAsia" w:cstheme="minorEastAsia"/>
        </w:rPr>
      </w:pPr>
    </w:p>
    <w:p w14:paraId="26E47935">
      <w:pPr>
        <w:pStyle w:val="19"/>
        <w:spacing w:line="440" w:lineRule="exact"/>
        <w:ind w:left="105" w:leftChars="50" w:firstLine="720" w:firstLineChars="300"/>
        <w:rPr>
          <w:rFonts w:asciiTheme="minorEastAsia" w:hAnsiTheme="minorEastAsia" w:eastAsiaTheme="minorEastAsia" w:cstheme="minorEastAsia"/>
        </w:rPr>
      </w:pPr>
    </w:p>
    <w:p w14:paraId="482CB92E">
      <w:pPr>
        <w:pStyle w:val="19"/>
        <w:spacing w:line="440" w:lineRule="exact"/>
        <w:rPr>
          <w:rFonts w:asciiTheme="minorEastAsia" w:hAnsiTheme="minorEastAsia" w:eastAsiaTheme="minorEastAsia" w:cstheme="minorEastAsia"/>
        </w:rPr>
      </w:pPr>
      <w:bookmarkStart w:id="38" w:name="_GoBack"/>
      <w:bookmarkEnd w:id="38"/>
    </w:p>
    <w:bookmarkEnd w:id="37"/>
    <w:p w14:paraId="58B66CE3">
      <w:pPr>
        <w:rPr>
          <w:rFonts w:ascii="宋体" w:hAnsi="宋体" w:cs="宋体"/>
          <w:b/>
          <w:sz w:val="36"/>
        </w:rPr>
      </w:pPr>
    </w:p>
    <w:p w14:paraId="68136152">
      <w:pPr>
        <w:tabs>
          <w:tab w:val="left" w:pos="1426"/>
          <w:tab w:val="center" w:pos="4882"/>
        </w:tabs>
        <w:spacing w:line="360" w:lineRule="auto"/>
        <w:jc w:val="center"/>
        <w:outlineLvl w:val="0"/>
        <w:rPr>
          <w:rFonts w:ascii="宋体" w:hAnsi="宋体" w:cs="宋体"/>
          <w:b/>
          <w:sz w:val="36"/>
        </w:rPr>
      </w:pPr>
      <w:r>
        <w:rPr>
          <w:rFonts w:hint="eastAsia" w:ascii="宋体" w:hAnsi="宋体" w:cs="宋体"/>
          <w:b/>
          <w:sz w:val="36"/>
        </w:rPr>
        <w:t>第四章  竞选文件格式</w:t>
      </w:r>
    </w:p>
    <w:p w14:paraId="1BAAAE55">
      <w:pPr>
        <w:pStyle w:val="8"/>
        <w:spacing w:beforeLines="100"/>
        <w:jc w:val="center"/>
        <w:rPr>
          <w:rFonts w:ascii="宋体"/>
          <w:sz w:val="24"/>
        </w:rPr>
      </w:pPr>
      <w:r>
        <w:rPr>
          <w:rFonts w:hint="eastAsia"/>
          <w:b/>
          <w:sz w:val="28"/>
          <w:szCs w:val="28"/>
        </w:rPr>
        <w:t>一、</w:t>
      </w:r>
      <w:r>
        <w:rPr>
          <w:rFonts w:hint="eastAsia"/>
          <w:b/>
          <w:sz w:val="28"/>
          <w:szCs w:val="22"/>
        </w:rPr>
        <w:t>法定代表人授权委托书</w:t>
      </w:r>
    </w:p>
    <w:p w14:paraId="66BCFE98">
      <w:pPr>
        <w:spacing w:line="480" w:lineRule="exact"/>
        <w:rPr>
          <w:rFonts w:ascii="宋体"/>
        </w:rPr>
      </w:pPr>
      <w:r>
        <w:rPr>
          <w:rFonts w:hint="eastAsia" w:ascii="宋体" w:hAnsi="宋体"/>
        </w:rPr>
        <w:t>贵州普定农村商业银行股份有限公司：</w:t>
      </w:r>
    </w:p>
    <w:p w14:paraId="73BF46F4">
      <w:pPr>
        <w:spacing w:line="480" w:lineRule="exact"/>
        <w:ind w:firstLine="420" w:firstLineChars="200"/>
        <w:rPr>
          <w:rFonts w:ascii="宋体"/>
        </w:rPr>
      </w:pPr>
      <w:r>
        <w:rPr>
          <w:rFonts w:hint="eastAsia" w:ascii="宋体" w:hAnsi="宋体"/>
        </w:rPr>
        <w:t>我</w:t>
      </w:r>
      <w:r>
        <w:rPr>
          <w:rFonts w:hint="eastAsia" w:ascii="宋体" w:hAnsi="宋体"/>
          <w:u w:val="single"/>
        </w:rPr>
        <w:t xml:space="preserve">       （姓名）</w:t>
      </w:r>
      <w:r>
        <w:rPr>
          <w:rFonts w:hint="eastAsia" w:ascii="宋体" w:hAnsi="宋体"/>
        </w:rPr>
        <w:t>系</w:t>
      </w:r>
      <w:r>
        <w:rPr>
          <w:rFonts w:hint="eastAsia" w:ascii="宋体" w:hAnsi="宋体"/>
          <w:u w:val="single"/>
        </w:rPr>
        <w:t xml:space="preserve">            （公司名称）</w:t>
      </w:r>
      <w:r>
        <w:rPr>
          <w:rFonts w:hint="eastAsia" w:ascii="宋体" w:hAnsi="宋体"/>
        </w:rPr>
        <w:t>的法定代表人现授权委托</w:t>
      </w:r>
      <w:r>
        <w:rPr>
          <w:rFonts w:ascii="宋体" w:hAnsi="宋体"/>
          <w:u w:val="single"/>
        </w:rPr>
        <w:t xml:space="preserve">      </w:t>
      </w:r>
      <w:r>
        <w:rPr>
          <w:rFonts w:hint="eastAsia" w:ascii="宋体" w:hAnsi="宋体"/>
          <w:u w:val="single"/>
        </w:rPr>
        <w:t>（公司职务：</w:t>
      </w:r>
      <w:r>
        <w:rPr>
          <w:rFonts w:ascii="宋体" w:hAnsi="宋体"/>
          <w:u w:val="single"/>
        </w:rPr>
        <w:t xml:space="preserve">    </w:t>
      </w:r>
      <w:r>
        <w:rPr>
          <w:rFonts w:hint="eastAsia" w:ascii="宋体" w:hAnsi="宋体"/>
          <w:u w:val="single"/>
        </w:rPr>
        <w:t>）</w:t>
      </w:r>
      <w:r>
        <w:rPr>
          <w:rFonts w:hint="eastAsia" w:ascii="宋体" w:hAnsi="宋体"/>
        </w:rPr>
        <w:t xml:space="preserve">为其代理人，参加贵单位于  </w:t>
      </w:r>
      <w:r>
        <w:rPr>
          <w:rFonts w:ascii="宋体" w:hAnsi="宋体"/>
          <w:u w:val="single"/>
        </w:rPr>
        <w:t xml:space="preserve">   </w:t>
      </w:r>
      <w:r>
        <w:rPr>
          <w:rFonts w:hint="eastAsia" w:ascii="宋体" w:hAnsi="宋体"/>
        </w:rPr>
        <w:t xml:space="preserve"> 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日组织的</w:t>
      </w:r>
      <w:r>
        <w:rPr>
          <w:rFonts w:hint="eastAsia" w:ascii="宋体" w:hAnsi="宋体"/>
          <w:u w:val="single"/>
        </w:rPr>
        <w:t xml:space="preserve">           （项目名称）</w:t>
      </w:r>
      <w:r>
        <w:rPr>
          <w:rFonts w:hint="eastAsia" w:ascii="宋体" w:hAnsi="宋体"/>
        </w:rPr>
        <w:t>磋商活动，全权代表我公司处理磋商活动中的一切事宜，我公司均予承认。</w:t>
      </w:r>
    </w:p>
    <w:p w14:paraId="7C68DCD3">
      <w:pPr>
        <w:spacing w:line="440" w:lineRule="exact"/>
        <w:rPr>
          <w:rFonts w:ascii="宋体"/>
        </w:rPr>
      </w:pPr>
      <w:r>
        <w:rPr>
          <w:rFonts w:ascii="宋体" w:hAnsi="宋体"/>
        </w:rPr>
        <w:t xml:space="preserve">    </w:t>
      </w:r>
      <w:r>
        <w:rPr>
          <w:rFonts w:hint="eastAsia" w:ascii="宋体" w:hAnsi="宋体"/>
        </w:rPr>
        <w:t>被授权人无转委托权，特此委托。</w:t>
      </w:r>
    </w:p>
    <w:p w14:paraId="56AE7A38">
      <w:pPr>
        <w:spacing w:line="440" w:lineRule="exact"/>
        <w:rPr>
          <w:rFonts w:ascii="宋体"/>
        </w:rPr>
      </w:pPr>
    </w:p>
    <w:p w14:paraId="358C9A71">
      <w:pPr>
        <w:spacing w:line="440" w:lineRule="exact"/>
        <w:ind w:left="420" w:leftChars="200"/>
        <w:rPr>
          <w:rFonts w:ascii="宋体"/>
        </w:rPr>
      </w:pPr>
      <w:r>
        <w:rPr>
          <w:rFonts w:hint="eastAsia" w:ascii="宋体" w:hAnsi="宋体"/>
        </w:rPr>
        <w:t>竞选人名称（加盖公章）：</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期：</w:t>
      </w:r>
      <w:r>
        <w:rPr>
          <w:rFonts w:ascii="宋体" w:hAnsi="宋体"/>
          <w:u w:val="single"/>
        </w:rPr>
        <w:t xml:space="preserve">                        </w:t>
      </w:r>
    </w:p>
    <w:p w14:paraId="2118607A">
      <w:pPr>
        <w:spacing w:line="440" w:lineRule="exact"/>
        <w:rPr>
          <w:rFonts w:ascii="宋体"/>
        </w:rPr>
      </w:pPr>
    </w:p>
    <w:p w14:paraId="49164440">
      <w:pPr>
        <w:spacing w:line="440" w:lineRule="exact"/>
        <w:ind w:left="420" w:leftChars="200"/>
        <w:rPr>
          <w:rFonts w:ascii="宋体" w:hAnsi="宋体"/>
        </w:rPr>
      </w:pPr>
      <w:r>
        <w:rPr>
          <w:rFonts w:hint="eastAsia" w:ascii="宋体" w:hAnsi="宋体"/>
        </w:rPr>
        <w:t>法定代表人（签字或印章）：</w:t>
      </w:r>
      <w:r>
        <w:rPr>
          <w:rFonts w:ascii="宋体" w:hAnsi="宋体"/>
          <w:u w:val="single"/>
        </w:rPr>
        <w:t xml:space="preserve">           </w:t>
      </w:r>
      <w:r>
        <w:rPr>
          <w:rFonts w:ascii="宋体" w:hAnsi="宋体"/>
        </w:rPr>
        <w:t xml:space="preserve"> </w:t>
      </w:r>
    </w:p>
    <w:p w14:paraId="1DB393C0">
      <w:pPr>
        <w:spacing w:line="440" w:lineRule="exact"/>
        <w:ind w:left="420" w:leftChars="200"/>
        <w:rPr>
          <w:rFonts w:ascii="宋体" w:hAnsi="宋体"/>
        </w:rPr>
      </w:pPr>
      <w:r>
        <w:rPr>
          <w:rFonts w:hint="eastAsia" w:ascii="宋体" w:hAnsi="宋体"/>
        </w:rPr>
        <w:t>身份证号：</w:t>
      </w:r>
      <w:r>
        <w:rPr>
          <w:rFonts w:ascii="宋体" w:hAnsi="宋体"/>
          <w:u w:val="single"/>
        </w:rPr>
        <w:t xml:space="preserve">                        </w:t>
      </w:r>
      <w:r>
        <w:rPr>
          <w:rFonts w:ascii="宋体" w:hAnsi="宋体"/>
        </w:rPr>
        <w:t xml:space="preserve">                            </w:t>
      </w:r>
    </w:p>
    <w:p w14:paraId="20609544">
      <w:pPr>
        <w:spacing w:line="440" w:lineRule="exact"/>
        <w:ind w:left="420" w:leftChars="200"/>
        <w:rPr>
          <w:rFonts w:ascii="宋体"/>
        </w:rPr>
      </w:pPr>
      <w:r>
        <w:rPr>
          <w:rFonts w:hint="eastAsia" w:ascii="宋体" w:hAnsi="宋体"/>
        </w:rPr>
        <w:t>（附加盖竞选人公章的法定代表人身份证复印件）</w:t>
      </w:r>
    </w:p>
    <w:p w14:paraId="676A9197">
      <w:pPr>
        <w:spacing w:line="440" w:lineRule="exact"/>
        <w:ind w:left="420" w:leftChars="200"/>
        <w:rPr>
          <w:rFonts w:ascii="宋体"/>
        </w:rPr>
      </w:pPr>
    </w:p>
    <w:p w14:paraId="03649D71">
      <w:pPr>
        <w:spacing w:line="440" w:lineRule="exact"/>
        <w:ind w:left="420" w:leftChars="200"/>
        <w:rPr>
          <w:rFonts w:ascii="宋体" w:hAnsi="宋体"/>
        </w:rPr>
      </w:pPr>
      <w:r>
        <w:rPr>
          <w:rFonts w:hint="eastAsia" w:ascii="宋体" w:hAnsi="宋体"/>
        </w:rPr>
        <w:t>被授权代理人签字：</w:t>
      </w:r>
      <w:r>
        <w:rPr>
          <w:rFonts w:ascii="宋体" w:hAnsi="宋体"/>
          <w:u w:val="single"/>
        </w:rPr>
        <w:t xml:space="preserve">                   </w:t>
      </w:r>
      <w:r>
        <w:rPr>
          <w:rFonts w:ascii="宋体" w:hAnsi="宋体"/>
        </w:rPr>
        <w:t xml:space="preserve"> </w:t>
      </w:r>
    </w:p>
    <w:p w14:paraId="47588144">
      <w:pPr>
        <w:spacing w:line="440" w:lineRule="exact"/>
        <w:ind w:left="420" w:leftChars="200"/>
        <w:rPr>
          <w:rFonts w:ascii="宋体" w:hAnsi="宋体"/>
          <w:u w:val="single"/>
        </w:rPr>
      </w:pPr>
      <w:r>
        <w:rPr>
          <w:rFonts w:hint="eastAsia" w:ascii="宋体" w:hAnsi="宋体"/>
        </w:rPr>
        <w:t>身份证号：</w:t>
      </w:r>
      <w:r>
        <w:rPr>
          <w:rFonts w:ascii="宋体" w:hAnsi="宋体"/>
          <w:u w:val="single"/>
        </w:rPr>
        <w:t xml:space="preserve">                   </w:t>
      </w:r>
      <w:r>
        <w:rPr>
          <w:rFonts w:ascii="宋体" w:hAnsi="宋体"/>
        </w:rPr>
        <w:t xml:space="preserve"> </w:t>
      </w:r>
    </w:p>
    <w:tbl>
      <w:tblPr>
        <w:tblStyle w:val="12"/>
        <w:tblpPr w:leftFromText="180" w:rightFromText="180" w:vertAnchor="text" w:horzAnchor="page" w:tblpX="1287" w:tblpY="681"/>
        <w:tblOverlap w:val="never"/>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878"/>
      </w:tblGrid>
      <w:tr w14:paraId="4B69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4878" w:type="dxa"/>
          </w:tcPr>
          <w:p w14:paraId="56853849">
            <w:pPr>
              <w:widowControl w:val="0"/>
              <w:spacing w:line="440" w:lineRule="exact"/>
              <w:jc w:val="center"/>
              <w:rPr>
                <w:rFonts w:ascii="宋体" w:hAnsi="宋体"/>
              </w:rPr>
            </w:pPr>
            <w:r>
              <w:rPr>
                <w:rFonts w:hint="eastAsia" w:ascii="宋体" w:hAnsi="宋体"/>
              </w:rPr>
              <w:t>法定代表人身份证（国徽面）</w:t>
            </w:r>
          </w:p>
        </w:tc>
        <w:tc>
          <w:tcPr>
            <w:tcW w:w="4878" w:type="dxa"/>
          </w:tcPr>
          <w:p w14:paraId="16885A6A">
            <w:pPr>
              <w:widowControl w:val="0"/>
              <w:spacing w:line="440" w:lineRule="exact"/>
              <w:jc w:val="center"/>
              <w:rPr>
                <w:rFonts w:ascii="宋体" w:hAnsi="宋体"/>
              </w:rPr>
            </w:pPr>
            <w:r>
              <w:rPr>
                <w:rFonts w:hint="eastAsia" w:ascii="宋体" w:hAnsi="宋体"/>
              </w:rPr>
              <w:t>被授权代理人身份证（国徽面）</w:t>
            </w:r>
          </w:p>
        </w:tc>
      </w:tr>
      <w:tr w14:paraId="4613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4878" w:type="dxa"/>
          </w:tcPr>
          <w:p w14:paraId="0A44C1F3">
            <w:pPr>
              <w:widowControl w:val="0"/>
              <w:spacing w:line="440" w:lineRule="exact"/>
              <w:jc w:val="center"/>
              <w:rPr>
                <w:rFonts w:ascii="宋体" w:hAnsi="宋体"/>
              </w:rPr>
            </w:pPr>
            <w:r>
              <w:rPr>
                <w:rFonts w:hint="eastAsia" w:ascii="宋体" w:hAnsi="宋体"/>
              </w:rPr>
              <w:t>法定代表人身份证（人像面）</w:t>
            </w:r>
          </w:p>
        </w:tc>
        <w:tc>
          <w:tcPr>
            <w:tcW w:w="4878" w:type="dxa"/>
          </w:tcPr>
          <w:p w14:paraId="7513AB05">
            <w:pPr>
              <w:widowControl w:val="0"/>
              <w:spacing w:line="440" w:lineRule="exact"/>
              <w:jc w:val="center"/>
              <w:rPr>
                <w:rFonts w:ascii="宋体" w:hAnsi="宋体"/>
              </w:rPr>
            </w:pPr>
            <w:r>
              <w:rPr>
                <w:rFonts w:hint="eastAsia" w:ascii="宋体" w:hAnsi="宋体"/>
              </w:rPr>
              <w:t>被授权代理人身份证（人像面）</w:t>
            </w:r>
          </w:p>
        </w:tc>
      </w:tr>
    </w:tbl>
    <w:p w14:paraId="664CF4FA">
      <w:pPr>
        <w:spacing w:line="440" w:lineRule="exact"/>
        <w:rPr>
          <w:rFonts w:ascii="宋体"/>
        </w:rPr>
      </w:pPr>
    </w:p>
    <w:p w14:paraId="69CFDE97">
      <w:pPr>
        <w:numPr>
          <w:ilvl w:val="0"/>
          <w:numId w:val="4"/>
        </w:numPr>
        <w:spacing w:beforeLines="100" w:afterLines="100" w:line="300" w:lineRule="exact"/>
        <w:jc w:val="center"/>
        <w:rPr>
          <w:b/>
          <w:sz w:val="32"/>
        </w:rPr>
      </w:pPr>
      <w:r>
        <w:rPr>
          <w:b/>
          <w:sz w:val="24"/>
        </w:rPr>
        <w:br w:type="page"/>
      </w:r>
      <w:r>
        <w:rPr>
          <w:rFonts w:hint="eastAsia"/>
          <w:b/>
          <w:sz w:val="32"/>
        </w:rPr>
        <w:t>采购竞争性磋商通知书（见附件）</w:t>
      </w:r>
    </w:p>
    <w:p w14:paraId="650D5FAF">
      <w:pPr>
        <w:pStyle w:val="4"/>
        <w:ind w:firstLine="0" w:firstLineChars="0"/>
      </w:pPr>
    </w:p>
    <w:p w14:paraId="5E874B31">
      <w:pPr>
        <w:spacing w:line="500" w:lineRule="exact"/>
        <w:jc w:val="center"/>
        <w:rPr>
          <w:b/>
          <w:sz w:val="32"/>
        </w:rPr>
      </w:pPr>
    </w:p>
    <w:p w14:paraId="6490B3E8">
      <w:pPr>
        <w:spacing w:line="500" w:lineRule="exact"/>
        <w:jc w:val="center"/>
        <w:rPr>
          <w:b/>
          <w:sz w:val="32"/>
        </w:rPr>
      </w:pPr>
    </w:p>
    <w:p w14:paraId="61640587">
      <w:pPr>
        <w:spacing w:line="500" w:lineRule="exact"/>
        <w:jc w:val="center"/>
        <w:rPr>
          <w:b/>
          <w:sz w:val="32"/>
        </w:rPr>
      </w:pPr>
    </w:p>
    <w:p w14:paraId="7B3DC8F6">
      <w:pPr>
        <w:spacing w:line="500" w:lineRule="exact"/>
        <w:jc w:val="center"/>
        <w:rPr>
          <w:b/>
          <w:sz w:val="32"/>
        </w:rPr>
      </w:pPr>
    </w:p>
    <w:p w14:paraId="519F4849">
      <w:pPr>
        <w:spacing w:line="500" w:lineRule="exact"/>
        <w:jc w:val="center"/>
        <w:rPr>
          <w:b/>
          <w:sz w:val="32"/>
        </w:rPr>
      </w:pPr>
    </w:p>
    <w:p w14:paraId="52CE42DC">
      <w:pPr>
        <w:spacing w:line="500" w:lineRule="exact"/>
        <w:jc w:val="center"/>
        <w:rPr>
          <w:b/>
          <w:sz w:val="32"/>
        </w:rPr>
      </w:pPr>
    </w:p>
    <w:p w14:paraId="10B37FB1">
      <w:pPr>
        <w:spacing w:line="500" w:lineRule="exact"/>
        <w:jc w:val="center"/>
        <w:rPr>
          <w:b/>
          <w:sz w:val="32"/>
        </w:rPr>
      </w:pPr>
    </w:p>
    <w:p w14:paraId="71721364">
      <w:pPr>
        <w:spacing w:line="500" w:lineRule="exact"/>
        <w:jc w:val="center"/>
        <w:rPr>
          <w:b/>
          <w:sz w:val="32"/>
        </w:rPr>
      </w:pPr>
    </w:p>
    <w:p w14:paraId="69DE661D">
      <w:pPr>
        <w:spacing w:line="500" w:lineRule="exact"/>
        <w:jc w:val="center"/>
        <w:rPr>
          <w:b/>
          <w:sz w:val="32"/>
        </w:rPr>
      </w:pPr>
    </w:p>
    <w:p w14:paraId="7C51912B">
      <w:pPr>
        <w:spacing w:line="500" w:lineRule="exact"/>
        <w:jc w:val="center"/>
        <w:rPr>
          <w:b/>
          <w:sz w:val="32"/>
        </w:rPr>
      </w:pPr>
    </w:p>
    <w:p w14:paraId="44933CC3">
      <w:pPr>
        <w:spacing w:line="500" w:lineRule="exact"/>
        <w:jc w:val="center"/>
        <w:rPr>
          <w:b/>
          <w:sz w:val="32"/>
        </w:rPr>
      </w:pPr>
    </w:p>
    <w:p w14:paraId="2E10830E">
      <w:pPr>
        <w:spacing w:line="500" w:lineRule="exact"/>
        <w:jc w:val="center"/>
        <w:rPr>
          <w:b/>
          <w:sz w:val="32"/>
        </w:rPr>
      </w:pPr>
    </w:p>
    <w:p w14:paraId="28E34696">
      <w:pPr>
        <w:spacing w:line="500" w:lineRule="exact"/>
        <w:jc w:val="center"/>
        <w:rPr>
          <w:b/>
          <w:sz w:val="32"/>
        </w:rPr>
      </w:pPr>
    </w:p>
    <w:p w14:paraId="08189F2C">
      <w:pPr>
        <w:spacing w:line="500" w:lineRule="exact"/>
        <w:jc w:val="center"/>
        <w:rPr>
          <w:b/>
          <w:sz w:val="32"/>
        </w:rPr>
      </w:pPr>
    </w:p>
    <w:p w14:paraId="61D3AE8D">
      <w:pPr>
        <w:spacing w:line="500" w:lineRule="exact"/>
        <w:jc w:val="center"/>
        <w:rPr>
          <w:b/>
          <w:sz w:val="32"/>
        </w:rPr>
      </w:pPr>
    </w:p>
    <w:p w14:paraId="54AF5CEF">
      <w:pPr>
        <w:spacing w:line="500" w:lineRule="exact"/>
        <w:jc w:val="center"/>
        <w:rPr>
          <w:b/>
          <w:sz w:val="32"/>
        </w:rPr>
      </w:pPr>
    </w:p>
    <w:p w14:paraId="238FA84A">
      <w:pPr>
        <w:spacing w:line="500" w:lineRule="exact"/>
        <w:jc w:val="center"/>
        <w:rPr>
          <w:b/>
          <w:sz w:val="32"/>
        </w:rPr>
      </w:pPr>
    </w:p>
    <w:p w14:paraId="4EC372F2">
      <w:pPr>
        <w:spacing w:line="500" w:lineRule="exact"/>
        <w:jc w:val="center"/>
        <w:rPr>
          <w:b/>
          <w:sz w:val="32"/>
        </w:rPr>
      </w:pPr>
    </w:p>
    <w:p w14:paraId="25B3A4E8">
      <w:pPr>
        <w:spacing w:line="500" w:lineRule="exact"/>
        <w:jc w:val="center"/>
        <w:rPr>
          <w:b/>
          <w:sz w:val="32"/>
        </w:rPr>
      </w:pPr>
    </w:p>
    <w:p w14:paraId="1E3B92B4">
      <w:pPr>
        <w:spacing w:line="500" w:lineRule="exact"/>
        <w:jc w:val="center"/>
        <w:rPr>
          <w:b/>
          <w:sz w:val="32"/>
        </w:rPr>
      </w:pPr>
    </w:p>
    <w:p w14:paraId="407B0BCF">
      <w:pPr>
        <w:spacing w:line="500" w:lineRule="exact"/>
        <w:jc w:val="center"/>
        <w:rPr>
          <w:b/>
          <w:sz w:val="32"/>
        </w:rPr>
      </w:pPr>
    </w:p>
    <w:p w14:paraId="3102C758">
      <w:pPr>
        <w:spacing w:line="500" w:lineRule="exact"/>
        <w:jc w:val="center"/>
        <w:rPr>
          <w:b/>
          <w:sz w:val="32"/>
        </w:rPr>
      </w:pPr>
    </w:p>
    <w:p w14:paraId="2E644C7E">
      <w:pPr>
        <w:spacing w:line="500" w:lineRule="exact"/>
        <w:jc w:val="center"/>
        <w:rPr>
          <w:b/>
          <w:sz w:val="32"/>
        </w:rPr>
      </w:pPr>
    </w:p>
    <w:p w14:paraId="384A4242">
      <w:pPr>
        <w:spacing w:line="500" w:lineRule="exact"/>
        <w:jc w:val="center"/>
        <w:rPr>
          <w:b/>
          <w:sz w:val="32"/>
        </w:rPr>
      </w:pPr>
    </w:p>
    <w:p w14:paraId="72F3DA38">
      <w:pPr>
        <w:spacing w:line="500" w:lineRule="exact"/>
        <w:jc w:val="center"/>
        <w:rPr>
          <w:b/>
          <w:sz w:val="32"/>
        </w:rPr>
      </w:pPr>
    </w:p>
    <w:p w14:paraId="1E0D56B8">
      <w:pPr>
        <w:spacing w:line="500" w:lineRule="exact"/>
        <w:rPr>
          <w:b/>
          <w:sz w:val="32"/>
        </w:rPr>
      </w:pPr>
    </w:p>
    <w:p w14:paraId="066B9F51">
      <w:pPr>
        <w:spacing w:line="500" w:lineRule="exact"/>
        <w:jc w:val="center"/>
        <w:rPr>
          <w:b/>
          <w:sz w:val="32"/>
        </w:rPr>
      </w:pPr>
    </w:p>
    <w:p w14:paraId="3FAE92F1">
      <w:pPr>
        <w:spacing w:line="500" w:lineRule="exact"/>
        <w:jc w:val="center"/>
        <w:rPr>
          <w:b/>
          <w:sz w:val="32"/>
        </w:rPr>
      </w:pPr>
      <w:r>
        <w:rPr>
          <w:rFonts w:hint="eastAsia"/>
          <w:b/>
          <w:sz w:val="32"/>
        </w:rPr>
        <w:t>三、竞选人资质证明资料</w:t>
      </w:r>
    </w:p>
    <w:p w14:paraId="0BEAF843">
      <w:pPr>
        <w:spacing w:line="500" w:lineRule="exact"/>
        <w:rPr>
          <w:b/>
          <w:sz w:val="24"/>
        </w:rPr>
      </w:pPr>
      <w:r>
        <w:rPr>
          <w:rFonts w:hint="eastAsia"/>
          <w:b/>
          <w:sz w:val="24"/>
        </w:rPr>
        <w:t>后附：竞争性磋商文件第一章</w:t>
      </w:r>
      <w:r>
        <w:rPr>
          <w:b/>
          <w:sz w:val="24"/>
        </w:rPr>
        <w:t xml:space="preserve"> </w:t>
      </w:r>
      <w:r>
        <w:rPr>
          <w:rFonts w:hint="eastAsia"/>
          <w:b/>
          <w:sz w:val="24"/>
        </w:rPr>
        <w:t>二、竞选人资格要求</w:t>
      </w:r>
    </w:p>
    <w:p w14:paraId="2D46DA3F">
      <w:pPr>
        <w:adjustRightInd w:val="0"/>
        <w:snapToGrid w:val="0"/>
        <w:spacing w:line="340" w:lineRule="exact"/>
        <w:ind w:firstLine="420" w:firstLineChars="200"/>
      </w:pPr>
    </w:p>
    <w:p w14:paraId="13490027">
      <w:pPr>
        <w:rPr>
          <w:rFonts w:ascii="宋体"/>
          <w:b/>
        </w:rPr>
      </w:pPr>
      <w:r>
        <w:rPr>
          <w:rFonts w:ascii="宋体"/>
          <w:b/>
        </w:rPr>
        <w:br w:type="page"/>
      </w:r>
    </w:p>
    <w:p w14:paraId="5CE90545">
      <w:pPr>
        <w:pStyle w:val="21"/>
        <w:ind w:left="420" w:firstLine="0"/>
        <w:jc w:val="center"/>
        <w:rPr>
          <w:rFonts w:ascii="宋体" w:hAnsi="宋体" w:eastAsia="宋体" w:cs="宋体"/>
          <w:b/>
        </w:rPr>
      </w:pPr>
      <w:r>
        <w:rPr>
          <w:rFonts w:hint="eastAsia" w:ascii="宋体" w:hAnsi="宋体" w:eastAsia="宋体" w:cs="宋体"/>
          <w:b/>
        </w:rPr>
        <w:t>四、其它材料（竞选人自行添加）</w:t>
      </w:r>
    </w:p>
    <w:p w14:paraId="6025E993">
      <w:pPr>
        <w:pStyle w:val="21"/>
        <w:ind w:left="0" w:leftChars="0" w:firstLine="0"/>
        <w:jc w:val="center"/>
        <w:rPr>
          <w:rFonts w:ascii="宋体" w:hAnsi="宋体" w:eastAsia="宋体" w:cs="宋体"/>
          <w:b/>
        </w:rPr>
      </w:pPr>
    </w:p>
    <w:p w14:paraId="5B9FEA3A">
      <w:pPr>
        <w:pStyle w:val="21"/>
        <w:ind w:left="0" w:leftChars="0" w:firstLine="0"/>
        <w:jc w:val="center"/>
        <w:rPr>
          <w:rFonts w:ascii="宋体" w:hAnsi="宋体" w:eastAsia="宋体" w:cs="宋体"/>
          <w:b/>
        </w:rPr>
      </w:pPr>
    </w:p>
    <w:p w14:paraId="17194245">
      <w:pPr>
        <w:pStyle w:val="21"/>
        <w:ind w:left="0" w:leftChars="0" w:firstLine="0"/>
        <w:jc w:val="center"/>
        <w:rPr>
          <w:rFonts w:ascii="宋体" w:hAnsi="宋体" w:eastAsia="宋体" w:cs="宋体"/>
          <w:b/>
        </w:rPr>
      </w:pPr>
    </w:p>
    <w:p w14:paraId="1C0F40CE">
      <w:pPr>
        <w:pStyle w:val="21"/>
        <w:ind w:left="0" w:leftChars="0" w:firstLine="0"/>
        <w:jc w:val="center"/>
        <w:rPr>
          <w:rFonts w:ascii="宋体" w:hAnsi="宋体" w:eastAsia="宋体" w:cs="宋体"/>
          <w:b/>
        </w:rPr>
      </w:pPr>
    </w:p>
    <w:p w14:paraId="0EA860D1">
      <w:pPr>
        <w:pStyle w:val="21"/>
        <w:ind w:left="0" w:leftChars="0" w:firstLine="0"/>
        <w:jc w:val="center"/>
        <w:rPr>
          <w:rFonts w:ascii="宋体" w:hAnsi="宋体" w:eastAsia="宋体" w:cs="宋体"/>
          <w:b/>
        </w:rPr>
      </w:pPr>
    </w:p>
    <w:p w14:paraId="7CE59120">
      <w:pPr>
        <w:pStyle w:val="21"/>
        <w:ind w:left="0" w:leftChars="0" w:firstLine="0"/>
        <w:jc w:val="center"/>
        <w:rPr>
          <w:rFonts w:ascii="宋体" w:hAnsi="宋体" w:eastAsia="宋体" w:cs="宋体"/>
          <w:b/>
        </w:rPr>
      </w:pPr>
    </w:p>
    <w:p w14:paraId="713925CF">
      <w:pPr>
        <w:pStyle w:val="21"/>
        <w:ind w:left="0" w:leftChars="0" w:firstLine="0"/>
        <w:jc w:val="center"/>
        <w:rPr>
          <w:rFonts w:ascii="宋体" w:hAnsi="宋体" w:eastAsia="宋体" w:cs="宋体"/>
          <w:b/>
        </w:rPr>
      </w:pPr>
    </w:p>
    <w:p w14:paraId="3E10895C">
      <w:pPr>
        <w:pStyle w:val="21"/>
        <w:ind w:left="0" w:leftChars="0" w:firstLine="0"/>
        <w:jc w:val="center"/>
        <w:rPr>
          <w:rFonts w:ascii="宋体" w:hAnsi="宋体" w:eastAsia="宋体" w:cs="宋体"/>
          <w:b/>
        </w:rPr>
      </w:pPr>
    </w:p>
    <w:p w14:paraId="07AD8FC9">
      <w:pPr>
        <w:pStyle w:val="21"/>
        <w:ind w:left="0" w:leftChars="0" w:firstLine="0"/>
        <w:jc w:val="center"/>
        <w:rPr>
          <w:rFonts w:ascii="宋体" w:hAnsi="宋体" w:eastAsia="宋体" w:cs="宋体"/>
          <w:b/>
        </w:rPr>
      </w:pPr>
    </w:p>
    <w:p w14:paraId="1B04AEE4">
      <w:pPr>
        <w:pStyle w:val="21"/>
        <w:ind w:left="0" w:leftChars="0" w:firstLine="0"/>
        <w:jc w:val="center"/>
        <w:rPr>
          <w:rFonts w:ascii="宋体" w:hAnsi="宋体" w:eastAsia="宋体" w:cs="宋体"/>
          <w:b/>
        </w:rPr>
      </w:pPr>
    </w:p>
    <w:p w14:paraId="5FD9D355">
      <w:pPr>
        <w:pStyle w:val="21"/>
        <w:ind w:left="0" w:leftChars="0" w:firstLine="0"/>
        <w:jc w:val="center"/>
        <w:rPr>
          <w:rFonts w:ascii="宋体" w:hAnsi="宋体" w:eastAsia="宋体" w:cs="宋体"/>
          <w:b/>
        </w:rPr>
      </w:pPr>
    </w:p>
    <w:p w14:paraId="6F9A82AF">
      <w:pPr>
        <w:pStyle w:val="21"/>
        <w:ind w:left="0" w:leftChars="0" w:firstLine="0"/>
        <w:jc w:val="center"/>
        <w:rPr>
          <w:rFonts w:ascii="宋体" w:hAnsi="宋体" w:eastAsia="宋体" w:cs="宋体"/>
          <w:b/>
        </w:rPr>
      </w:pPr>
    </w:p>
    <w:p w14:paraId="6E3674F6">
      <w:pPr>
        <w:pStyle w:val="21"/>
        <w:ind w:left="0" w:leftChars="0" w:firstLine="0"/>
        <w:jc w:val="center"/>
        <w:rPr>
          <w:rFonts w:ascii="宋体" w:hAnsi="宋体" w:eastAsia="宋体" w:cs="宋体"/>
          <w:b/>
        </w:rPr>
      </w:pPr>
    </w:p>
    <w:p w14:paraId="66DE240D">
      <w:pPr>
        <w:pStyle w:val="21"/>
        <w:ind w:left="0" w:leftChars="0" w:firstLine="0"/>
        <w:jc w:val="center"/>
        <w:rPr>
          <w:rFonts w:ascii="宋体" w:hAnsi="宋体" w:eastAsia="宋体" w:cs="宋体"/>
          <w:b/>
        </w:rPr>
      </w:pPr>
    </w:p>
    <w:p w14:paraId="48872B68">
      <w:pPr>
        <w:pStyle w:val="21"/>
        <w:ind w:left="0" w:leftChars="0" w:firstLine="0"/>
        <w:jc w:val="center"/>
        <w:rPr>
          <w:rFonts w:ascii="宋体" w:hAnsi="宋体" w:eastAsia="宋体" w:cs="宋体"/>
          <w:b/>
        </w:rPr>
      </w:pPr>
    </w:p>
    <w:p w14:paraId="6D0A9246">
      <w:pPr>
        <w:pStyle w:val="21"/>
        <w:ind w:left="0" w:leftChars="0" w:firstLine="0"/>
        <w:jc w:val="center"/>
        <w:rPr>
          <w:rFonts w:ascii="宋体" w:hAnsi="宋体" w:eastAsia="宋体" w:cs="宋体"/>
          <w:b/>
        </w:rPr>
      </w:pPr>
    </w:p>
    <w:p w14:paraId="700A9DFA">
      <w:pPr>
        <w:pStyle w:val="21"/>
        <w:ind w:left="0" w:leftChars="0" w:firstLine="0"/>
        <w:jc w:val="center"/>
        <w:rPr>
          <w:rFonts w:ascii="宋体" w:hAnsi="宋体" w:eastAsia="宋体" w:cs="宋体"/>
          <w:b/>
        </w:rPr>
      </w:pPr>
    </w:p>
    <w:p w14:paraId="6D640FCF">
      <w:pPr>
        <w:pStyle w:val="21"/>
        <w:ind w:left="0" w:leftChars="0" w:firstLine="0"/>
        <w:jc w:val="center"/>
        <w:rPr>
          <w:rFonts w:ascii="宋体" w:hAnsi="宋体" w:eastAsia="宋体" w:cs="宋体"/>
          <w:b/>
        </w:rPr>
      </w:pPr>
    </w:p>
    <w:p w14:paraId="3CB49F0F">
      <w:pPr>
        <w:pStyle w:val="21"/>
        <w:ind w:left="0" w:leftChars="0" w:firstLine="0"/>
        <w:jc w:val="center"/>
        <w:rPr>
          <w:rFonts w:ascii="宋体" w:hAnsi="宋体" w:eastAsia="宋体" w:cs="宋体"/>
          <w:b/>
        </w:rPr>
      </w:pPr>
    </w:p>
    <w:p w14:paraId="3331A869">
      <w:pPr>
        <w:pStyle w:val="21"/>
        <w:ind w:left="0" w:leftChars="0" w:firstLine="0"/>
        <w:jc w:val="center"/>
        <w:rPr>
          <w:rFonts w:ascii="宋体" w:hAnsi="宋体" w:eastAsia="宋体" w:cs="宋体"/>
          <w:b/>
        </w:rPr>
      </w:pPr>
    </w:p>
    <w:p w14:paraId="575FF517">
      <w:pPr>
        <w:pStyle w:val="21"/>
        <w:ind w:left="0" w:leftChars="0" w:firstLine="0"/>
        <w:jc w:val="center"/>
        <w:rPr>
          <w:rFonts w:ascii="宋体" w:hAnsi="宋体" w:eastAsia="宋体" w:cs="宋体"/>
          <w:b/>
        </w:rPr>
      </w:pPr>
    </w:p>
    <w:p w14:paraId="4C9CD7E5">
      <w:pPr>
        <w:pStyle w:val="21"/>
        <w:ind w:left="0" w:leftChars="0" w:firstLine="0"/>
        <w:jc w:val="center"/>
        <w:rPr>
          <w:rFonts w:ascii="宋体" w:hAnsi="宋体" w:eastAsia="宋体" w:cs="宋体"/>
          <w:b/>
        </w:rPr>
      </w:pPr>
    </w:p>
    <w:p w14:paraId="13ECA3A7">
      <w:pPr>
        <w:pStyle w:val="21"/>
        <w:ind w:left="0" w:leftChars="0" w:firstLine="0"/>
        <w:jc w:val="center"/>
        <w:rPr>
          <w:rFonts w:ascii="宋体" w:hAnsi="宋体" w:eastAsia="宋体" w:cs="宋体"/>
          <w:b/>
        </w:rPr>
      </w:pPr>
    </w:p>
    <w:p w14:paraId="04565B0F">
      <w:pPr>
        <w:pStyle w:val="21"/>
        <w:ind w:left="0" w:leftChars="0" w:firstLine="0"/>
        <w:jc w:val="center"/>
        <w:rPr>
          <w:rFonts w:ascii="宋体" w:hAnsi="宋体" w:eastAsia="宋体" w:cs="宋体"/>
          <w:b/>
        </w:rPr>
      </w:pPr>
    </w:p>
    <w:p w14:paraId="43953DC8">
      <w:pPr>
        <w:pStyle w:val="21"/>
        <w:ind w:left="0" w:leftChars="0" w:firstLine="0"/>
        <w:jc w:val="center"/>
        <w:rPr>
          <w:rFonts w:ascii="宋体" w:hAnsi="宋体" w:eastAsia="宋体" w:cs="宋体"/>
          <w:b/>
        </w:rPr>
      </w:pPr>
    </w:p>
    <w:p w14:paraId="2DE07130"/>
    <w:sectPr>
      <w:footerReference r:id="rId5" w:type="default"/>
      <w:pgSz w:w="11906" w:h="16838"/>
      <w:pgMar w:top="1089" w:right="1106" w:bottom="829" w:left="1259" w:header="624" w:footer="720"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宋体-PUA">
    <w:panose1 w:val="02010600030101010101"/>
    <w:charset w:val="86"/>
    <w:family w:val="auto"/>
    <w:pitch w:val="default"/>
    <w:sig w:usb0="00000000" w:usb1="1000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1AE11">
    <w:pPr>
      <w:pStyle w:val="6"/>
      <w:tabs>
        <w:tab w:val="left" w:pos="2884"/>
        <w:tab w:val="center" w:pos="4153"/>
        <w:tab w:val="right" w:pos="8306"/>
        <w:tab w:val="clear" w:pos="4140"/>
        <w:tab w:val="clear" w:pos="8300"/>
      </w:tabs>
      <w:rPr>
        <w:rStyle w:val="16"/>
      </w:rPr>
    </w:pPr>
    <w:r>
      <w:rPr>
        <w:sz w:val="21"/>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14:paraId="280334EB">
                <w:pPr>
                  <w:pStyle w:val="6"/>
                </w:pPr>
                <w:r>
                  <w:fldChar w:fldCharType="begin"/>
                </w:r>
                <w:r>
                  <w:instrText xml:space="preserve"> PAGE  \* MERGEFORMAT </w:instrText>
                </w:r>
                <w:r>
                  <w:fldChar w:fldCharType="separate"/>
                </w:r>
                <w:r>
                  <w:t>1</w:t>
                </w:r>
                <w:r>
                  <w:fldChar w:fldCharType="end"/>
                </w:r>
              </w:p>
            </w:txbxContent>
          </v:textbox>
        </v:shape>
      </w:pict>
    </w:r>
    <w:r>
      <w:rPr>
        <w:rStyle w:val="16"/>
      </w:rPr>
      <w:tab/>
    </w:r>
    <w:r>
      <w:rPr>
        <w:rStyle w:val="16"/>
      </w:rPr>
      <w:tab/>
    </w:r>
    <w:r>
      <w:rPr>
        <w:rStyle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54137">
    <w:pPr>
      <w:pStyle w:val="6"/>
      <w:tabs>
        <w:tab w:val="center" w:pos="4153"/>
        <w:tab w:val="right" w:pos="8306"/>
        <w:tab w:val="clear" w:pos="4140"/>
        <w:tab w:val="clear" w:pos="8300"/>
      </w:tabs>
      <w:jc w:val="center"/>
      <w:rPr>
        <w:rStyle w:val="16"/>
      </w:rPr>
    </w:pPr>
    <w:r>
      <w:pict>
        <v:shape id="Text Box 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ZpPZA0gAAAAUBAAAPAAAA&#10;AAAAAAEAIAAAACIAAABkcnMvZG93bnJldi54bWxQSwECFAAUAAAACACHTuJAHdmigKkBAACAAwAA&#10;DgAAAAAAAAABACAAAAAhAQAAZHJzL2Uyb0RvYy54bWxQSwUGAAAAAAYABgBZAQAAPAUAAAAA&#10;">
          <v:path/>
          <v:fill on="f" focussize="0,0"/>
          <v:stroke on="f" joinstyle="miter"/>
          <v:imagedata o:title=""/>
          <o:lock v:ext="edit"/>
          <v:textbox inset="0mm,0mm,0mm,0mm">
            <w:txbxContent>
              <w:p w14:paraId="1A8F284B">
                <w:pPr>
                  <w:pStyle w:val="6"/>
                  <w:rPr>
                    <w:rStyle w:val="16"/>
                  </w:rPr>
                </w:pPr>
                <w:r>
                  <w:rPr>
                    <w:rStyle w:val="16"/>
                    <w:rFonts w:hint="eastAsia"/>
                  </w:rPr>
                  <w:t>第</w:t>
                </w:r>
                <w:r>
                  <w:rPr>
                    <w:rStyle w:val="16"/>
                  </w:rPr>
                  <w:t xml:space="preserve">  </w:t>
                </w:r>
                <w:r>
                  <w:rPr>
                    <w:rStyle w:val="16"/>
                    <w:rFonts w:hint="eastAsia"/>
                  </w:rPr>
                  <w:t>页</w:t>
                </w:r>
                <w:r>
                  <w:rPr>
                    <w:rStyle w:val="16"/>
                  </w:rPr>
                  <w:t xml:space="preserve"> </w:t>
                </w:r>
                <w:r>
                  <w:rPr>
                    <w:rStyle w:val="16"/>
                    <w:rFonts w:hint="eastAsia"/>
                  </w:rPr>
                  <w:t>共</w:t>
                </w:r>
                <w:r>
                  <w:rPr>
                    <w:rStyle w:val="16"/>
                  </w:rPr>
                  <w:t xml:space="preserve"> 31 </w:t>
                </w:r>
                <w:r>
                  <w:rPr>
                    <w:rStyle w:val="16"/>
                    <w:rFonts w:hint="eastAsia"/>
                  </w:rPr>
                  <w:t>页</w:t>
                </w:r>
              </w:p>
              <w:p w14:paraId="210C4D4D">
                <w:pPr>
                  <w:rPr>
                    <w:rStyle w:val="16"/>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99195">
    <w:pPr>
      <w:pStyle w:val="6"/>
      <w:tabs>
        <w:tab w:val="center" w:pos="4153"/>
        <w:tab w:val="right" w:pos="8306"/>
        <w:tab w:val="clear" w:pos="4140"/>
        <w:tab w:val="clear" w:pos="8300"/>
      </w:tabs>
      <w:jc w:val="center"/>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14:paraId="5A4927B9">
                <w:pPr>
                  <w:pStyle w:val="6"/>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AB4E8"/>
    <w:multiLevelType w:val="singleLevel"/>
    <w:tmpl w:val="8D2AB4E8"/>
    <w:lvl w:ilvl="0" w:tentative="0">
      <w:start w:val="1"/>
      <w:numFmt w:val="decimal"/>
      <w:lvlText w:val="%1."/>
      <w:lvlJc w:val="left"/>
      <w:pPr>
        <w:tabs>
          <w:tab w:val="left" w:pos="312"/>
        </w:tabs>
      </w:pPr>
    </w:lvl>
  </w:abstractNum>
  <w:abstractNum w:abstractNumId="1">
    <w:nsid w:val="E2D6D9CD"/>
    <w:multiLevelType w:val="singleLevel"/>
    <w:tmpl w:val="E2D6D9CD"/>
    <w:lvl w:ilvl="0" w:tentative="0">
      <w:start w:val="1"/>
      <w:numFmt w:val="decimal"/>
      <w:lvlText w:val="%1."/>
      <w:lvlJc w:val="left"/>
      <w:pPr>
        <w:tabs>
          <w:tab w:val="left" w:pos="312"/>
        </w:tabs>
      </w:pPr>
    </w:lvl>
  </w:abstractNum>
  <w:abstractNum w:abstractNumId="2">
    <w:nsid w:val="00000005"/>
    <w:multiLevelType w:val="multilevel"/>
    <w:tmpl w:val="00000005"/>
    <w:lvl w:ilvl="0" w:tentative="0">
      <w:start w:val="1"/>
      <w:numFmt w:val="decimal"/>
      <w:pStyle w:val="18"/>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3">
    <w:nsid w:val="06582C79"/>
    <w:multiLevelType w:val="singleLevel"/>
    <w:tmpl w:val="06582C79"/>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18D0C72"/>
    <w:rsid w:val="00235ECB"/>
    <w:rsid w:val="003462E9"/>
    <w:rsid w:val="00475FF8"/>
    <w:rsid w:val="004B2F91"/>
    <w:rsid w:val="004F547B"/>
    <w:rsid w:val="00533373"/>
    <w:rsid w:val="00580F12"/>
    <w:rsid w:val="00600184"/>
    <w:rsid w:val="0066114C"/>
    <w:rsid w:val="006A75E2"/>
    <w:rsid w:val="006F0719"/>
    <w:rsid w:val="006F7D6D"/>
    <w:rsid w:val="00735831"/>
    <w:rsid w:val="00753691"/>
    <w:rsid w:val="007C323B"/>
    <w:rsid w:val="008856CC"/>
    <w:rsid w:val="008F4183"/>
    <w:rsid w:val="008F6AD2"/>
    <w:rsid w:val="00923F82"/>
    <w:rsid w:val="00A007DD"/>
    <w:rsid w:val="00A30FBC"/>
    <w:rsid w:val="00A56978"/>
    <w:rsid w:val="00AC5760"/>
    <w:rsid w:val="00AD3850"/>
    <w:rsid w:val="00B0504D"/>
    <w:rsid w:val="00B5097E"/>
    <w:rsid w:val="00C550CA"/>
    <w:rsid w:val="00C57AD3"/>
    <w:rsid w:val="00C920C0"/>
    <w:rsid w:val="00C97C7D"/>
    <w:rsid w:val="00CE5888"/>
    <w:rsid w:val="00DC3FEA"/>
    <w:rsid w:val="00E27F60"/>
    <w:rsid w:val="00E431ED"/>
    <w:rsid w:val="00E946F3"/>
    <w:rsid w:val="00EB58C6"/>
    <w:rsid w:val="06964926"/>
    <w:rsid w:val="0B340757"/>
    <w:rsid w:val="0E2D0FDA"/>
    <w:rsid w:val="0F130A51"/>
    <w:rsid w:val="0FC419ED"/>
    <w:rsid w:val="100525EC"/>
    <w:rsid w:val="1D39206B"/>
    <w:rsid w:val="1DC625C5"/>
    <w:rsid w:val="23126B08"/>
    <w:rsid w:val="2F7E7DE0"/>
    <w:rsid w:val="318D0C72"/>
    <w:rsid w:val="393B3575"/>
    <w:rsid w:val="39480DAE"/>
    <w:rsid w:val="3B1D5229"/>
    <w:rsid w:val="3EF44418"/>
    <w:rsid w:val="45777EED"/>
    <w:rsid w:val="469C37C0"/>
    <w:rsid w:val="4AB25C24"/>
    <w:rsid w:val="53127B7F"/>
    <w:rsid w:val="56EF4C18"/>
    <w:rsid w:val="5CDA3848"/>
    <w:rsid w:val="74972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2"/>
    <w:basedOn w:val="1"/>
    <w:next w:val="1"/>
    <w:link w:val="17"/>
    <w:qFormat/>
    <w:uiPriority w:val="0"/>
    <w:pPr>
      <w:keepNext/>
      <w:keepLines/>
      <w:widowControl w:val="0"/>
      <w:spacing w:line="413" w:lineRule="auto"/>
      <w:outlineLvl w:val="1"/>
    </w:pPr>
    <w:rPr>
      <w:rFonts w:ascii="Arial" w:hAnsi="Arial" w:eastAsia="黑体"/>
      <w:b/>
      <w:bCs/>
      <w:sz w:val="32"/>
      <w:szCs w:val="4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spacing w:afterLines="100"/>
      <w:ind w:left="420" w:leftChars="200" w:firstLine="200" w:firstLineChars="200"/>
    </w:pPr>
    <w:rPr>
      <w:lang w:val="zh-CN"/>
    </w:rPr>
  </w:style>
  <w:style w:type="paragraph" w:styleId="4">
    <w:name w:val="Normal Indent"/>
    <w:basedOn w:val="1"/>
    <w:next w:val="1"/>
    <w:qFormat/>
    <w:uiPriority w:val="0"/>
    <w:pPr>
      <w:widowControl w:val="0"/>
      <w:ind w:firstLine="420" w:firstLineChars="200"/>
    </w:pPr>
  </w:style>
  <w:style w:type="paragraph" w:styleId="5">
    <w:name w:val="Body Text"/>
    <w:basedOn w:val="1"/>
    <w:semiHidden/>
    <w:qFormat/>
    <w:uiPriority w:val="0"/>
  </w:style>
  <w:style w:type="paragraph" w:styleId="6">
    <w:name w:val="footer"/>
    <w:basedOn w:val="1"/>
    <w:qFormat/>
    <w:uiPriority w:val="99"/>
    <w:pPr>
      <w:tabs>
        <w:tab w:val="center" w:pos="4140"/>
        <w:tab w:val="right" w:pos="8300"/>
      </w:tabs>
      <w:snapToGrid w:val="0"/>
      <w:jc w:val="left"/>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99"/>
    <w:pPr>
      <w:widowControl w:val="0"/>
      <w:spacing w:after="120" w:line="480" w:lineRule="auto"/>
    </w:pPr>
  </w:style>
  <w:style w:type="paragraph" w:styleId="9">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10">
    <w:name w:val="Normal (Web)"/>
    <w:basedOn w:val="1"/>
    <w:qFormat/>
    <w:uiPriority w:val="99"/>
    <w:pPr>
      <w:spacing w:before="30" w:after="100" w:afterAutospacing="1"/>
      <w:ind w:left="90"/>
      <w:jc w:val="left"/>
    </w:pPr>
    <w:rPr>
      <w:rFonts w:hAnsi="宋体"/>
      <w:color w:val="000000"/>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4">
    <w:name w:val="Strong"/>
    <w:basedOn w:val="13"/>
    <w:qFormat/>
    <w:uiPriority w:val="99"/>
    <w:rPr>
      <w:rFonts w:ascii="Times New Roman" w:hAnsi="Times New Roman" w:eastAsia="宋体" w:cs="Times New Roman"/>
      <w:b/>
    </w:rPr>
  </w:style>
  <w:style w:type="character" w:styleId="15">
    <w:name w:val="Hyperlink"/>
    <w:basedOn w:val="13"/>
    <w:qFormat/>
    <w:uiPriority w:val="0"/>
    <w:rPr>
      <w:color w:val="0000FF"/>
      <w:u w:val="single"/>
    </w:rPr>
  </w:style>
  <w:style w:type="character" w:customStyle="1" w:styleId="16">
    <w:name w:val="NormalCharacter"/>
    <w:qFormat/>
    <w:uiPriority w:val="99"/>
    <w:rPr>
      <w:rFonts w:ascii="Times New Roman" w:hAnsi="Times New Roman" w:eastAsia="宋体" w:cs="Times New Roman"/>
      <w:kern w:val="2"/>
      <w:sz w:val="21"/>
      <w:szCs w:val="24"/>
      <w:lang w:val="en-US" w:eastAsia="zh-CN" w:bidi="ar-SA"/>
    </w:rPr>
  </w:style>
  <w:style w:type="character" w:customStyle="1" w:styleId="17">
    <w:name w:val="标题 2 Char"/>
    <w:link w:val="2"/>
    <w:qFormat/>
    <w:uiPriority w:val="0"/>
    <w:rPr>
      <w:rFonts w:ascii="Arial" w:hAnsi="Arial" w:eastAsia="黑体" w:cs="Times New Roman"/>
      <w:b/>
      <w:bCs/>
      <w:kern w:val="2"/>
      <w:sz w:val="32"/>
      <w:szCs w:val="44"/>
      <w:lang w:val="en-US" w:eastAsia="zh-CN" w:bidi="ar-SA"/>
    </w:rPr>
  </w:style>
  <w:style w:type="paragraph" w:customStyle="1" w:styleId="18">
    <w:name w:val="(符号)三标题1.1"/>
    <w:basedOn w:val="1"/>
    <w:qFormat/>
    <w:uiPriority w:val="99"/>
    <w:pPr>
      <w:numPr>
        <w:ilvl w:val="0"/>
        <w:numId w:val="1"/>
      </w:numPr>
      <w:tabs>
        <w:tab w:val="left" w:pos="420"/>
      </w:tabs>
      <w:spacing w:line="500" w:lineRule="exact"/>
      <w:outlineLvl w:val="2"/>
    </w:pPr>
    <w:rPr>
      <w:rFonts w:ascii="楷体_GB2312" w:hAnsi="宋体" w:eastAsia="楷体_GB2312" w:cs="宋体"/>
      <w:b/>
      <w:sz w:val="28"/>
      <w:szCs w:val="20"/>
    </w:rPr>
  </w:style>
  <w:style w:type="paragraph" w:customStyle="1" w:styleId="19">
    <w:name w:val="（符号）三标题1.1"/>
    <w:basedOn w:val="1"/>
    <w:qFormat/>
    <w:uiPriority w:val="99"/>
    <w:pPr>
      <w:tabs>
        <w:tab w:val="left" w:pos="700"/>
      </w:tabs>
      <w:spacing w:line="500" w:lineRule="exact"/>
    </w:pPr>
    <w:rPr>
      <w:rFonts w:ascii="宋体" w:hAnsi="宋体"/>
      <w:sz w:val="24"/>
    </w:rPr>
  </w:style>
  <w:style w:type="paragraph" w:customStyle="1" w:styleId="20">
    <w:name w:val="（符号）二标题总则"/>
    <w:basedOn w:val="1"/>
    <w:qFormat/>
    <w:uiPriority w:val="99"/>
    <w:pPr>
      <w:spacing w:beforeLines="100" w:afterLines="100" w:line="500" w:lineRule="exact"/>
      <w:jc w:val="center"/>
      <w:outlineLvl w:val="1"/>
    </w:pPr>
    <w:rPr>
      <w:rFonts w:ascii="黑体" w:eastAsia="黑体" w:cs="宋体"/>
      <w:b/>
      <w:sz w:val="32"/>
      <w:szCs w:val="32"/>
    </w:rPr>
  </w:style>
  <w:style w:type="paragraph" w:customStyle="1" w:styleId="21">
    <w:name w:val="Body Text First Indent 21"/>
    <w:basedOn w:val="1"/>
    <w:qFormat/>
    <w:uiPriority w:val="0"/>
    <w:pPr>
      <w:spacing w:after="120"/>
      <w:ind w:left="200" w:leftChars="200" w:firstLine="420"/>
    </w:pPr>
    <w:rPr>
      <w:rFonts w:ascii="仿宋_GB2312" w:eastAsia="仿宋_GB2312" w:cs="仿宋_GB2312"/>
      <w:sz w:val="32"/>
      <w:szCs w:val="32"/>
    </w:rPr>
  </w:style>
  <w:style w:type="character" w:customStyle="1" w:styleId="22">
    <w:name w:val="font01"/>
    <w:basedOn w:val="13"/>
    <w:qFormat/>
    <w:uiPriority w:val="0"/>
    <w:rPr>
      <w:rFonts w:hint="eastAsia" w:ascii="宋体" w:hAnsi="宋体" w:eastAsia="宋体" w:cs="宋体"/>
      <w:color w:val="000000"/>
      <w:sz w:val="24"/>
      <w:szCs w:val="24"/>
      <w:u w:val="none"/>
    </w:rPr>
  </w:style>
  <w:style w:type="paragraph" w:customStyle="1" w:styleId="23">
    <w:name w:val="PwC Normal"/>
    <w:basedOn w:val="1"/>
    <w:qFormat/>
    <w:uiPriority w:val="99"/>
    <w:pPr>
      <w:spacing w:before="180" w:after="180" w:line="240" w:lineRule="atLeast"/>
    </w:pPr>
  </w:style>
  <w:style w:type="character" w:customStyle="1" w:styleId="24">
    <w:name w:val="页眉 Char"/>
    <w:basedOn w:val="13"/>
    <w:link w:val="7"/>
    <w:qFormat/>
    <w:uiPriority w:val="0"/>
    <w:rPr>
      <w:kern w:val="2"/>
      <w:sz w:val="18"/>
      <w:szCs w:val="18"/>
    </w:rPr>
  </w:style>
  <w:style w:type="paragraph" w:customStyle="1" w:styleId="25">
    <w:name w:val="正文 New"/>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14</Pages>
  <Words>662</Words>
  <Characters>3779</Characters>
  <Lines>31</Lines>
  <Paragraphs>8</Paragraphs>
  <TotalTime>10</TotalTime>
  <ScaleCrop>false</ScaleCrop>
  <LinksUpToDate>false</LinksUpToDate>
  <CharactersWithSpaces>4433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2026-06-05T05:35:00Z</dcterms:created>
  <dc:creator>105078-卢明祥</dc:creator>
  <cp:lastModifiedBy>123675-龙彬</cp:lastModifiedBy>
  <dcterms:modified xsi:type="dcterms:W3CDTF">2026-06-05T08:21:20Z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A50E982C3E154AAA9A2D2588FEC0BB7C_13</vt:lpwstr>
  </property>
</Properties>
</file>