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正安县农村信用合作联社202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关联交易工作报告</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《商业银行与内部人和股东关联交易管理办法》及</w:t>
      </w:r>
      <w:r>
        <w:rPr>
          <w:rFonts w:hint="eastAsia" w:ascii="仿宋_GB2312" w:hAnsi="仿宋_GB2312" w:eastAsia="仿宋_GB2312" w:cs="仿宋_GB2312"/>
          <w:sz w:val="32"/>
          <w:szCs w:val="32"/>
        </w:rPr>
        <w:t>《正安县农村信用合作联社关联交易管理办法》（正农信发〔20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规定，现将正安农信联社</w:t>
      </w:r>
      <w:r>
        <w:rPr>
          <w:rFonts w:hint="eastAsia" w:ascii="仿宋_GB2312" w:hAnsi="仿宋_GB2312" w:eastAsia="仿宋_GB2312" w:cs="仿宋_GB2312"/>
          <w:sz w:val="32"/>
          <w:szCs w:val="32"/>
          <w:lang w:val="en-US" w:eastAsia="zh-CN"/>
        </w:rPr>
        <w:t>2025年关联交易工作报告如下：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一、关联交易管理情况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（一）制度依据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本社根据</w:t>
      </w:r>
      <w:r>
        <w:rPr>
          <w:rFonts w:hint="eastAsia" w:ascii="仿宋_GB2312" w:hAnsi="仿宋_GB2312" w:eastAsia="仿宋_GB2312" w:cs="仿宋_GB2312"/>
          <w:sz w:val="32"/>
          <w:szCs w:val="32"/>
        </w:rPr>
        <w:t>《中国银保监会农村银行部关于加强农村中小银行机构关联交易监管的通知》（银保监农银发〔2019〕43号）、《贵州银保监局办公室关于转发&lt;中国银保监会农村银行部关于加强农村中小银行机构关联交易监管的通知&gt;的通知》（贵银保监办发〔2019〕280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《正安县农村信用合作联社关联交易管理办法》（正农信发〔20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《正安县农村信用合作联社关联方信贷业务实施细则》（正农信发〔2024〕16号）、《关于设立正安县农村信用合作联社关联交易管理办公室的通知》（正农信发〔2024〕186号）</w:t>
      </w:r>
      <w:r>
        <w:rPr>
          <w:rFonts w:hint="eastAsia" w:ascii="仿宋_GB2312" w:hAnsi="仿宋_GB2312" w:eastAsia="仿宋_GB2312" w:cs="仿宋_GB2312"/>
          <w:sz w:val="32"/>
          <w:szCs w:val="32"/>
        </w:rPr>
        <w:t>等文件要求，</w:t>
      </w:r>
      <w:r>
        <w:rPr>
          <w:rFonts w:hint="eastAsia" w:ascii="仿宋_GB2312" w:hAnsi="仿宋_GB2312" w:eastAsia="仿宋_GB2312" w:cs="仿宋_GB2312"/>
          <w:sz w:val="32"/>
          <w:szCs w:val="32"/>
          <w:lang w:eastAsia="zh-CN"/>
        </w:rPr>
        <w:t>规范严谨落实关联交易管理，</w:t>
      </w:r>
      <w:r>
        <w:rPr>
          <w:rFonts w:hint="eastAsia" w:ascii="仿宋_GB2312" w:hAnsi="仿宋_GB2312" w:eastAsia="仿宋_GB2312" w:cs="仿宋_GB2312"/>
          <w:sz w:val="32"/>
          <w:szCs w:val="32"/>
        </w:rPr>
        <w:t>将关联交易管理与排查作为一项持续性、长期性工作。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本社完善关联交易制度，制定印发《关于明确关联交易专岗及关联交易专管员的通知》（正农信发〔2025〕176号），在关联交易管理过程中，落实年度关联交易专项审计和检查，结合实际设立正安县农村信用合作联社关联交易管理办公室，完成问题整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（二）组织架构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理事会下设关联交易控制委员会，委员会办公室在业务发展部，业务发展部负责人兼任办公室主任，每年对关联交易</w:t>
      </w:r>
      <w:r>
        <w:rPr>
          <w:rFonts w:hint="eastAsia" w:ascii="仿宋_GB2312" w:hAnsi="仿宋_GB2312" w:eastAsia="仿宋_GB2312" w:cs="仿宋_GB2312"/>
          <w:sz w:val="32"/>
          <w:szCs w:val="32"/>
          <w:lang w:eastAsia="zh-CN"/>
        </w:rPr>
        <w:t>至少</w:t>
      </w:r>
      <w:r>
        <w:rPr>
          <w:rFonts w:hint="eastAsia" w:ascii="仿宋_GB2312" w:hAnsi="仿宋_GB2312" w:eastAsia="仿宋_GB2312" w:cs="仿宋_GB2312"/>
          <w:sz w:val="32"/>
          <w:szCs w:val="32"/>
        </w:rPr>
        <w:t>进行1次审查，审查本社的关联交易制度执行情况，向理事会报告审查结果并提出改进建议。</w:t>
      </w:r>
      <w:r>
        <w:rPr>
          <w:rFonts w:hint="eastAsia" w:ascii="仿宋_GB2312" w:hAnsi="仿宋_GB2312" w:eastAsia="仿宋_GB2312" w:cs="仿宋_GB2312"/>
          <w:sz w:val="32"/>
          <w:szCs w:val="32"/>
          <w:lang w:val="en-US" w:eastAsia="zh-CN"/>
        </w:rPr>
        <w:t>2024年12月16日，《正安县农村信用合作联社第三届理事会下设各专门委员会组成人员方案》（正农信理〔2024〕6号）明确，理事会关联交易控制委员会主任委员熊伟，委员李文强、邓妤。</w:t>
      </w:r>
      <w:r>
        <w:rPr>
          <w:rFonts w:hint="eastAsia" w:ascii="仿宋_GB2312" w:hAnsi="仿宋_GB2312" w:eastAsia="仿宋_GB2312" w:cs="仿宋_GB2312"/>
          <w:sz w:val="32"/>
          <w:szCs w:val="32"/>
          <w:lang w:eastAsia="zh-CN"/>
        </w:rPr>
        <w:t>本年度无调整。</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本年度关联交易控制委员会召开会议</w:t>
      </w:r>
      <w:r>
        <w:rPr>
          <w:rFonts w:hint="eastAsia" w:ascii="仿宋_GB2312" w:hAnsi="仿宋_GB2312" w:eastAsia="仿宋_GB2312" w:cs="仿宋_GB2312"/>
          <w:sz w:val="32"/>
          <w:szCs w:val="32"/>
          <w:lang w:val="en-US" w:eastAsia="zh-CN"/>
        </w:rPr>
        <w:t>5次，分别审议了上年度关联交易工作报告，正安县金林茶业有限责任公司重大关联交易备案，正安农信联社关联方更新，季度一般关联交易披露报告等事宜。2025年1月按要求报送正安县金林茶业有限责任公司重大关联交易至联社理事会审批。</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2.经营层下设正安县农村信用合作联社关联交易管理办公室。《关于设立正安县农村信用合作联社关联交易管理办公室的通知》</w:t>
      </w:r>
      <w:r>
        <w:rPr>
          <w:rFonts w:hint="eastAsia" w:ascii="仿宋_GB2312" w:hAnsi="仿宋_GB2312" w:eastAsia="仿宋_GB2312" w:cs="仿宋_GB2312"/>
          <w:sz w:val="32"/>
          <w:szCs w:val="32"/>
        </w:rPr>
        <w:t>（正农信</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186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明确，办公室主任为经营层负责人，成员包括经营层其他成员，业务发展部、风险合规部、会计财务部、综合部负责人。办公地点设在业务发展部，负责组织协调开展关联交易管理日常工作，按规定审查审批关联交易相关事项，落实股东大会、理事会、关联交易控制委员会相关工作要求。</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关联交易管理办公室本年度召开会议4次，分别审议正安县金林茶业有限责任公司重大关联交易备案，正安农信联社关联方更新，季度一般关联交易披露报告等事宜。</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本社</w:t>
      </w:r>
      <w:r>
        <w:rPr>
          <w:rFonts w:hint="eastAsia" w:ascii="仿宋_GB2312" w:hAnsi="仿宋_GB2312" w:eastAsia="仿宋_GB2312" w:cs="仿宋_GB2312"/>
          <w:sz w:val="32"/>
          <w:szCs w:val="32"/>
        </w:rPr>
        <w:t>严格按《商业银行股权管理暂行办法》和《商业银行与内部人和股东关联交易管理办法》等文件规定开展关联方的认定，按照全面穿透性的原则对关联交易授信，执行授信集中度管理，不存在利益输送和监管套利等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、关联方情况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（一）关联方法人情况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本社关联法人或</w:t>
      </w:r>
      <w:r>
        <w:rPr>
          <w:rFonts w:hint="eastAsia" w:ascii="仿宋_GB2312" w:hAnsi="仿宋_GB2312" w:eastAsia="仿宋_GB2312" w:cs="仿宋_GB2312"/>
          <w:sz w:val="32"/>
          <w:szCs w:val="32"/>
          <w:lang w:eastAsia="zh-CN"/>
        </w:rPr>
        <w:t>非法人</w:t>
      </w:r>
      <w:r>
        <w:rPr>
          <w:rFonts w:hint="eastAsia" w:ascii="仿宋_GB2312" w:hAnsi="仿宋_GB2312" w:eastAsia="仿宋_GB2312" w:cs="仿宋_GB2312"/>
          <w:sz w:val="32"/>
          <w:szCs w:val="32"/>
        </w:rPr>
        <w:t>组织包括：</w:t>
      </w:r>
      <w:r>
        <w:rPr>
          <w:rFonts w:hint="eastAsia" w:ascii="仿宋_GB2312" w:hAnsi="仿宋_GB2312" w:eastAsia="仿宋_GB2312" w:cs="仿宋_GB2312"/>
          <w:sz w:val="32"/>
          <w:szCs w:val="32"/>
          <w:lang w:eastAsia="zh-CN"/>
        </w:rPr>
        <w:t>正安农信联社的法人控股股东、实际控制人，及其一致行动人、最终受益人，包含本条所述关联方控制或施加重大影响的法人或非法人组织；持有或控制正安农信联社</w:t>
      </w:r>
      <w:r>
        <w:rPr>
          <w:rFonts w:hint="eastAsia" w:ascii="仿宋_GB2312" w:hAnsi="仿宋_GB2312" w:eastAsia="仿宋_GB2312" w:cs="仿宋_GB2312"/>
          <w:sz w:val="32"/>
          <w:szCs w:val="32"/>
          <w:lang w:val="en-US" w:eastAsia="zh-CN"/>
        </w:rPr>
        <w:t>5%以上股权的，或持股不足5%但对我社经营管理有重大影响的法人或非法人组织，及其控股股东、实际控制人、一致行动人、最终受益人，包括本条所述关联方控制的法人或非法人组织；正安农信联社控制或施加重大影响的法人或非法人组织</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持有本社5%以上股份的非自然人股东共有1户，持股金额为540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027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元，持股比例为7.14%。本社属于十大股</w:t>
      </w:r>
      <w:r>
        <w:rPr>
          <w:rFonts w:hint="eastAsia" w:ascii="仿宋_GB2312" w:hAnsi="仿宋_GB2312" w:eastAsia="仿宋_GB2312" w:cs="仿宋_GB2312"/>
          <w:sz w:val="32"/>
          <w:szCs w:val="32"/>
          <w:lang w:eastAsia="zh-CN"/>
        </w:rPr>
        <w:t>东</w:t>
      </w:r>
      <w:r>
        <w:rPr>
          <w:rFonts w:hint="eastAsia" w:ascii="仿宋_GB2312" w:hAnsi="仿宋_GB2312" w:eastAsia="仿宋_GB2312" w:cs="仿宋_GB2312"/>
          <w:sz w:val="32"/>
          <w:szCs w:val="32"/>
        </w:rPr>
        <w:t>的法人股东情况如下表：</w:t>
      </w:r>
    </w:p>
    <w:tbl>
      <w:tblPr>
        <w:tblStyle w:val="2"/>
        <w:tblW w:w="8332" w:type="dxa"/>
        <w:tblInd w:w="0" w:type="dxa"/>
        <w:tblLayout w:type="fixed"/>
        <w:tblCellMar>
          <w:top w:w="0" w:type="dxa"/>
          <w:left w:w="10" w:type="dxa"/>
          <w:bottom w:w="0" w:type="dxa"/>
          <w:right w:w="10" w:type="dxa"/>
        </w:tblCellMar>
      </w:tblPr>
      <w:tblGrid>
        <w:gridCol w:w="706"/>
        <w:gridCol w:w="3276"/>
        <w:gridCol w:w="2400"/>
        <w:gridCol w:w="1950"/>
      </w:tblGrid>
      <w:tr>
        <w:tblPrEx>
          <w:tblCellMar>
            <w:top w:w="0" w:type="dxa"/>
            <w:left w:w="10" w:type="dxa"/>
            <w:bottom w:w="0" w:type="dxa"/>
            <w:right w:w="10" w:type="dxa"/>
          </w:tblCellMar>
        </w:tblPrEx>
        <w:trPr>
          <w:trHeight w:val="418" w:hRule="exact"/>
        </w:trPr>
        <w:tc>
          <w:tcPr>
            <w:tcW w:w="706" w:type="dxa"/>
            <w:tcBorders>
              <w:top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序号</w:t>
            </w:r>
          </w:p>
        </w:tc>
        <w:tc>
          <w:tcPr>
            <w:tcW w:w="3276"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股东名称</w:t>
            </w:r>
          </w:p>
        </w:tc>
        <w:tc>
          <w:tcPr>
            <w:tcW w:w="2400"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持股数量</w:t>
            </w:r>
          </w:p>
        </w:tc>
        <w:tc>
          <w:tcPr>
            <w:tcW w:w="1950"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持股比例（%）</w:t>
            </w:r>
          </w:p>
        </w:tc>
      </w:tr>
      <w:tr>
        <w:tblPrEx>
          <w:tblCellMar>
            <w:top w:w="0" w:type="dxa"/>
            <w:left w:w="10" w:type="dxa"/>
            <w:bottom w:w="0" w:type="dxa"/>
            <w:right w:w="10" w:type="dxa"/>
          </w:tblCellMar>
        </w:tblPrEx>
        <w:trPr>
          <w:trHeight w:val="389" w:hRule="exact"/>
        </w:trPr>
        <w:tc>
          <w:tcPr>
            <w:tcW w:w="706" w:type="dxa"/>
            <w:tcBorders>
              <w:top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w:t>
            </w:r>
          </w:p>
        </w:tc>
        <w:tc>
          <w:tcPr>
            <w:tcW w:w="3276"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贵州遵义华锐房地产开发有限公司</w:t>
            </w:r>
          </w:p>
        </w:tc>
        <w:tc>
          <w:tcPr>
            <w:tcW w:w="2400"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5, 400,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270.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950"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7.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14%</w:t>
            </w:r>
          </w:p>
        </w:tc>
      </w:tr>
      <w:tr>
        <w:tblPrEx>
          <w:tblCellMar>
            <w:top w:w="0" w:type="dxa"/>
            <w:left w:w="10" w:type="dxa"/>
            <w:bottom w:w="0" w:type="dxa"/>
            <w:right w:w="10" w:type="dxa"/>
          </w:tblCellMar>
        </w:tblPrEx>
        <w:trPr>
          <w:trHeight w:val="389" w:hRule="exact"/>
        </w:trPr>
        <w:tc>
          <w:tcPr>
            <w:tcW w:w="706" w:type="dxa"/>
            <w:tcBorders>
              <w:top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w:t>
            </w:r>
          </w:p>
        </w:tc>
        <w:tc>
          <w:tcPr>
            <w:tcW w:w="3276"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正安县元和酒业有限责任公司</w:t>
            </w:r>
          </w:p>
        </w:tc>
        <w:tc>
          <w:tcPr>
            <w:tcW w:w="2400"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1,342,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440.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950"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1.77%</w:t>
            </w:r>
          </w:p>
        </w:tc>
      </w:tr>
      <w:tr>
        <w:tblPrEx>
          <w:tblCellMar>
            <w:top w:w="0" w:type="dxa"/>
            <w:left w:w="10" w:type="dxa"/>
            <w:bottom w:w="0" w:type="dxa"/>
            <w:right w:w="10" w:type="dxa"/>
          </w:tblCellMar>
        </w:tblPrEx>
        <w:trPr>
          <w:trHeight w:val="389" w:hRule="exact"/>
        </w:trPr>
        <w:tc>
          <w:tcPr>
            <w:tcW w:w="706" w:type="dxa"/>
            <w:tcBorders>
              <w:top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w:t>
            </w:r>
          </w:p>
        </w:tc>
        <w:tc>
          <w:tcPr>
            <w:tcW w:w="3276"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正安县金林茶业有限责任公司</w:t>
            </w:r>
          </w:p>
        </w:tc>
        <w:tc>
          <w:tcPr>
            <w:tcW w:w="2400"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1,221,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865.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950"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1.61%</w:t>
            </w:r>
          </w:p>
        </w:tc>
      </w:tr>
      <w:tr>
        <w:tblPrEx>
          <w:tblCellMar>
            <w:top w:w="0" w:type="dxa"/>
            <w:left w:w="10" w:type="dxa"/>
            <w:bottom w:w="0" w:type="dxa"/>
            <w:right w:w="10" w:type="dxa"/>
          </w:tblCellMar>
        </w:tblPrEx>
        <w:trPr>
          <w:trHeight w:val="432" w:hRule="exact"/>
        </w:trPr>
        <w:tc>
          <w:tcPr>
            <w:tcW w:w="706" w:type="dxa"/>
            <w:tcBorders>
              <w:top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w:t>
            </w:r>
          </w:p>
        </w:tc>
        <w:tc>
          <w:tcPr>
            <w:tcW w:w="327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正安县桴焉茶业有限责任公司</w:t>
            </w:r>
          </w:p>
        </w:tc>
        <w:tc>
          <w:tcPr>
            <w:tcW w:w="240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1, 220,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400.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9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1.61%</w:t>
            </w:r>
          </w:p>
        </w:tc>
      </w:tr>
      <w:tr>
        <w:tblPrEx>
          <w:tblCellMar>
            <w:top w:w="0" w:type="dxa"/>
            <w:left w:w="10" w:type="dxa"/>
            <w:bottom w:w="0" w:type="dxa"/>
            <w:right w:w="10" w:type="dxa"/>
          </w:tblCellMar>
        </w:tblPrEx>
        <w:trPr>
          <w:trHeight w:val="432" w:hRule="exact"/>
        </w:trPr>
        <w:tc>
          <w:tcPr>
            <w:tcW w:w="706" w:type="dxa"/>
            <w:tcBorders>
              <w:top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w:t>
            </w:r>
          </w:p>
        </w:tc>
        <w:tc>
          <w:tcPr>
            <w:tcW w:w="327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遵义神曲乐器制造有限责任公司</w:t>
            </w:r>
          </w:p>
        </w:tc>
        <w:tc>
          <w:tcPr>
            <w:tcW w:w="240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1,200,000.00</w:t>
            </w:r>
          </w:p>
        </w:tc>
        <w:tc>
          <w:tcPr>
            <w:tcW w:w="19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1.59%</w:t>
            </w:r>
          </w:p>
        </w:tc>
      </w:tr>
      <w:tr>
        <w:tblPrEx>
          <w:tblCellMar>
            <w:top w:w="0" w:type="dxa"/>
            <w:left w:w="10" w:type="dxa"/>
            <w:bottom w:w="0" w:type="dxa"/>
            <w:right w:w="10" w:type="dxa"/>
          </w:tblCellMar>
        </w:tblPrEx>
        <w:trPr>
          <w:trHeight w:val="432" w:hRule="exact"/>
        </w:trPr>
        <w:tc>
          <w:tcPr>
            <w:tcW w:w="706" w:type="dxa"/>
            <w:tcBorders>
              <w:top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w:t>
            </w:r>
          </w:p>
        </w:tc>
        <w:tc>
          <w:tcPr>
            <w:tcW w:w="327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zh-TW" w:eastAsia="zh-TW"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合计</w:t>
            </w:r>
          </w:p>
        </w:tc>
        <w:tc>
          <w:tcPr>
            <w:tcW w:w="240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zh-TW" w:eastAsia="zh-TW"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10, 384, 975</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950"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zh-TW" w:eastAsia="zh-TW"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13.72%</w:t>
            </w: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（二）关联方自然人情况</w:t>
      </w:r>
      <w:r>
        <w:rPr>
          <w:rFonts w:hint="eastAsia" w:ascii="楷体" w:hAnsi="楷体" w:eastAsia="楷体" w:cs="楷体"/>
          <w:sz w:val="32"/>
          <w:szCs w:val="32"/>
        </w:rPr>
        <w:tab/>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本社关联自然人包括：</w:t>
      </w:r>
      <w:r>
        <w:rPr>
          <w:rFonts w:hint="eastAsia" w:ascii="仿宋_GB2312" w:hAnsi="仿宋_GB2312" w:eastAsia="仿宋_GB2312" w:cs="仿宋_GB2312"/>
          <w:sz w:val="32"/>
          <w:szCs w:val="32"/>
          <w:lang w:eastAsia="zh-CN"/>
        </w:rPr>
        <w:t>正安农信联社的自然人控股股东、实际控制人，及其一致行动人、最终受益人；持有或控制正安农信联社</w:t>
      </w:r>
      <w:r>
        <w:rPr>
          <w:rFonts w:hint="eastAsia" w:ascii="仿宋_GB2312" w:hAnsi="仿宋_GB2312" w:eastAsia="仿宋_GB2312" w:cs="仿宋_GB2312"/>
          <w:sz w:val="32"/>
          <w:szCs w:val="32"/>
          <w:lang w:val="en-US" w:eastAsia="zh-CN"/>
        </w:rPr>
        <w:t>5%以上股权的，或持股不足5%但对正安农信联社经营管理有重大影响的自然人；正安农信联社理事、监事、高级管理人员，以及具有大额授信、资产转移、资金使用等核心业务审批或决策权的人员；上述关联方的配偶、父母、成年子女及兄弟姐妹；</w:t>
      </w:r>
      <w:r>
        <w:rPr>
          <w:rFonts w:hint="eastAsia" w:ascii="仿宋_GB2312" w:hAnsi="仿宋_GB2312" w:eastAsia="仿宋_GB2312" w:cs="仿宋_GB2312"/>
          <w:sz w:val="32"/>
          <w:szCs w:val="32"/>
          <w:lang w:eastAsia="zh-CN"/>
        </w:rPr>
        <w:t>正安农信联社的法人控股股东、实际控制人，及其一致行动人、最终受益人</w:t>
      </w:r>
      <w:r>
        <w:rPr>
          <w:rFonts w:hint="eastAsia" w:ascii="仿宋_GB2312" w:hAnsi="仿宋_GB2312" w:eastAsia="仿宋_GB2312" w:cs="仿宋_GB2312"/>
          <w:sz w:val="32"/>
          <w:szCs w:val="32"/>
          <w:lang w:val="en-US" w:eastAsia="zh-CN"/>
        </w:rPr>
        <w:t>的董事、监事、高级管理人员</w:t>
      </w:r>
      <w:r>
        <w:rPr>
          <w:rFonts w:hint="eastAsia" w:ascii="仿宋_GB2312" w:hAnsi="仿宋_GB2312" w:eastAsia="仿宋_GB2312" w:cs="仿宋_GB2312"/>
          <w:sz w:val="32"/>
          <w:szCs w:val="32"/>
          <w:lang w:eastAsia="zh-CN"/>
        </w:rPr>
        <w:t>；持有或控制正安农信联社</w:t>
      </w:r>
      <w:r>
        <w:rPr>
          <w:rFonts w:hint="eastAsia" w:ascii="仿宋_GB2312" w:hAnsi="仿宋_GB2312" w:eastAsia="仿宋_GB2312" w:cs="仿宋_GB2312"/>
          <w:sz w:val="32"/>
          <w:szCs w:val="32"/>
          <w:lang w:val="en-US" w:eastAsia="zh-CN"/>
        </w:rPr>
        <w:t>5%以上股权的，或持股不足5%但对我社经营管理有重大影响的法人或非法人组织，及其控股股东、实际控制人、一致行动人、最终受益人的董事、监事、高级管理人员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本社最大自然人股东张廷芬持有本社股份，持股数量为2, 440, 800. 00元，持股比例为3. 23%,不足5%,故本社不存在此类关联方。本社属于十大股东的自然人股东情况如下表：</w:t>
      </w:r>
    </w:p>
    <w:tbl>
      <w:tblPr>
        <w:tblStyle w:val="2"/>
        <w:tblpPr w:leftFromText="180" w:rightFromText="180" w:vertAnchor="text" w:horzAnchor="page" w:tblpX="2270" w:tblpY="180"/>
        <w:tblOverlap w:val="never"/>
        <w:tblW w:w="7538" w:type="dxa"/>
        <w:tblInd w:w="0" w:type="dxa"/>
        <w:tblLayout w:type="fixed"/>
        <w:tblCellMar>
          <w:top w:w="0" w:type="dxa"/>
          <w:left w:w="10" w:type="dxa"/>
          <w:bottom w:w="0" w:type="dxa"/>
          <w:right w:w="10" w:type="dxa"/>
        </w:tblCellMar>
      </w:tblPr>
      <w:tblGrid>
        <w:gridCol w:w="825"/>
        <w:gridCol w:w="2454"/>
        <w:gridCol w:w="2459"/>
        <w:gridCol w:w="1800"/>
      </w:tblGrid>
      <w:tr>
        <w:tblPrEx>
          <w:tblCellMar>
            <w:top w:w="0" w:type="dxa"/>
            <w:left w:w="10" w:type="dxa"/>
            <w:bottom w:w="0" w:type="dxa"/>
            <w:right w:w="10" w:type="dxa"/>
          </w:tblCellMar>
        </w:tblPrEx>
        <w:trPr>
          <w:trHeight w:val="396" w:hRule="exact"/>
        </w:trPr>
        <w:tc>
          <w:tcPr>
            <w:tcW w:w="825"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序号</w:t>
            </w:r>
          </w:p>
        </w:tc>
        <w:tc>
          <w:tcPr>
            <w:tcW w:w="2454"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股东名称</w:t>
            </w:r>
          </w:p>
        </w:tc>
        <w:tc>
          <w:tcPr>
            <w:tcW w:w="2459"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持股数量</w:t>
            </w:r>
          </w:p>
        </w:tc>
        <w:tc>
          <w:tcPr>
            <w:tcW w:w="180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持股比例（%）</w:t>
            </w:r>
          </w:p>
        </w:tc>
      </w:tr>
      <w:tr>
        <w:tblPrEx>
          <w:tblCellMar>
            <w:top w:w="0" w:type="dxa"/>
            <w:left w:w="10" w:type="dxa"/>
            <w:bottom w:w="0" w:type="dxa"/>
            <w:right w:w="10" w:type="dxa"/>
          </w:tblCellMar>
        </w:tblPrEx>
        <w:trPr>
          <w:trHeight w:val="396" w:hRule="exact"/>
        </w:trPr>
        <w:tc>
          <w:tcPr>
            <w:tcW w:w="825"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w:t>
            </w:r>
          </w:p>
        </w:tc>
        <w:tc>
          <w:tcPr>
            <w:tcW w:w="2454"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张廷芬</w:t>
            </w:r>
          </w:p>
        </w:tc>
        <w:tc>
          <w:tcPr>
            <w:tcW w:w="2459"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2, 440,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800.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80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23%</w:t>
            </w:r>
          </w:p>
        </w:tc>
      </w:tr>
      <w:tr>
        <w:tblPrEx>
          <w:tblCellMar>
            <w:top w:w="0" w:type="dxa"/>
            <w:left w:w="10" w:type="dxa"/>
            <w:bottom w:w="0" w:type="dxa"/>
            <w:right w:w="10" w:type="dxa"/>
          </w:tblCellMar>
        </w:tblPrEx>
        <w:trPr>
          <w:trHeight w:val="396" w:hRule="exact"/>
        </w:trPr>
        <w:tc>
          <w:tcPr>
            <w:tcW w:w="825"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w:t>
            </w:r>
          </w:p>
        </w:tc>
        <w:tc>
          <w:tcPr>
            <w:tcW w:w="2454"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袁晓刚</w:t>
            </w:r>
          </w:p>
        </w:tc>
        <w:tc>
          <w:tcPr>
            <w:tcW w:w="2459"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1,708,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560.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80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2.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26%</w:t>
            </w:r>
          </w:p>
        </w:tc>
      </w:tr>
      <w:tr>
        <w:tblPrEx>
          <w:tblCellMar>
            <w:top w:w="0" w:type="dxa"/>
            <w:left w:w="10" w:type="dxa"/>
            <w:bottom w:w="0" w:type="dxa"/>
            <w:right w:w="10" w:type="dxa"/>
          </w:tblCellMar>
        </w:tblPrEx>
        <w:trPr>
          <w:trHeight w:val="396" w:hRule="exact"/>
        </w:trPr>
        <w:tc>
          <w:tcPr>
            <w:tcW w:w="825"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w:t>
            </w:r>
          </w:p>
        </w:tc>
        <w:tc>
          <w:tcPr>
            <w:tcW w:w="2454"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方丽娜</w:t>
            </w:r>
          </w:p>
        </w:tc>
        <w:tc>
          <w:tcPr>
            <w:tcW w:w="2459"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1,220,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400.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80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1.61%</w:t>
            </w:r>
          </w:p>
        </w:tc>
      </w:tr>
      <w:tr>
        <w:tblPrEx>
          <w:tblCellMar>
            <w:top w:w="0" w:type="dxa"/>
            <w:left w:w="10" w:type="dxa"/>
            <w:bottom w:w="0" w:type="dxa"/>
            <w:right w:w="10" w:type="dxa"/>
          </w:tblCellMar>
        </w:tblPrEx>
        <w:trPr>
          <w:trHeight w:val="389" w:hRule="exact"/>
        </w:trPr>
        <w:tc>
          <w:tcPr>
            <w:tcW w:w="825"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w:t>
            </w:r>
          </w:p>
        </w:tc>
        <w:tc>
          <w:tcPr>
            <w:tcW w:w="2454"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郑继英</w:t>
            </w:r>
          </w:p>
        </w:tc>
        <w:tc>
          <w:tcPr>
            <w:tcW w:w="2459"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878,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689.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80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1.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16%</w:t>
            </w:r>
          </w:p>
        </w:tc>
      </w:tr>
      <w:tr>
        <w:tblPrEx>
          <w:tblCellMar>
            <w:top w:w="0" w:type="dxa"/>
            <w:left w:w="10" w:type="dxa"/>
            <w:bottom w:w="0" w:type="dxa"/>
            <w:right w:w="10" w:type="dxa"/>
          </w:tblCellMar>
        </w:tblPrEx>
        <w:trPr>
          <w:trHeight w:val="396" w:hRule="exact"/>
        </w:trPr>
        <w:tc>
          <w:tcPr>
            <w:tcW w:w="825"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w:t>
            </w:r>
          </w:p>
        </w:tc>
        <w:tc>
          <w:tcPr>
            <w:tcW w:w="2454"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谢平林</w:t>
            </w:r>
          </w:p>
        </w:tc>
        <w:tc>
          <w:tcPr>
            <w:tcW w:w="2459"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695,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632.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80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0.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92%</w:t>
            </w:r>
          </w:p>
        </w:tc>
      </w:tr>
      <w:tr>
        <w:tblPrEx>
          <w:tblCellMar>
            <w:top w:w="0" w:type="dxa"/>
            <w:left w:w="10" w:type="dxa"/>
            <w:bottom w:w="0" w:type="dxa"/>
            <w:right w:w="10" w:type="dxa"/>
          </w:tblCellMar>
        </w:tblPrEx>
        <w:trPr>
          <w:trHeight w:val="389" w:hRule="exact"/>
        </w:trPr>
        <w:tc>
          <w:tcPr>
            <w:tcW w:w="825"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w:t>
            </w:r>
          </w:p>
        </w:tc>
        <w:tc>
          <w:tcPr>
            <w:tcW w:w="2454"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合计</w:t>
            </w:r>
          </w:p>
        </w:tc>
        <w:tc>
          <w:tcPr>
            <w:tcW w:w="2459"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 xml:space="preserve">6, 944, </w:t>
            </w: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081.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w:t>
            </w:r>
          </w:p>
        </w:tc>
        <w:tc>
          <w:tcPr>
            <w:tcW w:w="1800" w:type="dxa"/>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en-US" w:bidi="ar"/>
              </w:rPr>
              <w:t xml:space="preserve">9. </w:t>
            </w: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18%</w:t>
            </w: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二、关联方交易情况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本社关联交易主要为授信，不存在资产转移、提供服务等其他关联交易情形。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截至2025年12月31日,本社关联交易授信净额2826.12万元，全部关联度为4.19%。其中：关联法人授信净额2031万元，内部人及亲属授信净额795.12万元。 最大单一关联方为贵州遵义华锐房地产开发有限公司，授信余额1761万元，占资本净额67417.92万元的2.61%。</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社关联交易符合“商业银行对一个关联方的授信余额不得超过商业银行资本净额的10%；商业银行对一个关联法人或其他组织所在集团客户的授信余额总数不得超过商业银行资本净额的15%；商业银行对全部关联方的授信余额不得超过商业银行资本净额的50%。”的规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理事会成员关联交易情况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年12月31日，我社</w:t>
      </w:r>
      <w:r>
        <w:rPr>
          <w:rFonts w:hint="eastAsia" w:ascii="仿宋_GB2312" w:hAnsi="仿宋_GB2312" w:eastAsia="仿宋_GB2312" w:cs="仿宋_GB2312"/>
          <w:sz w:val="32"/>
          <w:szCs w:val="32"/>
          <w:lang w:eastAsia="zh-CN"/>
        </w:rPr>
        <w:t>理事长熊伟、副理事长梁勋、职工理事邓妤、股东理事宋培勇、李文强。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人在我社</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有效</w:t>
      </w:r>
      <w:r>
        <w:rPr>
          <w:rFonts w:hint="eastAsia" w:ascii="仿宋_GB2312" w:hAnsi="仿宋_GB2312" w:eastAsia="仿宋_GB2312" w:cs="仿宋_GB2312"/>
          <w:sz w:val="32"/>
          <w:szCs w:val="32"/>
        </w:rPr>
        <w:t>授信额度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监事会成员关联交易情况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w:t>
      </w:r>
      <w:r>
        <w:rPr>
          <w:rFonts w:hint="eastAsia" w:ascii="仿宋_GB2312" w:hAnsi="仿宋_GB2312" w:eastAsia="仿宋_GB2312" w:cs="仿宋_GB2312"/>
          <w:sz w:val="32"/>
          <w:szCs w:val="32"/>
          <w:lang w:val="en-US" w:eastAsia="zh-CN"/>
        </w:rPr>
        <w:t>1日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我社监事</w:t>
      </w:r>
      <w:r>
        <w:rPr>
          <w:rFonts w:hint="eastAsia" w:ascii="仿宋_GB2312" w:hAnsi="仿宋_GB2312" w:eastAsia="仿宋_GB2312" w:cs="仿宋_GB2312"/>
          <w:sz w:val="32"/>
          <w:szCs w:val="32"/>
          <w:lang w:val="en-US" w:eastAsia="zh-CN"/>
        </w:rPr>
        <w:t>3人，分别是</w:t>
      </w:r>
      <w:r>
        <w:rPr>
          <w:rFonts w:hint="eastAsia" w:ascii="仿宋_GB2312" w:hAnsi="仿宋_GB2312" w:eastAsia="仿宋_GB2312" w:cs="仿宋_GB2312"/>
          <w:sz w:val="32"/>
          <w:szCs w:val="32"/>
        </w:rPr>
        <w:t>职工监事</w:t>
      </w:r>
      <w:r>
        <w:rPr>
          <w:rFonts w:hint="eastAsia" w:ascii="仿宋_GB2312" w:hAnsi="仿宋_GB2312" w:eastAsia="仿宋_GB2312" w:cs="仿宋_GB2312"/>
          <w:sz w:val="32"/>
          <w:szCs w:val="32"/>
          <w:lang w:eastAsia="zh-CN"/>
        </w:rPr>
        <w:t>胡佳佳，股东监事李德胜、罗泽宇，监事均无有效授信。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高管关联交易情况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年12月31日,正安县联社关联方高管</w:t>
      </w:r>
      <w:r>
        <w:rPr>
          <w:rFonts w:hint="eastAsia" w:ascii="仿宋_GB2312" w:hAnsi="仿宋_GB2312" w:eastAsia="仿宋_GB2312" w:cs="仿宋_GB2312"/>
          <w:sz w:val="32"/>
          <w:szCs w:val="32"/>
          <w:lang w:eastAsia="zh-CN"/>
        </w:rPr>
        <w:t>在我社均</w:t>
      </w:r>
      <w:r>
        <w:rPr>
          <w:rFonts w:hint="eastAsia" w:ascii="仿宋_GB2312" w:hAnsi="仿宋_GB2312" w:eastAsia="仿宋_GB2312" w:cs="仿宋_GB2312"/>
          <w:sz w:val="32"/>
          <w:szCs w:val="32"/>
        </w:rPr>
        <w:t>无</w:t>
      </w:r>
      <w:r>
        <w:rPr>
          <w:rFonts w:hint="eastAsia" w:ascii="仿宋_GB2312" w:hAnsi="仿宋_GB2312" w:eastAsia="仿宋_GB2312" w:cs="仿宋_GB2312"/>
          <w:sz w:val="32"/>
          <w:szCs w:val="32"/>
          <w:lang w:eastAsia="zh-CN"/>
        </w:rPr>
        <w:t>授信和</w:t>
      </w:r>
      <w:r>
        <w:rPr>
          <w:rFonts w:hint="eastAsia" w:ascii="仿宋_GB2312" w:hAnsi="仿宋_GB2312" w:eastAsia="仿宋_GB2312" w:cs="仿宋_GB2312"/>
          <w:sz w:val="32"/>
          <w:szCs w:val="32"/>
        </w:rPr>
        <w:t>贷款余额。</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职工关联交易情况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截止202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年12月31</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,我社关联方职工在本社贷款金额</w:t>
      </w:r>
      <w:r>
        <w:rPr>
          <w:rFonts w:hint="eastAsia" w:ascii="仿宋_GB2312" w:hAnsi="仿宋_GB2312" w:eastAsia="仿宋_GB2312" w:cs="仿宋_GB2312"/>
          <w:color w:val="auto"/>
          <w:sz w:val="32"/>
          <w:szCs w:val="32"/>
          <w:lang w:val="en-US" w:eastAsia="zh-CN"/>
        </w:rPr>
        <w:t>865.12</w:t>
      </w:r>
      <w:r>
        <w:rPr>
          <w:rFonts w:hint="eastAsia" w:ascii="仿宋_GB2312" w:hAnsi="仿宋_GB2312" w:eastAsia="仿宋_GB2312" w:cs="仿宋_GB2312"/>
          <w:color w:val="auto"/>
          <w:sz w:val="32"/>
          <w:szCs w:val="32"/>
        </w:rPr>
        <w:t>万元，贷款余额</w:t>
      </w:r>
      <w:r>
        <w:rPr>
          <w:rFonts w:hint="eastAsia" w:ascii="仿宋_GB2312" w:hAnsi="仿宋_GB2312" w:eastAsia="仿宋_GB2312" w:cs="仿宋_GB2312"/>
          <w:color w:val="auto"/>
          <w:sz w:val="32"/>
          <w:szCs w:val="32"/>
          <w:lang w:val="en-US" w:eastAsia="zh-CN"/>
        </w:rPr>
        <w:t>812.3</w:t>
      </w:r>
      <w:r>
        <w:rPr>
          <w:rFonts w:hint="eastAsia" w:ascii="仿宋_GB2312" w:hAnsi="仿宋_GB2312" w:eastAsia="仿宋_GB2312" w:cs="仿宋_GB2312"/>
          <w:color w:val="auto"/>
          <w:sz w:val="32"/>
          <w:szCs w:val="32"/>
        </w:rPr>
        <w:t>万元，均为担保贷款。</w:t>
      </w:r>
      <w:r>
        <w:rPr>
          <w:rFonts w:hint="eastAsia" w:ascii="仿宋_GB2312" w:hAnsi="仿宋_GB2312" w:eastAsia="仿宋_GB2312" w:cs="仿宋_GB2312"/>
          <w:sz w:val="32"/>
          <w:szCs w:val="32"/>
        </w:rPr>
        <w:t>最大十户职工关联方关联交易贷款情况如下：</w:t>
      </w:r>
      <w:bookmarkStart w:id="0" w:name="_GoBack"/>
      <w:bookmarkEnd w:id="0"/>
    </w:p>
    <w:tbl>
      <w:tblPr>
        <w:tblStyle w:val="2"/>
        <w:tblW w:w="8357" w:type="dxa"/>
        <w:tblInd w:w="0" w:type="dxa"/>
        <w:tblLayout w:type="fixed"/>
        <w:tblCellMar>
          <w:top w:w="0" w:type="dxa"/>
          <w:left w:w="10" w:type="dxa"/>
          <w:bottom w:w="0" w:type="dxa"/>
          <w:right w:w="10" w:type="dxa"/>
        </w:tblCellMar>
      </w:tblPr>
      <w:tblGrid>
        <w:gridCol w:w="1130"/>
        <w:gridCol w:w="1827"/>
        <w:gridCol w:w="1600"/>
        <w:gridCol w:w="1837"/>
        <w:gridCol w:w="1963"/>
      </w:tblGrid>
      <w:tr>
        <w:tblPrEx>
          <w:tblCellMar>
            <w:top w:w="0" w:type="dxa"/>
            <w:left w:w="10" w:type="dxa"/>
            <w:bottom w:w="0" w:type="dxa"/>
            <w:right w:w="10" w:type="dxa"/>
          </w:tblCellMar>
        </w:tblPrEx>
        <w:trPr>
          <w:trHeight w:val="389" w:hRule="exact"/>
        </w:trPr>
        <w:tc>
          <w:tcPr>
            <w:tcW w:w="1130" w:type="dxa"/>
            <w:vMerge w:val="restart"/>
            <w:tcBorders>
              <w:top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sz w:val="20"/>
                <w:szCs w:val="20"/>
              </w:rPr>
            </w:pPr>
            <w:r>
              <w:rPr>
                <w:color w:val="000000"/>
                <w:spacing w:val="0"/>
                <w:w w:val="100"/>
                <w:position w:val="0"/>
                <w:sz w:val="20"/>
                <w:szCs w:val="20"/>
              </w:rPr>
              <w:t>序号</w:t>
            </w:r>
          </w:p>
        </w:tc>
        <w:tc>
          <w:tcPr>
            <w:tcW w:w="1827" w:type="dxa"/>
            <w:vMerge w:val="restar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right="0"/>
              <w:jc w:val="both"/>
              <w:textAlignment w:val="auto"/>
              <w:rPr>
                <w:sz w:val="20"/>
                <w:szCs w:val="20"/>
              </w:rPr>
            </w:pPr>
            <w:r>
              <w:rPr>
                <w:color w:val="000000"/>
                <w:spacing w:val="0"/>
                <w:w w:val="100"/>
                <w:position w:val="0"/>
                <w:sz w:val="20"/>
                <w:szCs w:val="20"/>
              </w:rPr>
              <w:t>关联方名称</w:t>
            </w:r>
          </w:p>
        </w:tc>
        <w:tc>
          <w:tcPr>
            <w:tcW w:w="1600" w:type="dxa"/>
            <w:vMerge w:val="restart"/>
            <w:tcBorders>
              <w:top w:val="single" w:color="auto" w:sz="4" w:space="0"/>
              <w:left w:val="single" w:color="auto" w:sz="4" w:space="0"/>
            </w:tcBorders>
            <w:shd w:val="clear" w:color="auto" w:fill="FFFFFF"/>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after="0" w:line="480" w:lineRule="exact"/>
              <w:ind w:left="0" w:right="0" w:firstLine="0"/>
              <w:jc w:val="center"/>
              <w:textAlignment w:val="auto"/>
              <w:rPr>
                <w:sz w:val="20"/>
                <w:szCs w:val="20"/>
              </w:rPr>
            </w:pPr>
            <w:r>
              <w:rPr>
                <w:color w:val="000000"/>
                <w:spacing w:val="0"/>
                <w:w w:val="100"/>
                <w:position w:val="0"/>
                <w:sz w:val="20"/>
                <w:szCs w:val="20"/>
              </w:rPr>
              <w:t>关联方类型</w:t>
            </w:r>
          </w:p>
        </w:tc>
        <w:tc>
          <w:tcPr>
            <w:tcW w:w="3800" w:type="dxa"/>
            <w:gridSpan w:val="2"/>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期末余额</w:t>
            </w:r>
          </w:p>
        </w:tc>
      </w:tr>
      <w:tr>
        <w:tblPrEx>
          <w:tblCellMar>
            <w:top w:w="0" w:type="dxa"/>
            <w:left w:w="10" w:type="dxa"/>
            <w:bottom w:w="0" w:type="dxa"/>
            <w:right w:w="10" w:type="dxa"/>
          </w:tblCellMar>
        </w:tblPrEx>
        <w:trPr>
          <w:trHeight w:val="533" w:hRule="exact"/>
        </w:trPr>
        <w:tc>
          <w:tcPr>
            <w:tcW w:w="1130" w:type="dxa"/>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p>
        </w:tc>
        <w:tc>
          <w:tcPr>
            <w:tcW w:w="1827"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p>
        </w:tc>
        <w:tc>
          <w:tcPr>
            <w:tcW w:w="1600"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各项贷款(万元)</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占资本净额比例 (%)</w:t>
            </w:r>
          </w:p>
        </w:tc>
      </w:tr>
      <w:tr>
        <w:tblPrEx>
          <w:tblCellMar>
            <w:top w:w="0" w:type="dxa"/>
            <w:left w:w="10" w:type="dxa"/>
            <w:bottom w:w="0" w:type="dxa"/>
            <w:right w:w="10" w:type="dxa"/>
          </w:tblCellMar>
        </w:tblPrEx>
        <w:trPr>
          <w:trHeight w:val="382"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罗毅</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84.90</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0.13%</w:t>
            </w:r>
          </w:p>
        </w:tc>
      </w:tr>
      <w:tr>
        <w:tblPrEx>
          <w:tblCellMar>
            <w:top w:w="0" w:type="dxa"/>
            <w:left w:w="10" w:type="dxa"/>
            <w:bottom w:w="0" w:type="dxa"/>
            <w:right w:w="10" w:type="dxa"/>
          </w:tblCellMar>
        </w:tblPrEx>
        <w:trPr>
          <w:trHeight w:val="374"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杨涛</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Times New Roman"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57.60</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0.09%</w:t>
            </w:r>
          </w:p>
        </w:tc>
      </w:tr>
      <w:tr>
        <w:tblPrEx>
          <w:tblCellMar>
            <w:top w:w="0" w:type="dxa"/>
            <w:left w:w="10" w:type="dxa"/>
            <w:bottom w:w="0" w:type="dxa"/>
            <w:right w:w="10" w:type="dxa"/>
          </w:tblCellMar>
        </w:tblPrEx>
        <w:trPr>
          <w:trHeight w:val="374"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谢谊</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63.61</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0.09%</w:t>
            </w:r>
          </w:p>
        </w:tc>
      </w:tr>
      <w:tr>
        <w:tblPrEx>
          <w:tblCellMar>
            <w:top w:w="0" w:type="dxa"/>
            <w:left w:w="10" w:type="dxa"/>
            <w:bottom w:w="0" w:type="dxa"/>
            <w:right w:w="10" w:type="dxa"/>
          </w:tblCellMar>
        </w:tblPrEx>
        <w:trPr>
          <w:trHeight w:val="374"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谢先德</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36.21</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0.05%</w:t>
            </w:r>
          </w:p>
        </w:tc>
      </w:tr>
      <w:tr>
        <w:tblPrEx>
          <w:tblCellMar>
            <w:top w:w="0" w:type="dxa"/>
            <w:left w:w="10" w:type="dxa"/>
            <w:bottom w:w="0" w:type="dxa"/>
            <w:right w:w="10" w:type="dxa"/>
          </w:tblCellMar>
        </w:tblPrEx>
        <w:trPr>
          <w:trHeight w:val="374"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张毅</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34.70</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0.05%</w:t>
            </w:r>
          </w:p>
        </w:tc>
      </w:tr>
      <w:tr>
        <w:tblPrEx>
          <w:tblCellMar>
            <w:top w:w="0" w:type="dxa"/>
            <w:left w:w="10" w:type="dxa"/>
            <w:bottom w:w="0" w:type="dxa"/>
            <w:right w:w="10" w:type="dxa"/>
          </w:tblCellMar>
        </w:tblPrEx>
        <w:trPr>
          <w:trHeight w:val="374"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罗文枭</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Times New Roman"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34.07</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0.05%</w:t>
            </w:r>
          </w:p>
        </w:tc>
      </w:tr>
      <w:tr>
        <w:tblPrEx>
          <w:tblCellMar>
            <w:top w:w="0" w:type="dxa"/>
            <w:left w:w="10" w:type="dxa"/>
            <w:bottom w:w="0" w:type="dxa"/>
            <w:right w:w="10" w:type="dxa"/>
          </w:tblCellMar>
        </w:tblPrEx>
        <w:trPr>
          <w:trHeight w:val="374"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7</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余刚</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33.50</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0.05%</w:t>
            </w:r>
          </w:p>
        </w:tc>
      </w:tr>
      <w:tr>
        <w:tblPrEx>
          <w:tblCellMar>
            <w:top w:w="0" w:type="dxa"/>
            <w:left w:w="10" w:type="dxa"/>
            <w:bottom w:w="0" w:type="dxa"/>
            <w:right w:w="10" w:type="dxa"/>
          </w:tblCellMar>
        </w:tblPrEx>
        <w:trPr>
          <w:trHeight w:val="374"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8</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陈林亚</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30.00</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0.04%</w:t>
            </w:r>
          </w:p>
        </w:tc>
      </w:tr>
      <w:tr>
        <w:tblPrEx>
          <w:tblCellMar>
            <w:top w:w="0" w:type="dxa"/>
            <w:left w:w="10" w:type="dxa"/>
            <w:bottom w:w="0" w:type="dxa"/>
            <w:right w:w="10" w:type="dxa"/>
          </w:tblCellMar>
        </w:tblPrEx>
        <w:trPr>
          <w:trHeight w:val="374"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9</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王小金</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30.00</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0.04%</w:t>
            </w:r>
          </w:p>
        </w:tc>
      </w:tr>
      <w:tr>
        <w:tblPrEx>
          <w:tblCellMar>
            <w:top w:w="0" w:type="dxa"/>
            <w:left w:w="10" w:type="dxa"/>
            <w:bottom w:w="0" w:type="dxa"/>
            <w:right w:w="10" w:type="dxa"/>
          </w:tblCellMar>
        </w:tblPrEx>
        <w:trPr>
          <w:trHeight w:val="353" w:hRule="exact"/>
        </w:trPr>
        <w:tc>
          <w:tcPr>
            <w:tcW w:w="1130" w:type="dxa"/>
            <w:tcBorders>
              <w:top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10</w:t>
            </w:r>
          </w:p>
        </w:tc>
        <w:tc>
          <w:tcPr>
            <w:tcW w:w="182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eastAsia" w:eastAsia="宋体"/>
                <w:sz w:val="20"/>
                <w:szCs w:val="20"/>
                <w:lang w:eastAsia="zh-CN"/>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蔡蒙俊</w:t>
            </w:r>
          </w:p>
        </w:tc>
        <w:tc>
          <w:tcPr>
            <w:tcW w:w="1600"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20"/>
                <w:szCs w:val="20"/>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职工贷款</w:t>
            </w:r>
          </w:p>
        </w:tc>
        <w:tc>
          <w:tcPr>
            <w:tcW w:w="1837"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rFonts w:hint="default" w:ascii="Times New Roman" w:hAnsi="Times New Roman" w:eastAsia="宋体" w:cs="Times New Roman"/>
                <w:color w:val="000000"/>
                <w:spacing w:val="0"/>
                <w:w w:val="100"/>
                <w:position w:val="0"/>
                <w:sz w:val="17"/>
                <w:szCs w:val="17"/>
                <w:lang w:val="en-US" w:eastAsia="zh-CN" w:bidi="en-US"/>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30.00</w:t>
            </w:r>
          </w:p>
        </w:tc>
        <w:tc>
          <w:tcPr>
            <w:tcW w:w="1963" w:type="dxa"/>
            <w:tcBorders>
              <w:top w:val="single" w:color="auto" w:sz="4" w:space="0"/>
              <w:left w:val="single" w:color="auto" w:sz="4" w:space="0"/>
            </w:tcBorders>
            <w:shd w:val="clear" w:color="auto" w:fill="FFFFFF"/>
            <w:vAlign w:val="center"/>
          </w:tcPr>
          <w:p>
            <w:pPr>
              <w:keepNext w:val="0"/>
              <w:keepLines w:val="0"/>
              <w:widowControl/>
              <w:suppressLineNumbers w:val="0"/>
              <w:ind w:left="0" w:leftChars="0" w:right="0" w:rightChars="0" w:firstLine="0" w:firstLineChars="0"/>
              <w:jc w:val="center"/>
              <w:textAlignment w:val="center"/>
              <w:rPr>
                <w:sz w:val="17"/>
                <w:szCs w:val="17"/>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0.04%</w:t>
            </w:r>
          </w:p>
        </w:tc>
      </w:tr>
      <w:tr>
        <w:tblPrEx>
          <w:tblCellMar>
            <w:top w:w="0" w:type="dxa"/>
            <w:left w:w="10" w:type="dxa"/>
            <w:bottom w:w="0" w:type="dxa"/>
            <w:right w:w="10" w:type="dxa"/>
          </w:tblCellMar>
        </w:tblPrEx>
        <w:trPr>
          <w:trHeight w:val="425" w:hRule="exact"/>
        </w:trPr>
        <w:tc>
          <w:tcPr>
            <w:tcW w:w="1130" w:type="dxa"/>
            <w:tcBorders>
              <w:top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11</w:t>
            </w:r>
          </w:p>
        </w:tc>
        <w:tc>
          <w:tcPr>
            <w:tcW w:w="3427" w:type="dxa"/>
            <w:gridSpan w:val="2"/>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合计</w:t>
            </w:r>
          </w:p>
        </w:tc>
        <w:tc>
          <w:tcPr>
            <w:tcW w:w="1837"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default"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434.59</w:t>
            </w:r>
          </w:p>
        </w:tc>
        <w:tc>
          <w:tcPr>
            <w:tcW w:w="1963"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shd w:val="clear" w:color="auto" w:fill="auto"/>
              <w:ind w:left="0" w:leftChars="0" w:right="0" w:rightChars="0" w:firstLine="0" w:firstLineChars="0"/>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0.64%</w:t>
            </w:r>
          </w:p>
        </w:tc>
      </w:tr>
    </w:tbl>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rPr>
        <w:t>重大关联交易情况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按照关联交易定义和分类。</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年度重大关联交易</w:t>
      </w:r>
      <w:r>
        <w:rPr>
          <w:rFonts w:hint="eastAsia" w:ascii="仿宋_GB2312" w:hAnsi="仿宋_GB2312" w:eastAsia="仿宋_GB2312" w:cs="仿宋_GB2312"/>
          <w:sz w:val="32"/>
          <w:szCs w:val="32"/>
          <w:lang w:val="en-US" w:eastAsia="zh-CN"/>
        </w:rPr>
        <w:t>1笔，即：</w:t>
      </w:r>
      <w:r>
        <w:rPr>
          <w:rFonts w:hint="eastAsia" w:ascii="仿宋_GB2312" w:hAnsi="仿宋_GB2312" w:eastAsia="仿宋_GB2312" w:cs="仿宋_GB2312"/>
          <w:spacing w:val="5"/>
          <w:sz w:val="32"/>
          <w:szCs w:val="32"/>
          <w:lang w:eastAsia="zh-CN"/>
        </w:rPr>
        <w:t>正安县金林茶业有限责任公司</w:t>
      </w:r>
      <w:r>
        <w:rPr>
          <w:rFonts w:hint="eastAsia" w:ascii="仿宋_GB2312" w:hAnsi="仿宋_GB2312" w:eastAsia="仿宋_GB2312" w:cs="仿宋_GB2312"/>
          <w:sz w:val="32"/>
          <w:szCs w:val="32"/>
          <w:lang w:val="en-US" w:eastAsia="zh-CN"/>
        </w:rPr>
        <w:t>，在我社持有股本金122.19万元，持股比例1.61%。该公司向我社申请评级授信，联社授信审批委员会于2025年1月15日召开会议，审议同意对该正安县金林茶业有限责任公司评定信用等级为“A”级，公司及关联方统一授信710万元。授信时上季度末资本净额65474万元，授信金额超过上季度末资本净额的1%，根据《正安县农村信用合作联社关联交易管理实施细则》规定，该笔交易为重大关联交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该笔重大关联交易经有权审批人审批后，报联社关联交易控制委员会备案、理事会审批后办理，已呈监管部门备案。符合重大关联交易管理要求。</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三、关联交易制度执行情况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根据《正安县农村信用合作联社关联交易管理办法》（正农信发〔20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文件要求，按照《商业银行股权管理暂行办法》和《商业银行与内部人和股东关联交易管理办法》等规定认定关联方，遵循“实质重于形式”原则，建立关联方名录。明确正安联社的关联交易控制委员会负责确认正安联社的关联方，并向理事会和监事会报告，实行关联方动态管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根据《关于印发正安县农村信用合作联社内部员工消费贷款评级授信实施细则（修订）的通知》（正农信发〔20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9号）、《关于印发正安县农村信用合作联社法人客户评级授信管理实施细则的通知》（正农信发〔2019〕237号），实行统一授信。向关联方所在集团统一授信覆盖全部关联企业，不存在通过掩盖或不尽职审查关联方的关联关系，规避关联授信集中度控制的情况；不存在未按穿透原则认定关联方和关联方所在集团授信或未真实反映风险敞口，规避关联授信集中度控制的情况；不存在对单一关联方及关联方所在集团以任何形式违反或规避关联授信集中度要求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关联交易权限审批方面，严格按照《商业银行与内部人和股东关联方交易管理办法》严格区分交易类别，对关联交易实行层级审批。一般关联交易按照正安联社内部授权程序审批，并报关联交易控制委员会备案或批准，一般关联交易可以按照重大关联交易的程序审批。重大关联交易由正安</w:t>
      </w:r>
      <w:r>
        <w:rPr>
          <w:rFonts w:hint="eastAsia" w:ascii="仿宋_GB2312" w:hAnsi="仿宋_GB2312" w:eastAsia="仿宋_GB2312" w:cs="仿宋_GB2312"/>
          <w:sz w:val="32"/>
          <w:szCs w:val="32"/>
          <w:lang w:eastAsia="zh-CN"/>
        </w:rPr>
        <w:t>农信</w:t>
      </w:r>
      <w:r>
        <w:rPr>
          <w:rFonts w:hint="eastAsia" w:ascii="仿宋_GB2312" w:hAnsi="仿宋_GB2312" w:eastAsia="仿宋_GB2312" w:cs="仿宋_GB2312"/>
          <w:sz w:val="32"/>
          <w:szCs w:val="32"/>
        </w:rPr>
        <w:t>联社的关联交易控制委员会审查后，提交理事会批准。重大关联交易在批准之日起10个工作日内报告监事会，同时报告当地中国银行保险监督管理委员会，并抄送省联社。与正安</w:t>
      </w:r>
      <w:r>
        <w:rPr>
          <w:rFonts w:hint="eastAsia" w:ascii="仿宋_GB2312" w:hAnsi="仿宋_GB2312" w:eastAsia="仿宋_GB2312" w:cs="仿宋_GB2312"/>
          <w:sz w:val="32"/>
          <w:szCs w:val="32"/>
          <w:lang w:eastAsia="zh-CN"/>
        </w:rPr>
        <w:t>农信</w:t>
      </w:r>
      <w:r>
        <w:rPr>
          <w:rFonts w:hint="eastAsia" w:ascii="仿宋_GB2312" w:hAnsi="仿宋_GB2312" w:eastAsia="仿宋_GB2312" w:cs="仿宋_GB2312"/>
          <w:sz w:val="32"/>
          <w:szCs w:val="32"/>
        </w:rPr>
        <w:t>联社理事、高级管理人员有关联关系的关联交易在批准之日起10个工作日内报告监事会。严格执行关联交易回避制度，按照《正安县农村信用合作联社关联交易管理办法》（正农信发〔20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号）文件要求，正安</w:t>
      </w:r>
      <w:r>
        <w:rPr>
          <w:rFonts w:hint="eastAsia" w:ascii="仿宋_GB2312" w:hAnsi="仿宋_GB2312" w:eastAsia="仿宋_GB2312" w:cs="仿宋_GB2312"/>
          <w:sz w:val="32"/>
          <w:szCs w:val="32"/>
          <w:lang w:eastAsia="zh-CN"/>
        </w:rPr>
        <w:t>农信</w:t>
      </w:r>
      <w:r>
        <w:rPr>
          <w:rFonts w:hint="eastAsia" w:ascii="仿宋_GB2312" w:hAnsi="仿宋_GB2312" w:eastAsia="仿宋_GB2312" w:cs="仿宋_GB2312"/>
          <w:sz w:val="32"/>
          <w:szCs w:val="32"/>
        </w:rPr>
        <w:t>联社理事会对关联交易进行表决或决策时，与该管理交易有关联关系的人员应当回避。关联交易审核部门分别对关联交易出具独立的审查意见并留存归档；关联交易控制委员会和理事会成员逐笔对重大关联交易的公允性以及审核程序履行情况发表明确意见，形成会议决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根据《正安县农村信用合作联社关联交易管理办法》（正农信发〔20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号）文件要求，由正安</w:t>
      </w:r>
      <w:r>
        <w:rPr>
          <w:rFonts w:hint="eastAsia" w:ascii="仿宋_GB2312" w:hAnsi="仿宋_GB2312" w:eastAsia="仿宋_GB2312" w:cs="仿宋_GB2312"/>
          <w:sz w:val="32"/>
          <w:szCs w:val="32"/>
          <w:lang w:eastAsia="zh-CN"/>
        </w:rPr>
        <w:t>农信</w:t>
      </w:r>
      <w:r>
        <w:rPr>
          <w:rFonts w:hint="eastAsia" w:ascii="仿宋_GB2312" w:hAnsi="仿宋_GB2312" w:eastAsia="仿宋_GB2312" w:cs="仿宋_GB2312"/>
          <w:sz w:val="32"/>
          <w:szCs w:val="32"/>
        </w:rPr>
        <w:t>联社关联交易控制委员会负责关联交易的管理，及时审查和批准关联交易，控制关联交易风险；开展的关联交易不属于禁止交易行为或者违法监管规定；正安</w:t>
      </w:r>
      <w:r>
        <w:rPr>
          <w:rFonts w:hint="eastAsia" w:ascii="仿宋_GB2312" w:hAnsi="仿宋_GB2312" w:eastAsia="仿宋_GB2312" w:cs="仿宋_GB2312"/>
          <w:sz w:val="32"/>
          <w:szCs w:val="32"/>
          <w:lang w:eastAsia="zh-CN"/>
        </w:rPr>
        <w:t>农信</w:t>
      </w:r>
      <w:r>
        <w:rPr>
          <w:rFonts w:hint="eastAsia" w:ascii="仿宋_GB2312" w:hAnsi="仿宋_GB2312" w:eastAsia="仿宋_GB2312" w:cs="仿宋_GB2312"/>
          <w:sz w:val="32"/>
          <w:szCs w:val="32"/>
        </w:rPr>
        <w:t>联社关联交易对象的评级、授信、利率定价等方面全都严格按照《关于印发正安县农村信用合作联社法人客户评级授信管理实施细则的通知》（正农信发〔2019〕237号）、《关于印发正安县农村信用合作联社内部员工消费贷款评级授信实施细则（修订）的通知》（正农信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9号）等文件规定施行，不存在关联交易条件优于本行非关联方同类交易条件的情况及关联方授信余额超过集中度标准的情况。</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重大关联交易外，2024年正安农信联社关联交易控制委员会审议一般关联交易披露报告3次，审议年度关联交易报告一次，审议关联方名单更新3次。2025年1月，我社向监管部门呈报关于正安县金林茶业有限责任公司综合授信710万元的关联交易备案报告。</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2025年9月至10月，我社稽核审计部门开展关联交易专项审计并出具《正安县农村信用合作联社关于2024年度关联交易专项审计报告》（正农信审〔2025〕44号），关联交易管理部门及一反三开展自查并逐项落实整改。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专项审计和检查中发现问题共计4个，关联交易管理部门立即落实整改，如：设置专岗负责关联交易日常事务；设立关联交易专管员A、B角。针对存在向关系人发放信用贷款和签订保证合同超过保证合同债权到期的问题，分别于3月、11月印发《关于规范关系人贷款管理的通知》（正农信业发〔2025〕13号）、《关于加强关系人信用贷款排查及整改工作的通知》（正农信业发〔2025〕42号），有序推进举一反三排查及全辖整改工作。</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四、下步工作安排</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严格制度执行。</w:t>
      </w:r>
      <w:r>
        <w:rPr>
          <w:rFonts w:hint="eastAsia" w:ascii="仿宋_GB2312" w:hAnsi="仿宋_GB2312" w:eastAsia="仿宋_GB2312" w:cs="仿宋_GB2312"/>
          <w:sz w:val="32"/>
          <w:szCs w:val="32"/>
          <w:lang w:eastAsia="zh-CN"/>
        </w:rPr>
        <w:t>加强对监管制度的学习贯彻，不断提升履职能力和管理水平，严格落实关联方认定、关联交易类型管理、关联交易审批、关联交易报告和披露、严肃责任追究等工作要求，确保关联交易规范统一、规范管理，防范关联交易风险。</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rPr>
        <w:t>（二）</w:t>
      </w:r>
      <w:r>
        <w:rPr>
          <w:rFonts w:hint="eastAsia" w:ascii="楷体" w:hAnsi="楷体" w:eastAsia="楷体" w:cs="楷体"/>
          <w:sz w:val="32"/>
          <w:szCs w:val="32"/>
          <w:lang w:eastAsia="zh-CN"/>
        </w:rPr>
        <w:t>规范管理运行</w:t>
      </w:r>
      <w:r>
        <w:rPr>
          <w:rFonts w:hint="eastAsia" w:ascii="楷体" w:hAnsi="楷体" w:eastAsia="楷体" w:cs="楷体"/>
          <w:sz w:val="32"/>
          <w:szCs w:val="32"/>
        </w:rPr>
        <w:t>。</w:t>
      </w:r>
      <w:r>
        <w:rPr>
          <w:rFonts w:hint="eastAsia" w:ascii="仿宋_GB2312" w:hAnsi="仿宋_GB2312" w:eastAsia="仿宋_GB2312" w:cs="仿宋_GB2312"/>
          <w:sz w:val="32"/>
          <w:szCs w:val="32"/>
          <w:lang w:eastAsia="zh-CN"/>
        </w:rPr>
        <w:t>加强关联交易管理是高质量发展的重要保障，要高度重视，严格按照管理办法规定程序开展关联交易日常管理工作，加强关联交易风险管理，防范利益输送、防止违规操作，保障稳健发展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要组织学习培训，按要求开展专项审计，提升关联交易管理意识和管理水平。</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pPr>
      <w:r>
        <w:rPr>
          <w:rFonts w:hint="eastAsia" w:ascii="楷体" w:hAnsi="楷体" w:eastAsia="楷体" w:cs="楷体"/>
          <w:sz w:val="32"/>
          <w:szCs w:val="32"/>
        </w:rPr>
        <w:t>（三）</w:t>
      </w:r>
      <w:r>
        <w:rPr>
          <w:rFonts w:hint="eastAsia" w:ascii="楷体" w:hAnsi="楷体" w:eastAsia="楷体" w:cs="楷体"/>
          <w:sz w:val="32"/>
          <w:szCs w:val="32"/>
          <w:lang w:eastAsia="zh-CN"/>
        </w:rPr>
        <w:t>强化监测调度</w:t>
      </w:r>
      <w:r>
        <w:rPr>
          <w:rFonts w:hint="eastAsia" w:ascii="楷体" w:hAnsi="楷体" w:eastAsia="楷体" w:cs="楷体"/>
          <w:sz w:val="32"/>
          <w:szCs w:val="32"/>
        </w:rPr>
        <w:t>。</w:t>
      </w:r>
      <w:r>
        <w:rPr>
          <w:rFonts w:hint="eastAsia" w:ascii="仿宋_GB2312" w:hAnsi="仿宋_GB2312" w:eastAsia="仿宋_GB2312" w:cs="仿宋_GB2312"/>
          <w:sz w:val="32"/>
          <w:szCs w:val="32"/>
          <w:lang w:eastAsia="zh-CN"/>
        </w:rPr>
        <w:t>及时总结关联交易控制委员会工作情况，包括不限于委员会基本情节、决策和执行情况等；结合实际及时梳理关联交易管理制度建设规范，全面关注关联交易工作开展情况，包括关联方认定、关联交易审批定价和现状、监管规定执行等，确保关联交易管理取得实效</w:t>
      </w:r>
      <w:r>
        <w:rPr>
          <w:rFonts w:hint="eastAsia" w:ascii="仿宋_GB2312" w:hAnsi="仿宋_GB2312" w:eastAsia="仿宋_GB2312" w:cs="仿宋_GB2312"/>
          <w:sz w:val="32"/>
          <w:szCs w:val="32"/>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jEyOTAxNDEzYTZiOTk5NDczNjlhMDYxOTA4YzgifQ=="/>
  </w:docVars>
  <w:rsids>
    <w:rsidRoot w:val="00000000"/>
    <w:rsid w:val="00F67B05"/>
    <w:rsid w:val="2A092519"/>
    <w:rsid w:val="34FA3731"/>
    <w:rsid w:val="35825065"/>
    <w:rsid w:val="3B6D55DA"/>
    <w:rsid w:val="411D4349"/>
    <w:rsid w:val="49ED5ACC"/>
    <w:rsid w:val="4A2E3A7E"/>
    <w:rsid w:val="55CD2AB2"/>
    <w:rsid w:val="7D6709AD"/>
    <w:rsid w:val="7D8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Other|1"/>
    <w:basedOn w:val="1"/>
    <w:qFormat/>
    <w:uiPriority w:val="0"/>
    <w:pPr>
      <w:widowControl w:val="0"/>
      <w:shd w:val="clear" w:color="auto" w:fill="auto"/>
      <w:spacing w:line="444"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4746</Words>
  <Characters>5178</Characters>
  <Lines>0</Lines>
  <Paragraphs>0</Paragraphs>
  <TotalTime>22</TotalTime>
  <ScaleCrop>false</ScaleCrop>
  <LinksUpToDate>false</LinksUpToDate>
  <CharactersWithSpaces>5227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2024-03-18T08:56:00Z</dcterms:created>
  <dc:creator>Administrator</dc:creator>
  <cp:lastModifiedBy>108113-何元</cp:lastModifiedBy>
  <cp:lastPrinted>2025-01-13T08:07:00Z</cp:lastPrinted>
  <dcterms:modified xsi:type="dcterms:W3CDTF">2026-03-26T02:32:19Z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E7825CFBFAA44B99B6942C49C896AE0B_12</vt:lpwstr>
  </property>
  <property fmtid="{D5CDD505-2E9C-101B-9397-08002B2CF9AE}" pid="4" name="KSOTemplateDocerSaveRecord">
    <vt:lpwstr>eyJoZGlkIjoiMjljZjEyOTAxNDEzYTZiOTk5NDczNjlhMDYxOTA4YzgiLCJ1c2VySWQiOiIyNTk4ODM0MTEifQ==</vt:lpwstr>
  </property>
</Properties>
</file>