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6" w:rightChars="-12"/>
        <w:jc w:val="center"/>
        <w:rPr>
          <w:rFonts w:ascii="Times New Roman" w:hAnsi="Times New Roman" w:eastAsia="方正小标宋简体" w:cs="Times New Roman"/>
          <w:w w:val="105"/>
          <w:sz w:val="36"/>
          <w:szCs w:val="30"/>
          <w:lang w:eastAsia="zh-CN"/>
        </w:rPr>
      </w:pPr>
      <w:bookmarkStart w:id="0" w:name="_GoBack"/>
      <w:bookmarkEnd w:id="0"/>
      <w:r>
        <w:rPr>
          <w:rFonts w:ascii="Times New Roman" w:hAnsi="Times New Roman" w:eastAsia="方正小标宋简体" w:cs="Times New Roman"/>
          <w:sz w:val="36"/>
          <w:szCs w:val="30"/>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ascii="Times New Roman" w:hAnsi="Times New Roman" w:eastAsia="方正小标宋简体" w:cs="Times New Roman"/>
          <w:w w:val="105"/>
          <w:sz w:val="36"/>
          <w:szCs w:val="30"/>
          <w:lang w:eastAsia="zh-CN"/>
        </w:rPr>
        <w:t>贵阳农商银行超值宝</w:t>
      </w:r>
      <w:r>
        <w:rPr>
          <w:rFonts w:hint="eastAsia" w:ascii="Times New Roman" w:hAnsi="Times New Roman" w:eastAsia="方正小标宋简体" w:cs="Times New Roman"/>
          <w:w w:val="105"/>
          <w:sz w:val="36"/>
          <w:szCs w:val="30"/>
          <w:lang w:val="en-US" w:eastAsia="zh-CN"/>
        </w:rPr>
        <w:t>3</w:t>
      </w:r>
      <w:r>
        <w:rPr>
          <w:rFonts w:hint="eastAsia" w:ascii="Times New Roman" w:hAnsi="Times New Roman" w:eastAsia="方正小标宋简体" w:cs="Times New Roman"/>
          <w:w w:val="105"/>
          <w:sz w:val="36"/>
          <w:szCs w:val="30"/>
          <w:lang w:eastAsia="zh-CN"/>
        </w:rPr>
        <w:t>年</w:t>
      </w:r>
      <w:r>
        <w:rPr>
          <w:rFonts w:hint="eastAsia" w:ascii="Times New Roman" w:hAnsi="Times New Roman" w:eastAsia="方正小标宋简体" w:cs="Times New Roman"/>
          <w:w w:val="105"/>
          <w:sz w:val="36"/>
          <w:szCs w:val="30"/>
          <w:lang w:val="en-US" w:eastAsia="zh-CN"/>
        </w:rPr>
        <w:t>38</w:t>
      </w:r>
      <w:r>
        <w:rPr>
          <w:rFonts w:hint="eastAsia" w:ascii="Times New Roman" w:hAnsi="Times New Roman" w:eastAsia="方正小标宋简体" w:cs="Times New Roman"/>
          <w:w w:val="105"/>
          <w:sz w:val="36"/>
          <w:szCs w:val="30"/>
          <w:lang w:eastAsia="zh-CN"/>
        </w:rPr>
        <w:t>期</w:t>
      </w:r>
    </w:p>
    <w:p>
      <w:pPr>
        <w:ind w:right="-26" w:rightChars="-12"/>
        <w:jc w:val="center"/>
        <w:rPr>
          <w:rFonts w:ascii="Times New Roman" w:hAnsi="Times New Roman" w:eastAsia="方正小标宋简体" w:cs="Times New Roman"/>
          <w:w w:val="105"/>
          <w:sz w:val="36"/>
          <w:szCs w:val="30"/>
          <w:lang w:eastAsia="zh-CN"/>
        </w:rPr>
      </w:pPr>
      <w:r>
        <w:rPr>
          <w:rFonts w:hint="eastAsia" w:ascii="Times New Roman" w:hAnsi="Times New Roman" w:eastAsia="方正小标宋简体" w:cs="Times New Roman"/>
          <w:w w:val="105"/>
          <w:sz w:val="36"/>
          <w:szCs w:val="30"/>
          <w:lang w:eastAsia="zh-CN"/>
        </w:rPr>
        <w:t>理财产品说明书</w:t>
      </w:r>
      <w:permStart w:id="0" w:edGrp="everyone"/>
      <w:permEnd w:id="0"/>
    </w:p>
    <w:p>
      <w:pPr>
        <w:ind w:right="-6519" w:rightChars="-2963" w:firstLine="480" w:firstLineChars="200"/>
        <w:rPr>
          <w:rFonts w:ascii="Times New Roman" w:hAnsi="黑体" w:eastAsia="黑体" w:cs="Times New Roman"/>
          <w:sz w:val="24"/>
          <w:szCs w:val="24"/>
          <w:lang w:eastAsia="zh-CN"/>
        </w:rPr>
      </w:pPr>
    </w:p>
    <w:p>
      <w:pPr>
        <w:ind w:right="-6519" w:rightChars="-2963" w:firstLine="480" w:firstLineChars="200"/>
        <w:rPr>
          <w:rFonts w:ascii="Times New Roman" w:hAnsi="Times New Roman" w:eastAsia="黑体" w:cs="Times New Roman"/>
          <w:sz w:val="24"/>
          <w:szCs w:val="24"/>
          <w:lang w:eastAsia="zh-CN"/>
        </w:rPr>
      </w:pPr>
      <w:r>
        <w:rPr>
          <w:rFonts w:ascii="Times New Roman" w:hAnsi="黑体" w:eastAsia="黑体" w:cs="Times New Roman"/>
          <w:sz w:val="24"/>
          <w:szCs w:val="24"/>
          <w:lang w:eastAsia="zh-CN"/>
        </w:rPr>
        <w:t>一、产品要素</w:t>
      </w:r>
    </w:p>
    <w:tbl>
      <w:tblPr>
        <w:tblStyle w:val="13"/>
        <w:tblW w:w="8699" w:type="dxa"/>
        <w:tblInd w:w="105" w:type="dxa"/>
        <w:tblLayout w:type="fixed"/>
        <w:tblCellMar>
          <w:top w:w="0" w:type="dxa"/>
          <w:left w:w="0" w:type="dxa"/>
          <w:bottom w:w="0" w:type="dxa"/>
          <w:right w:w="0" w:type="dxa"/>
        </w:tblCellMar>
      </w:tblPr>
      <w:tblGrid>
        <w:gridCol w:w="1753"/>
        <w:gridCol w:w="6946"/>
      </w:tblGrid>
      <w:tr>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pPr>
              <w:pStyle w:val="17"/>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超值宝</w:t>
            </w:r>
            <w:r>
              <w:rPr>
                <w:rFonts w:hint="eastAsia" w:ascii="仿宋_GB2312" w:eastAsia="仿宋_GB2312" w:cs="Times New Roman" w:hAnsiTheme="minorEastAsia"/>
                <w:sz w:val="20"/>
                <w:szCs w:val="18"/>
                <w:lang w:val="en-US" w:eastAsia="zh-CN"/>
              </w:rPr>
              <w:t>3</w:t>
            </w:r>
            <w:r>
              <w:rPr>
                <w:rFonts w:hint="eastAsia" w:ascii="仿宋_GB2312" w:eastAsia="仿宋_GB2312" w:cs="Times New Roman" w:hAnsiTheme="minorEastAsia"/>
                <w:sz w:val="20"/>
                <w:szCs w:val="18"/>
                <w:lang w:eastAsia="zh-CN"/>
              </w:rPr>
              <w:t>年3</w:t>
            </w:r>
            <w:r>
              <w:rPr>
                <w:rFonts w:hint="eastAsia" w:ascii="仿宋_GB2312" w:eastAsia="仿宋_GB2312" w:cs="Times New Roman" w:hAnsiTheme="minorEastAsia"/>
                <w:sz w:val="20"/>
                <w:szCs w:val="18"/>
                <w:lang w:val="en-US" w:eastAsia="zh-CN"/>
              </w:rPr>
              <w:t>8</w:t>
            </w:r>
            <w:r>
              <w:rPr>
                <w:rFonts w:hint="eastAsia" w:ascii="仿宋_GB2312" w:eastAsia="仿宋_GB2312" w:cs="Times New Roman" w:hAnsiTheme="minorEastAsia"/>
                <w:sz w:val="20"/>
                <w:szCs w:val="18"/>
                <w:lang w:eastAsia="zh-CN"/>
              </w:rPr>
              <w:t>期理财产品</w:t>
            </w:r>
          </w:p>
        </w:tc>
      </w:tr>
      <w:tr>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产品编号</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0"/>
              <w:jc w:val="center"/>
              <w:rPr>
                <w:rFonts w:hint="default" w:ascii="仿宋_GB2312" w:hAnsi="Times New Roman" w:eastAsia="仿宋_GB2312" w:cs="Times New Roman"/>
                <w:sz w:val="20"/>
                <w:lang w:val="en-US" w:eastAsia="zh"/>
              </w:rPr>
            </w:pPr>
            <w:r>
              <w:rPr>
                <w:rFonts w:hint="eastAsia" w:ascii="仿宋_GB2312" w:hAnsi="Times New Roman" w:eastAsia="仿宋_GB2312" w:cs="Times New Roman"/>
                <w:sz w:val="20"/>
                <w:lang w:eastAsia="zh-CN"/>
              </w:rPr>
              <w:t>GRCB0120230</w:t>
            </w:r>
            <w:r>
              <w:rPr>
                <w:rFonts w:hint="eastAsia" w:ascii="仿宋_GB2312" w:hAnsi="Times New Roman" w:eastAsia="仿宋_GB2312" w:cs="Times New Roman"/>
                <w:sz w:val="20"/>
                <w:lang w:val="en-US" w:eastAsia="zh-CN"/>
              </w:rPr>
              <w:t>92</w:t>
            </w:r>
          </w:p>
        </w:tc>
      </w:tr>
      <w:tr>
        <w:tblPrEx>
          <w:tblCellMar>
            <w:top w:w="0" w:type="dxa"/>
            <w:left w:w="0" w:type="dxa"/>
            <w:bottom w:w="0" w:type="dxa"/>
            <w:right w:w="0" w:type="dxa"/>
          </w:tblCellMar>
        </w:tblPrEx>
        <w:trPr>
          <w:trHeight w:val="768"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ind w:left="49" w:right="6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w:t>
            </w:r>
            <w:r>
              <w:rPr>
                <w:rFonts w:hint="eastAsia" w:ascii="仿宋_GB2312" w:eastAsia="仿宋_GB2312" w:cs="Times New Roman" w:hAnsiTheme="minorEastAsia"/>
                <w:sz w:val="20"/>
                <w:szCs w:val="18"/>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C11883230000</w:t>
            </w:r>
            <w:r>
              <w:rPr>
                <w:rFonts w:hint="eastAsia" w:ascii="仿宋_GB2312" w:hAnsi="Times New Roman" w:eastAsia="仿宋_GB2312" w:cs="Times New Roman"/>
                <w:sz w:val="20"/>
                <w:lang w:val="en-US" w:eastAsia="zh-CN"/>
              </w:rPr>
              <w:t>82</w:t>
            </w:r>
          </w:p>
          <w:p>
            <w:pPr>
              <w:pStyle w:val="17"/>
              <w:ind w:left="9"/>
              <w:jc w:val="center"/>
              <w:rPr>
                <w:rFonts w:ascii="仿宋_GB2312" w:hAnsi="Times New Roman" w:eastAsia="仿宋_GB2312" w:cs="Times New Roman"/>
                <w:sz w:val="20"/>
                <w:lang w:eastAsia="zh-CN"/>
              </w:rPr>
            </w:pP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jc w:val="center"/>
              <w:rPr>
                <w:rFonts w:ascii="仿宋_GB2312" w:hAnsi="Times New Roman" w:eastAsia="仿宋_GB2312" w:cs="Times New Roman"/>
                <w:b/>
                <w:sz w:val="20"/>
                <w:szCs w:val="18"/>
                <w:lang w:eastAsia="zh-CN"/>
              </w:rPr>
            </w:pPr>
            <w:r>
              <w:rPr>
                <w:rFonts w:hint="eastAsia" w:ascii="仿宋_GB2312" w:eastAsia="仿宋_GB2312" w:cs="Times New Roman" w:hAnsiTheme="minorEastAsia"/>
                <w:b/>
                <w:sz w:val="20"/>
                <w:szCs w:val="18"/>
                <w:lang w:eastAsia="zh-CN"/>
              </w:rPr>
              <w:t>固定收益类</w:t>
            </w:r>
          </w:p>
        </w:tc>
      </w:tr>
      <w:tr>
        <w:tblPrEx>
          <w:tblCellMar>
            <w:top w:w="0" w:type="dxa"/>
            <w:left w:w="0" w:type="dxa"/>
            <w:bottom w:w="0" w:type="dxa"/>
            <w:right w:w="0" w:type="dxa"/>
          </w:tblCellMar>
        </w:tblPrEx>
        <w:trPr>
          <w:trHeight w:val="379"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jc w:val="center"/>
              <w:rPr>
                <w:rFonts w:ascii="仿宋_GB2312" w:eastAsia="仿宋_GB2312" w:cs="Times New Roman" w:hAnsiTheme="minorEastAsia"/>
                <w:b/>
                <w:sz w:val="20"/>
                <w:szCs w:val="18"/>
                <w:lang w:eastAsia="zh-CN"/>
              </w:rPr>
            </w:pPr>
            <w:r>
              <w:rPr>
                <w:rFonts w:hint="eastAsia" w:ascii="仿宋_GB2312" w:eastAsia="仿宋_GB2312" w:cs="Times New Roman" w:hAnsiTheme="minorEastAsia"/>
                <w:b/>
                <w:sz w:val="20"/>
                <w:szCs w:val="18"/>
                <w:lang w:eastAsia="zh-CN"/>
              </w:rPr>
              <w:t>公</w:t>
            </w:r>
            <w:permStart w:id="1" w:edGrp="everyone"/>
            <w:permEnd w:id="1"/>
            <w:r>
              <w:rPr>
                <w:rFonts w:hint="eastAsia" w:ascii="仿宋_GB2312" w:eastAsia="仿宋_GB2312" w:cs="Times New Roman" w:hAnsiTheme="minorEastAsia"/>
                <w:b/>
                <w:sz w:val="20"/>
                <w:szCs w:val="18"/>
                <w:lang w:eastAsia="zh-CN"/>
              </w:rPr>
              <w:t>募</w:t>
            </w:r>
          </w:p>
        </w:tc>
      </w:tr>
      <w:tr>
        <w:tblPrEx>
          <w:tblCellMar>
            <w:top w:w="0" w:type="dxa"/>
            <w:left w:w="0" w:type="dxa"/>
            <w:bottom w:w="0" w:type="dxa"/>
            <w:right w:w="0" w:type="dxa"/>
          </w:tblCellMar>
        </w:tblPrEx>
        <w:trPr>
          <w:trHeight w:val="2064"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0"/>
              <w:jc w:val="center"/>
              <w:rPr>
                <w:rFonts w:ascii="仿宋_GB2312" w:hAnsi="Times New Roman" w:eastAsia="仿宋_GB2312" w:cs="Times New Roman"/>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4.6</w:t>
            </w:r>
            <w:r>
              <w:rPr>
                <w:rFonts w:hint="eastAsia" w:ascii="仿宋_GB2312" w:eastAsia="仿宋_GB2312" w:cs="Times New Roman" w:hAnsiTheme="minorEastAsia"/>
                <w:sz w:val="20"/>
                <w:lang w:eastAsia="zh-CN"/>
              </w:rPr>
              <w:t>0%-</w:t>
            </w:r>
            <w:r>
              <w:rPr>
                <w:rFonts w:hint="eastAsia" w:ascii="仿宋_GB2312" w:eastAsia="仿宋_GB2312" w:cs="Times New Roman" w:hAnsiTheme="minorEastAsia"/>
                <w:sz w:val="20"/>
                <w:lang w:val="en-US" w:eastAsia="zh-CN"/>
              </w:rPr>
              <w:t>5.30</w:t>
            </w:r>
            <w:r>
              <w:rPr>
                <w:rFonts w:hint="eastAsia" w:ascii="仿宋_GB2312" w:eastAsia="仿宋_GB2312" w:cs="Times New Roman" w:hAnsiTheme="minorEastAsia"/>
                <w:sz w:val="20"/>
                <w:lang w:eastAsia="zh-CN"/>
              </w:rPr>
              <w:t>%】/年</w:t>
            </w:r>
          </w:p>
          <w:p>
            <w:pPr>
              <w:pStyle w:val="17"/>
              <w:ind w:left="10"/>
              <w:jc w:val="center"/>
              <w:rPr>
                <w:rFonts w:ascii="黑体" w:hAnsi="黑体" w:eastAsia="黑体" w:cs="黑体"/>
                <w:b/>
                <w:bCs/>
                <w:sz w:val="21"/>
                <w:szCs w:val="21"/>
                <w:lang w:eastAsia="zh-CN"/>
              </w:rPr>
            </w:pPr>
            <w:r>
              <w:rPr>
                <w:rFonts w:hint="eastAsia" w:ascii="黑体" w:hAnsi="黑体" w:eastAsia="黑体" w:cs="黑体"/>
                <w:b/>
                <w:bCs/>
                <w:sz w:val="18"/>
                <w:szCs w:val="18"/>
                <w:lang w:eastAsia="zh-CN"/>
              </w:rPr>
              <w:t>理财产品过往业绩不代表其未来表现，不等于理财产品实际收益，投资须谨慎</w:t>
            </w:r>
            <w:r>
              <w:rPr>
                <w:rFonts w:hint="eastAsia" w:ascii="黑体" w:hAnsi="黑体" w:eastAsia="黑体" w:cs="黑体"/>
                <w:b/>
                <w:bCs/>
                <w:sz w:val="21"/>
                <w:szCs w:val="21"/>
                <w:lang w:eastAsia="zh-CN"/>
              </w:rPr>
              <w:t>。</w:t>
            </w:r>
          </w:p>
          <w:p>
            <w:pPr>
              <w:pStyle w:val="17"/>
              <w:ind w:left="11" w:right="84" w:firstLine="36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1.</w:t>
            </w:r>
            <w:r>
              <w:rPr>
                <w:rFonts w:hint="eastAsia" w:ascii="仿宋_GB2312" w:eastAsia="仿宋_GB2312" w:cs="Times New Roman" w:hAnsiTheme="minorEastAsia"/>
                <w:sz w:val="20"/>
                <w:szCs w:val="18"/>
                <w:lang w:eastAsia="zh-CN"/>
              </w:rPr>
              <w:t>本产品为封闭式净值型产品，其业绩表现将随市场波动，具有不确定性。本产品业绩比较基准仅作为计算产品管理人业绩报酬的标准，不构成对该理财产品的任何收益承诺。</w:t>
            </w:r>
          </w:p>
          <w:p>
            <w:pPr>
              <w:pStyle w:val="17"/>
              <w:ind w:left="11" w:right="84" w:firstLine="36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产品存续期内，贵阳农商银行可根据市场情况等调整业绩比较基准，并至少于新的业绩比较基准启用日之前</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个工作日进行公告。</w:t>
            </w:r>
          </w:p>
        </w:tc>
      </w:tr>
      <w:tr>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目标客户</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稳健型、平衡型、成长型、进取型的个人理财客户</w:t>
            </w:r>
          </w:p>
        </w:tc>
      </w:tr>
      <w:tr>
        <w:tblPrEx>
          <w:tblCellMar>
            <w:top w:w="0" w:type="dxa"/>
            <w:left w:w="0" w:type="dxa"/>
            <w:bottom w:w="0" w:type="dxa"/>
            <w:right w:w="0" w:type="dxa"/>
          </w:tblCellMar>
        </w:tblPrEx>
        <w:trPr>
          <w:trHeight w:val="365"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jc w:val="center"/>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二</w:t>
            </w:r>
            <w:r>
              <w:rPr>
                <w:rFonts w:hint="eastAsia" w:ascii="仿宋_GB2312" w:eastAsia="仿宋_GB2312" w:cs="Times New Roman" w:hAnsiTheme="minorEastAsia"/>
                <w:sz w:val="20"/>
                <w:szCs w:val="18"/>
                <w:lang w:eastAsia="zh-CN"/>
              </w:rPr>
              <w:t>级（较低风险级别）</w:t>
            </w:r>
          </w:p>
        </w:tc>
      </w:tr>
      <w:tr>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1"/>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人民币</w:t>
            </w:r>
          </w:p>
        </w:tc>
      </w:tr>
      <w:tr>
        <w:tblPrEx>
          <w:tblCellMar>
            <w:top w:w="0" w:type="dxa"/>
            <w:left w:w="0" w:type="dxa"/>
            <w:bottom w:w="0" w:type="dxa"/>
            <w:right w:w="0" w:type="dxa"/>
          </w:tblCellMar>
        </w:tblPrEx>
        <w:trPr>
          <w:trHeight w:val="1073" w:hRule="exact"/>
        </w:trPr>
        <w:tc>
          <w:tcPr>
            <w:tcW w:w="1753" w:type="dxa"/>
            <w:tcBorders>
              <w:top w:val="single" w:color="000000" w:sz="4" w:space="0"/>
              <w:left w:val="single" w:color="000000" w:sz="12" w:space="0"/>
              <w:bottom w:val="single" w:color="auto"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pPr>
              <w:pStyle w:val="17"/>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产品募集上限为</w:t>
            </w:r>
            <w:r>
              <w:rPr>
                <w:rFonts w:hint="eastAsia" w:ascii="仿宋_GB2312" w:eastAsia="仿宋_GB2312" w:cs="Times New Roman" w:hAnsiTheme="minorEastAsia"/>
                <w:sz w:val="20"/>
                <w:szCs w:val="18"/>
                <w:lang w:val="en-US" w:eastAsia="zh-CN"/>
              </w:rPr>
              <w:t>6000万</w:t>
            </w:r>
            <w:r>
              <w:rPr>
                <w:rFonts w:hint="eastAsia" w:ascii="仿宋_GB2312" w:eastAsia="仿宋_GB2312" w:cs="Times New Roman" w:hAnsiTheme="minorEastAsia"/>
                <w:sz w:val="20"/>
                <w:szCs w:val="18"/>
                <w:lang w:eastAsia="zh-CN"/>
              </w:rPr>
              <w:t>元，下限为100万元。</w:t>
            </w:r>
          </w:p>
          <w:p>
            <w:pPr>
              <w:pStyle w:val="17"/>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贵阳农商银行可根据市场情况等调整产品规模上下限，并至少于调整规模上下限日之前</w:t>
            </w:r>
            <w:r>
              <w:rPr>
                <w:rFonts w:hint="eastAsia" w:ascii="仿宋_GB2312" w:hAnsi="Times New Roman" w:eastAsia="仿宋_GB2312" w:cs="Times New Roman"/>
                <w:b/>
                <w:bCs/>
                <w:sz w:val="20"/>
                <w:szCs w:val="18"/>
                <w:lang w:eastAsia="zh-CN"/>
              </w:rPr>
              <w:t>2</w:t>
            </w:r>
            <w:r>
              <w:rPr>
                <w:rFonts w:hint="eastAsia" w:ascii="仿宋_GB2312" w:eastAsia="仿宋_GB2312" w:cs="Times New Roman" w:hAnsiTheme="minorEastAsia"/>
                <w:sz w:val="20"/>
                <w:szCs w:val="18"/>
                <w:lang w:eastAsia="zh-CN"/>
              </w:rPr>
              <w:t>个工作日进行公告。</w:t>
            </w:r>
          </w:p>
        </w:tc>
      </w:tr>
      <w:tr>
        <w:tblPrEx>
          <w:tblCellMar>
            <w:top w:w="0" w:type="dxa"/>
            <w:left w:w="0" w:type="dxa"/>
            <w:bottom w:w="0" w:type="dxa"/>
            <w:right w:w="0" w:type="dxa"/>
          </w:tblCellMar>
        </w:tblPrEx>
        <w:trPr>
          <w:trHeight w:val="421" w:hRule="exact"/>
        </w:trPr>
        <w:tc>
          <w:tcPr>
            <w:tcW w:w="1753" w:type="dxa"/>
            <w:tcBorders>
              <w:top w:val="single" w:color="000000" w:sz="4" w:space="0"/>
              <w:left w:val="single" w:color="000000" w:sz="12" w:space="0"/>
              <w:bottom w:val="single" w:color="auto" w:sz="4" w:space="0"/>
              <w:right w:val="single" w:color="000000" w:sz="4" w:space="0"/>
            </w:tcBorders>
            <w:vAlign w:val="center"/>
          </w:tcPr>
          <w:p>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认购面值</w:t>
            </w:r>
          </w:p>
        </w:tc>
        <w:tc>
          <w:tcPr>
            <w:tcW w:w="6946" w:type="dxa"/>
            <w:tcBorders>
              <w:top w:val="single" w:color="000000" w:sz="4" w:space="0"/>
              <w:left w:val="single" w:color="000000" w:sz="4" w:space="0"/>
              <w:bottom w:val="single" w:color="auto" w:sz="4" w:space="0"/>
              <w:right w:val="single" w:color="000000" w:sz="12" w:space="0"/>
            </w:tcBorders>
            <w:vAlign w:val="center"/>
          </w:tcPr>
          <w:p>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本理财产品认购面值为</w:t>
            </w:r>
            <w:r>
              <w:rPr>
                <w:rFonts w:hint="eastAsia" w:ascii="仿宋_GB2312" w:hAnsi="Times New Roman" w:eastAsia="仿宋_GB2312" w:cs="Times New Roman"/>
                <w:sz w:val="20"/>
                <w:szCs w:val="18"/>
                <w:lang w:eastAsia="zh-CN"/>
              </w:rPr>
              <w:t>1</w:t>
            </w:r>
            <w:r>
              <w:rPr>
                <w:rFonts w:hint="eastAsia" w:ascii="仿宋_GB2312" w:eastAsia="仿宋_GB2312" w:cs="Times New Roman" w:hAnsiTheme="minorEastAsia"/>
                <w:sz w:val="20"/>
                <w:szCs w:val="18"/>
                <w:lang w:eastAsia="zh-CN"/>
              </w:rPr>
              <w:t>元</w:t>
            </w:r>
            <w:r>
              <w:rPr>
                <w:rFonts w:hint="eastAsia" w:ascii="仿宋_GB2312" w:hAnsi="Times New Roman" w:eastAsia="仿宋_GB2312" w:cs="Times New Roman"/>
                <w:sz w:val="20"/>
                <w:szCs w:val="18"/>
                <w:lang w:eastAsia="zh-CN"/>
              </w:rPr>
              <w:t>/</w:t>
            </w:r>
            <w:r>
              <w:rPr>
                <w:rFonts w:hint="eastAsia" w:ascii="仿宋_GB2312" w:eastAsia="仿宋_GB2312" w:cs="Times New Roman" w:hAnsiTheme="minorEastAsia"/>
                <w:sz w:val="20"/>
                <w:szCs w:val="18"/>
                <w:lang w:eastAsia="zh-CN"/>
              </w:rPr>
              <w:t>份，即单位份额净值为</w:t>
            </w:r>
            <w:r>
              <w:rPr>
                <w:rFonts w:hint="eastAsia" w:ascii="仿宋_GB2312" w:hAnsi="Times New Roman" w:eastAsia="仿宋_GB2312" w:cs="Times New Roman"/>
                <w:sz w:val="20"/>
                <w:szCs w:val="18"/>
                <w:lang w:eastAsia="zh-CN"/>
              </w:rPr>
              <w:t>1</w:t>
            </w:r>
            <w:r>
              <w:rPr>
                <w:rFonts w:hint="eastAsia" w:ascii="仿宋_GB2312" w:eastAsia="仿宋_GB2312" w:cs="Times New Roman" w:hAnsiTheme="minorEastAsia"/>
                <w:sz w:val="20"/>
                <w:szCs w:val="18"/>
                <w:lang w:eastAsia="zh-CN"/>
              </w:rPr>
              <w:t>元</w:t>
            </w:r>
            <w:r>
              <w:rPr>
                <w:rFonts w:hint="eastAsia" w:ascii="仿宋_GB2312" w:hAnsi="Times New Roman" w:eastAsia="仿宋_GB2312" w:cs="Times New Roman"/>
                <w:sz w:val="20"/>
                <w:szCs w:val="18"/>
                <w:lang w:eastAsia="zh-CN"/>
              </w:rPr>
              <w:t>/</w:t>
            </w:r>
            <w:r>
              <w:rPr>
                <w:rFonts w:hint="eastAsia" w:ascii="仿宋_GB2312" w:eastAsia="仿宋_GB2312" w:cs="Times New Roman" w:hAnsiTheme="minorEastAsia"/>
                <w:sz w:val="20"/>
                <w:szCs w:val="18"/>
                <w:lang w:eastAsia="zh-CN"/>
              </w:rPr>
              <w:t>份</w:t>
            </w:r>
          </w:p>
        </w:tc>
      </w:tr>
      <w:tr>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销售渠道</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1"/>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、电子渠道</w:t>
            </w:r>
          </w:p>
        </w:tc>
      </w:tr>
      <w:tr>
        <w:tblPrEx>
          <w:tblCellMar>
            <w:top w:w="0" w:type="dxa"/>
            <w:left w:w="0" w:type="dxa"/>
            <w:bottom w:w="0" w:type="dxa"/>
            <w:right w:w="0" w:type="dxa"/>
          </w:tblCellMar>
        </w:tblPrEx>
        <w:trPr>
          <w:trHeight w:val="684"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产品认购期</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26"/>
              <w:jc w:val="center"/>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202</w:t>
            </w: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年</w:t>
            </w:r>
            <w:r>
              <w:rPr>
                <w:rFonts w:hint="eastAsia" w:ascii="仿宋_GB2312" w:hAnsi="Times New Roman" w:eastAsia="仿宋_GB2312" w:cs="Times New Roman"/>
                <w:sz w:val="20"/>
                <w:szCs w:val="18"/>
                <w:lang w:val="en-US" w:eastAsia="zh-CN"/>
              </w:rPr>
              <w:t>7</w:t>
            </w:r>
            <w:r>
              <w:rPr>
                <w:rFonts w:hint="eastAsia" w:ascii="仿宋_GB2312" w:hAnsi="Times New Roman" w:eastAsia="仿宋_GB2312" w:cs="Times New Roman"/>
                <w:sz w:val="20"/>
                <w:szCs w:val="18"/>
                <w:lang w:eastAsia="zh-CN"/>
              </w:rPr>
              <w:t>月</w:t>
            </w:r>
            <w:r>
              <w:rPr>
                <w:rFonts w:hint="eastAsia" w:ascii="仿宋_GB2312" w:hAnsi="Times New Roman" w:eastAsia="仿宋_GB2312" w:cs="Times New Roman"/>
                <w:sz w:val="20"/>
                <w:szCs w:val="18"/>
                <w:lang w:val="en-US" w:eastAsia="zh-CN"/>
              </w:rPr>
              <w:t>18</w:t>
            </w:r>
            <w:r>
              <w:rPr>
                <w:rFonts w:hint="eastAsia" w:ascii="仿宋_GB2312" w:hAnsi="Times New Roman" w:eastAsia="仿宋_GB2312" w:cs="Times New Roman"/>
                <w:sz w:val="20"/>
                <w:szCs w:val="18"/>
                <w:lang w:eastAsia="zh-CN"/>
              </w:rPr>
              <w:t>日9：00至202</w:t>
            </w: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年</w:t>
            </w:r>
            <w:r>
              <w:rPr>
                <w:rFonts w:hint="eastAsia" w:ascii="仿宋_GB2312" w:hAnsi="Times New Roman" w:eastAsia="仿宋_GB2312" w:cs="Times New Roman"/>
                <w:sz w:val="20"/>
                <w:szCs w:val="18"/>
                <w:lang w:val="en-US" w:eastAsia="zh-CN"/>
              </w:rPr>
              <w:t>7</w:t>
            </w:r>
            <w:r>
              <w:rPr>
                <w:rFonts w:hint="eastAsia" w:ascii="仿宋_GB2312" w:hAnsi="Times New Roman" w:eastAsia="仿宋_GB2312" w:cs="Times New Roman"/>
                <w:sz w:val="20"/>
                <w:szCs w:val="18"/>
                <w:lang w:eastAsia="zh-CN"/>
              </w:rPr>
              <w:t>月</w:t>
            </w:r>
            <w:r>
              <w:rPr>
                <w:rFonts w:hint="eastAsia" w:ascii="仿宋_GB2312" w:hAnsi="Times New Roman" w:eastAsia="仿宋_GB2312" w:cs="Times New Roman"/>
                <w:sz w:val="20"/>
                <w:szCs w:val="18"/>
                <w:lang w:val="en-US" w:eastAsia="zh-CN"/>
              </w:rPr>
              <w:t>24</w:t>
            </w:r>
            <w:r>
              <w:rPr>
                <w:rFonts w:hint="eastAsia" w:ascii="仿宋_GB2312" w:hAnsi="Times New Roman" w:eastAsia="仿宋_GB2312" w:cs="Times New Roman"/>
                <w:sz w:val="20"/>
                <w:szCs w:val="18"/>
                <w:lang w:eastAsia="zh-CN"/>
              </w:rPr>
              <w:t>日17：00</w:t>
            </w:r>
          </w:p>
          <w:p>
            <w:pPr>
              <w:pStyle w:val="17"/>
              <w:ind w:left="26" w:leftChars="0"/>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认购期内客户可以进行认购、追加、撤单。</w:t>
            </w:r>
          </w:p>
        </w:tc>
      </w:tr>
      <w:tr>
        <w:tblPrEx>
          <w:tblCellMar>
            <w:top w:w="0" w:type="dxa"/>
            <w:left w:w="0" w:type="dxa"/>
            <w:bottom w:w="0" w:type="dxa"/>
            <w:right w:w="0" w:type="dxa"/>
          </w:tblCellMar>
        </w:tblPrEx>
        <w:trPr>
          <w:trHeight w:val="638"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工作日</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2123" w:leftChars="0" w:right="41" w:rightChars="0" w:hanging="2069" w:firstLineChars="0"/>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产品存续期内每一国家法定工作日为工作日；如遇特殊情况，以贵阳农商银行具体公告为准。</w:t>
            </w:r>
          </w:p>
        </w:tc>
      </w:tr>
      <w:tr>
        <w:tblPrEx>
          <w:tblCellMar>
            <w:top w:w="0" w:type="dxa"/>
            <w:left w:w="0" w:type="dxa"/>
            <w:bottom w:w="0" w:type="dxa"/>
            <w:right w:w="0" w:type="dxa"/>
          </w:tblCellMar>
        </w:tblPrEx>
        <w:trPr>
          <w:trHeight w:val="1105"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产品成立日</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1" w:right="89" w:firstLine="93"/>
              <w:jc w:val="center"/>
              <w:rPr>
                <w:rFonts w:hint="eastAsia"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202</w:t>
            </w: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年</w:t>
            </w:r>
            <w:r>
              <w:rPr>
                <w:rFonts w:hint="eastAsia" w:ascii="仿宋_GB2312" w:hAnsi="Times New Roman" w:eastAsia="仿宋_GB2312" w:cs="Times New Roman"/>
                <w:sz w:val="20"/>
                <w:szCs w:val="18"/>
                <w:lang w:val="en-US" w:eastAsia="zh-CN"/>
              </w:rPr>
              <w:t>7</w:t>
            </w:r>
            <w:r>
              <w:rPr>
                <w:rFonts w:hint="eastAsia" w:ascii="仿宋_GB2312" w:hAnsi="Times New Roman" w:eastAsia="仿宋_GB2312" w:cs="Times New Roman"/>
                <w:sz w:val="20"/>
                <w:szCs w:val="18"/>
                <w:lang w:eastAsia="zh-CN"/>
              </w:rPr>
              <w:t>月</w:t>
            </w:r>
            <w:r>
              <w:rPr>
                <w:rFonts w:hint="eastAsia" w:ascii="仿宋_GB2312" w:hAnsi="Times New Roman" w:eastAsia="仿宋_GB2312" w:cs="Times New Roman"/>
                <w:sz w:val="20"/>
                <w:szCs w:val="18"/>
                <w:lang w:val="en-US" w:eastAsia="zh-CN"/>
              </w:rPr>
              <w:t>25</w:t>
            </w:r>
            <w:r>
              <w:rPr>
                <w:rFonts w:hint="eastAsia" w:ascii="仿宋_GB2312" w:hAnsi="Times New Roman" w:eastAsia="仿宋_GB2312" w:cs="Times New Roman"/>
                <w:sz w:val="20"/>
                <w:szCs w:val="18"/>
                <w:lang w:eastAsia="zh-CN"/>
              </w:rPr>
              <w:t>日</w:t>
            </w:r>
          </w:p>
          <w:p>
            <w:pPr>
              <w:pStyle w:val="17"/>
              <w:ind w:left="11" w:leftChars="0" w:right="89" w:rightChars="0" w:firstLine="93" w:firstLineChars="0"/>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贵阳农商银行有权结束募集并提前成立产品，并至少于提前成立日进行公告，产品成立日以公告为准。</w:t>
            </w:r>
          </w:p>
        </w:tc>
      </w:tr>
      <w:tr>
        <w:tblPrEx>
          <w:tblCellMar>
            <w:top w:w="0" w:type="dxa"/>
            <w:left w:w="0" w:type="dxa"/>
            <w:bottom w:w="0" w:type="dxa"/>
            <w:right w:w="0" w:type="dxa"/>
          </w:tblCellMar>
        </w:tblPrEx>
        <w:trPr>
          <w:trHeight w:val="1121"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43" w:right="29" w:firstLine="2"/>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1094</w:t>
            </w:r>
            <w:r>
              <w:rPr>
                <w:rFonts w:hint="eastAsia" w:ascii="仿宋_GB2312" w:eastAsia="仿宋_GB2312" w:cs="Times New Roman" w:hAnsiTheme="minorEastAsia"/>
                <w:sz w:val="20"/>
                <w:szCs w:val="18"/>
                <w:lang w:eastAsia="zh-CN"/>
              </w:rPr>
              <w:t>天（不含产品到期日）</w:t>
            </w:r>
          </w:p>
          <w:p>
            <w:pPr>
              <w:pStyle w:val="17"/>
              <w:ind w:left="43" w:right="29" w:firstLine="2"/>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贵阳农商银行有权提前终止产品。贵阳农商银行提前终止产品时，将至少于提前终止日之前</w:t>
            </w:r>
            <w:r>
              <w:rPr>
                <w:rFonts w:hint="eastAsia" w:ascii="仿宋_GB2312" w:hAnsi="Times New Roman" w:eastAsia="仿宋_GB2312" w:cs="Times New Roman"/>
                <w:b/>
                <w:bCs/>
                <w:sz w:val="20"/>
                <w:szCs w:val="18"/>
                <w:lang w:eastAsia="zh-CN"/>
              </w:rPr>
              <w:t>2</w:t>
            </w:r>
            <w:r>
              <w:rPr>
                <w:rFonts w:hint="eastAsia" w:ascii="仿宋_GB2312" w:eastAsia="仿宋_GB2312" w:cs="Times New Roman" w:hAnsiTheme="minorEastAsia"/>
                <w:sz w:val="20"/>
                <w:szCs w:val="18"/>
                <w:lang w:eastAsia="zh-CN"/>
              </w:rPr>
              <w:t>个工作日进行公告。</w:t>
            </w:r>
          </w:p>
        </w:tc>
      </w:tr>
      <w:tr>
        <w:tblPrEx>
          <w:tblCellMar>
            <w:top w:w="0" w:type="dxa"/>
            <w:left w:w="0" w:type="dxa"/>
            <w:bottom w:w="0" w:type="dxa"/>
            <w:right w:w="0" w:type="dxa"/>
          </w:tblCellMar>
        </w:tblPrEx>
        <w:trPr>
          <w:trHeight w:val="641"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产品到期日</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1"/>
              <w:jc w:val="center"/>
              <w:rPr>
                <w:rFonts w:ascii="仿宋_GB2312" w:hAnsi="Times New Roman" w:eastAsia="仿宋_GB2312" w:cs="Times New Roman"/>
                <w:sz w:val="20"/>
                <w:szCs w:val="18"/>
                <w:lang w:eastAsia="zh-CN"/>
              </w:rPr>
            </w:pPr>
            <w:r>
              <w:rPr>
                <w:rFonts w:ascii="仿宋_GB2312" w:hAnsi="Times New Roman" w:eastAsia="仿宋_GB2312" w:cs="Times New Roman"/>
                <w:sz w:val="20"/>
                <w:szCs w:val="18"/>
                <w:lang w:eastAsia="zh-CN"/>
              </w:rPr>
              <w:t>20</w:t>
            </w:r>
            <w:r>
              <w:rPr>
                <w:rFonts w:hint="eastAsia" w:ascii="仿宋_GB2312" w:hAnsi="Times New Roman" w:eastAsia="仿宋_GB2312" w:cs="Times New Roman"/>
                <w:sz w:val="20"/>
                <w:szCs w:val="18"/>
                <w:lang w:eastAsia="zh-CN"/>
              </w:rPr>
              <w:t>2</w:t>
            </w:r>
            <w:r>
              <w:rPr>
                <w:rFonts w:hint="eastAsia" w:ascii="仿宋_GB2312" w:hAnsi="Times New Roman" w:eastAsia="仿宋_GB2312" w:cs="Times New Roman"/>
                <w:sz w:val="20"/>
                <w:szCs w:val="18"/>
                <w:lang w:val="en-US" w:eastAsia="zh-CN"/>
              </w:rPr>
              <w:t>6</w:t>
            </w:r>
            <w:r>
              <w:rPr>
                <w:rFonts w:hint="eastAsia" w:ascii="仿宋_GB2312" w:hAnsi="Times New Roman" w:eastAsia="仿宋_GB2312" w:cs="Times New Roman"/>
                <w:sz w:val="20"/>
                <w:szCs w:val="18"/>
                <w:lang w:eastAsia="zh-CN"/>
              </w:rPr>
              <w:t>年</w:t>
            </w:r>
            <w:r>
              <w:rPr>
                <w:rFonts w:hint="eastAsia" w:ascii="仿宋_GB2312" w:hAnsi="Times New Roman" w:eastAsia="仿宋_GB2312" w:cs="Times New Roman"/>
                <w:sz w:val="20"/>
                <w:szCs w:val="18"/>
                <w:lang w:val="en-US" w:eastAsia="zh-CN"/>
              </w:rPr>
              <w:t>7</w:t>
            </w:r>
            <w:r>
              <w:rPr>
                <w:rFonts w:hint="eastAsia" w:ascii="仿宋_GB2312" w:hAnsi="Times New Roman" w:eastAsia="仿宋_GB2312" w:cs="Times New Roman"/>
                <w:sz w:val="20"/>
                <w:szCs w:val="18"/>
                <w:lang w:eastAsia="zh-CN"/>
              </w:rPr>
              <w:t>月</w:t>
            </w:r>
            <w:r>
              <w:rPr>
                <w:rFonts w:hint="eastAsia" w:ascii="仿宋_GB2312" w:hAnsi="Times New Roman" w:eastAsia="仿宋_GB2312" w:cs="Times New Roman"/>
                <w:sz w:val="20"/>
                <w:szCs w:val="18"/>
                <w:lang w:val="en-US" w:eastAsia="zh-CN"/>
              </w:rPr>
              <w:t>23</w:t>
            </w:r>
            <w:r>
              <w:rPr>
                <w:rFonts w:hint="eastAsia" w:ascii="仿宋_GB2312" w:hAnsi="Times New Roman" w:eastAsia="仿宋_GB2312" w:cs="Times New Roman"/>
                <w:sz w:val="20"/>
                <w:szCs w:val="18"/>
                <w:lang w:eastAsia="zh-CN"/>
              </w:rPr>
              <w:t>日</w:t>
            </w:r>
          </w:p>
          <w:p>
            <w:pPr>
              <w:pStyle w:val="17"/>
              <w:ind w:left="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遇节假日顺延，到期日至兑付日之间不计息。</w:t>
            </w:r>
          </w:p>
        </w:tc>
      </w:tr>
      <w:tr>
        <w:tblPrEx>
          <w:tblCellMar>
            <w:top w:w="0" w:type="dxa"/>
            <w:left w:w="0" w:type="dxa"/>
            <w:bottom w:w="0" w:type="dxa"/>
            <w:right w:w="0" w:type="dxa"/>
          </w:tblCellMar>
        </w:tblPrEx>
        <w:trPr>
          <w:trHeight w:val="399"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产品兑付日</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1"/>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产品到期日后</w:t>
            </w:r>
            <w:r>
              <w:rPr>
                <w:rFonts w:hint="eastAsia" w:ascii="仿宋_GB2312" w:hAnsi="Times New Roman" w:eastAsia="仿宋_GB2312" w:cs="Times New Roman"/>
                <w:sz w:val="20"/>
                <w:szCs w:val="18"/>
                <w:lang w:eastAsia="zh-CN"/>
              </w:rPr>
              <w:t>3</w:t>
            </w:r>
            <w:r>
              <w:rPr>
                <w:rFonts w:hint="eastAsia" w:ascii="仿宋_GB2312" w:eastAsia="仿宋_GB2312" w:cs="Times New Roman" w:hAnsiTheme="minorEastAsia"/>
                <w:sz w:val="20"/>
                <w:szCs w:val="18"/>
                <w:lang w:eastAsia="zh-CN"/>
              </w:rPr>
              <w:t>个工作日内</w:t>
            </w:r>
          </w:p>
        </w:tc>
      </w:tr>
      <w:tr>
        <w:tblPrEx>
          <w:tblCellMar>
            <w:top w:w="0" w:type="dxa"/>
            <w:left w:w="0" w:type="dxa"/>
            <w:bottom w:w="0" w:type="dxa"/>
            <w:right w:w="0" w:type="dxa"/>
          </w:tblCellMar>
        </w:tblPrEx>
        <w:trPr>
          <w:trHeight w:val="338"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认购起点金额</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1"/>
              <w:jc w:val="center"/>
              <w:rPr>
                <w:rFonts w:ascii="仿宋_GB2312" w:hAnsi="Times New Roman" w:eastAsia="仿宋_GB2312" w:cs="Times New Roman"/>
                <w:sz w:val="20"/>
                <w:szCs w:val="18"/>
              </w:rPr>
            </w:pPr>
            <w:r>
              <w:rPr>
                <w:rFonts w:ascii="仿宋_GB2312" w:hAnsi="Times New Roman" w:eastAsia="仿宋_GB2312" w:cs="Times New Roman"/>
                <w:sz w:val="20"/>
                <w:szCs w:val="18"/>
              </w:rPr>
              <w:t>1</w:t>
            </w:r>
            <w:r>
              <w:rPr>
                <w:rFonts w:ascii="仿宋_GB2312" w:eastAsia="仿宋_GB2312" w:cs="Times New Roman" w:hAnsiTheme="minorEastAsia"/>
                <w:sz w:val="20"/>
                <w:szCs w:val="18"/>
              </w:rPr>
              <w:t>万元</w:t>
            </w:r>
          </w:p>
        </w:tc>
      </w:tr>
      <w:tr>
        <w:tblPrEx>
          <w:tblCellMar>
            <w:top w:w="0" w:type="dxa"/>
            <w:left w:w="0" w:type="dxa"/>
            <w:bottom w:w="0" w:type="dxa"/>
            <w:right w:w="0" w:type="dxa"/>
          </w:tblCellMar>
        </w:tblPrEx>
        <w:trPr>
          <w:trHeight w:val="331"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追加投资金额单位</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4"/>
              <w:jc w:val="center"/>
              <w:rPr>
                <w:rFonts w:ascii="仿宋_GB2312" w:hAnsi="Times New Roman" w:eastAsia="仿宋_GB2312" w:cs="Times New Roman"/>
                <w:sz w:val="20"/>
                <w:szCs w:val="18"/>
              </w:rPr>
            </w:pPr>
            <w:r>
              <w:rPr>
                <w:rFonts w:ascii="仿宋_GB2312" w:hAnsi="Times New Roman" w:eastAsia="仿宋_GB2312" w:cs="Times New Roman"/>
                <w:sz w:val="20"/>
                <w:szCs w:val="18"/>
              </w:rPr>
              <w:t>1</w:t>
            </w:r>
            <w:r>
              <w:rPr>
                <w:rFonts w:hint="eastAsia" w:ascii="仿宋_GB2312" w:hAnsi="Times New Roman" w:eastAsia="仿宋_GB2312" w:cs="Times New Roman"/>
                <w:sz w:val="20"/>
                <w:szCs w:val="18"/>
                <w:lang w:eastAsia="zh-CN"/>
              </w:rPr>
              <w:t>万</w:t>
            </w:r>
            <w:r>
              <w:rPr>
                <w:rFonts w:ascii="仿宋_GB2312" w:eastAsia="仿宋_GB2312" w:cs="Times New Roman" w:hAnsiTheme="minorEastAsia"/>
                <w:sz w:val="20"/>
                <w:szCs w:val="18"/>
              </w:rPr>
              <w:t>元</w:t>
            </w:r>
            <w:r>
              <w:rPr>
                <w:rFonts w:hint="eastAsia" w:ascii="仿宋_GB2312" w:eastAsia="仿宋_GB2312" w:cs="Times New Roman" w:hAnsiTheme="minorEastAsia"/>
                <w:sz w:val="20"/>
                <w:szCs w:val="18"/>
              </w:rPr>
              <w:t>的整数倍</w:t>
            </w:r>
          </w:p>
        </w:tc>
      </w:tr>
      <w:tr>
        <w:tblPrEx>
          <w:tblCellMar>
            <w:top w:w="0" w:type="dxa"/>
            <w:left w:w="0" w:type="dxa"/>
            <w:bottom w:w="0" w:type="dxa"/>
            <w:right w:w="0" w:type="dxa"/>
          </w:tblCellMar>
        </w:tblPrEx>
        <w:trPr>
          <w:trHeight w:val="1365"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产品单位净值</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2"/>
              <w:snapToGrid w:val="0"/>
              <w:spacing w:before="22" w:line="316" w:lineRule="auto"/>
              <w:ind w:left="55" w:right="41" w:firstLine="400" w:firstLineChars="200"/>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理财产品单位净值是指理财产品净资产除以理财产品总份额得出的每份理财产品当日价值。管理人每个工作日根据对应产品所投资资产市场价格计算产品总资产价值，并扣除各类成本及固定费用后，除以理财产品当日发售在外的单位总数，即为理财产品单位净值。</w:t>
            </w:r>
          </w:p>
        </w:tc>
      </w:tr>
      <w:tr>
        <w:tblPrEx>
          <w:tblCellMar>
            <w:top w:w="0" w:type="dxa"/>
            <w:left w:w="0" w:type="dxa"/>
            <w:bottom w:w="0" w:type="dxa"/>
            <w:right w:w="0" w:type="dxa"/>
          </w:tblCellMar>
        </w:tblPrEx>
        <w:trPr>
          <w:trHeight w:val="1118"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净值</w:t>
            </w:r>
            <w:r>
              <w:rPr>
                <w:rFonts w:hint="eastAsia" w:ascii="仿宋_GB2312" w:eastAsia="仿宋_GB2312" w:cs="Times New Roman" w:hAnsiTheme="minorEastAsia"/>
                <w:sz w:val="20"/>
                <w:szCs w:val="18"/>
                <w:lang w:eastAsia="zh-CN"/>
              </w:rPr>
              <w:t>公布</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2"/>
              <w:ind w:left="55" w:right="41" w:firstLine="400" w:firstLineChars="200"/>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本产品存续期内：每周前</w:t>
            </w:r>
            <w:r>
              <w:rPr>
                <w:rFonts w:hint="eastAsia" w:ascii="仿宋_GB2312" w:hAnsi="Times New Roman" w:eastAsia="仿宋_GB2312" w:cs="Times New Roman"/>
                <w:sz w:val="20"/>
                <w:szCs w:val="18"/>
                <w:lang w:eastAsia="zh-CN"/>
              </w:rPr>
              <w:t>3</w:t>
            </w:r>
            <w:r>
              <w:rPr>
                <w:rFonts w:hint="eastAsia" w:ascii="仿宋_GB2312" w:eastAsia="仿宋_GB2312" w:cs="Times New Roman" w:hAnsiTheme="minorEastAsia"/>
                <w:sz w:val="20"/>
                <w:szCs w:val="18"/>
                <w:lang w:eastAsia="zh-CN"/>
              </w:rPr>
              <w:t>个工作日内公布截至上周最后一个交易日产品单位净值。产品到期或提前终止后，在产品到期日或提前终止日（如遇非工作日，则顺延至下一个工作日）后的</w:t>
            </w:r>
            <w:r>
              <w:rPr>
                <w:rFonts w:hint="eastAsia" w:ascii="仿宋_GB2312" w:hAnsi="Times New Roman" w:eastAsia="仿宋_GB2312" w:cs="Times New Roman"/>
                <w:sz w:val="20"/>
                <w:szCs w:val="18"/>
                <w:lang w:eastAsia="zh-CN"/>
              </w:rPr>
              <w:t>3</w:t>
            </w:r>
            <w:r>
              <w:rPr>
                <w:rFonts w:hint="eastAsia" w:ascii="仿宋_GB2312" w:eastAsia="仿宋_GB2312" w:cs="Times New Roman" w:hAnsiTheme="minorEastAsia"/>
                <w:sz w:val="20"/>
                <w:szCs w:val="18"/>
                <w:lang w:eastAsia="zh-CN"/>
              </w:rPr>
              <w:t>个工作日内发布到期日或提前终止日的产品单位净值。产品单位净值的计算按照四舍五入原则，保留至小数点后</w:t>
            </w:r>
            <w:r>
              <w:rPr>
                <w:rFonts w:hint="eastAsia" w:ascii="仿宋_GB2312" w:hAnsi="Times New Roman" w:eastAsia="仿宋_GB2312" w:cs="Times New Roman"/>
                <w:sz w:val="20"/>
                <w:szCs w:val="18"/>
                <w:lang w:eastAsia="zh-CN"/>
              </w:rPr>
              <w:t>4</w:t>
            </w:r>
            <w:r>
              <w:rPr>
                <w:rFonts w:hint="eastAsia" w:ascii="仿宋_GB2312" w:eastAsia="仿宋_GB2312" w:cs="Times New Roman" w:hAnsiTheme="minorEastAsia"/>
                <w:sz w:val="20"/>
                <w:szCs w:val="18"/>
                <w:lang w:eastAsia="zh-CN"/>
              </w:rPr>
              <w:t>位。</w:t>
            </w:r>
          </w:p>
        </w:tc>
      </w:tr>
      <w:tr>
        <w:tblPrEx>
          <w:tblCellMar>
            <w:top w:w="0" w:type="dxa"/>
            <w:left w:w="0" w:type="dxa"/>
            <w:bottom w:w="0" w:type="dxa"/>
            <w:right w:w="0" w:type="dxa"/>
          </w:tblCellMar>
        </w:tblPrEx>
        <w:trPr>
          <w:trHeight w:val="711"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到期确认</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1" w:firstLine="400" w:firstLineChars="200"/>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本产品以份额到期，客户于兑付日收到资金。</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到期日产品单位净值。到期金额按四舍五入原则，保留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tblPrEx>
          <w:tblCellMar>
            <w:top w:w="0" w:type="dxa"/>
            <w:left w:w="0" w:type="dxa"/>
            <w:bottom w:w="0" w:type="dxa"/>
            <w:right w:w="0" w:type="dxa"/>
          </w:tblCellMar>
        </w:tblPrEx>
        <w:trPr>
          <w:trHeight w:val="1059"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ind w:right="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55" w:right="41" w:firstLine="400" w:firstLineChars="200"/>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贵阳农商银行暂不负责代扣代缴客户购买本产品所得收益应缴纳的各项税款。若相关法律法规、税收政策规定产品管理人应代扣代缴相关税款，贵阳农商银行有权依法履行代扣代缴义务。</w:t>
            </w:r>
          </w:p>
        </w:tc>
      </w:tr>
      <w:tr>
        <w:tblPrEx>
          <w:tblCellMar>
            <w:top w:w="0" w:type="dxa"/>
            <w:left w:w="0" w:type="dxa"/>
            <w:bottom w:w="0" w:type="dxa"/>
            <w:right w:w="0" w:type="dxa"/>
          </w:tblCellMar>
        </w:tblPrEx>
        <w:trPr>
          <w:trHeight w:val="721"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ind w:right="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其他</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55" w:right="41" w:firstLine="400" w:firstLineChars="200"/>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贵阳农商银行可根据需要对产品进行优化或升级，并至少于产品优化或升级启用日之前</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个工作日进行公告。</w:t>
            </w:r>
          </w:p>
        </w:tc>
      </w:tr>
    </w:tbl>
    <w:p>
      <w:pPr>
        <w:ind w:right="151" w:firstLine="480" w:firstLineChars="200"/>
        <w:rPr>
          <w:rFonts w:ascii="Times New Roman" w:hAnsi="Times New Roman" w:eastAsia="黑体" w:cs="Times New Roman"/>
          <w:sz w:val="24"/>
          <w:szCs w:val="24"/>
          <w:lang w:eastAsia="zh-CN"/>
        </w:rPr>
      </w:pPr>
      <w:r>
        <w:rPr>
          <w:rFonts w:ascii="Times New Roman" w:hAnsi="黑体" w:eastAsia="黑体" w:cs="Times New Roman"/>
          <w:sz w:val="24"/>
          <w:szCs w:val="24"/>
          <w:lang w:eastAsia="zh-CN"/>
        </w:rPr>
        <w:t>二、投资管理</w:t>
      </w:r>
    </w:p>
    <w:p>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本产品募集资金投资于现金类资产、货币市场工具、货币市场基金、标准化固定收益类资产和其他符合监管要求的资产，具体如下：</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5.其他符合监管要求的资产。</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（二）投资团队</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是地方国有银行，拥有专业化的银行理财产品投资管理团队和丰富的投资经验。贵阳农商银行秉承稳健经营的传统，发挥自身优势，为产品运作管理提供专业的投资管理服务，力争帮助客户实现收益。</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（三）参与主体</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理财产品管理人：贵阳农村商业银行股份有限公司</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理财产品托管人：</w:t>
      </w:r>
      <w:r>
        <w:rPr>
          <w:rFonts w:hint="eastAsia" w:ascii="仿宋_GB2312" w:eastAsia="仿宋_GB2312" w:cs="Times New Roman" w:hAnsiTheme="minorEastAsia"/>
          <w:sz w:val="20"/>
          <w:lang w:val="en-US" w:eastAsia="zh-CN"/>
        </w:rPr>
        <w:t>南京</w:t>
      </w:r>
      <w:r>
        <w:rPr>
          <w:rFonts w:hint="eastAsia" w:ascii="仿宋_GB2312" w:eastAsia="仿宋_GB2312" w:cs="Times New Roman" w:hAnsiTheme="minorEastAsia"/>
          <w:sz w:val="20"/>
          <w:lang w:eastAsia="zh-CN"/>
        </w:rPr>
        <w:t>银行股份有限公司</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理财产品委托人：个人客户</w:t>
      </w:r>
    </w:p>
    <w:p>
      <w:pPr>
        <w:ind w:right="151" w:firstLine="480" w:firstLineChars="200"/>
        <w:jc w:val="both"/>
        <w:rPr>
          <w:rFonts w:ascii="Times New Roman" w:hAnsi="Times New Roman" w:eastAsia="黑体" w:cs="Times New Roman"/>
          <w:sz w:val="24"/>
          <w:szCs w:val="24"/>
          <w:lang w:eastAsia="zh-CN"/>
        </w:rPr>
      </w:pPr>
      <w:r>
        <w:rPr>
          <w:rFonts w:ascii="Times New Roman" w:hAnsi="黑体" w:eastAsia="黑体" w:cs="Times New Roman"/>
          <w:sz w:val="24"/>
          <w:szCs w:val="24"/>
          <w:lang w:eastAsia="zh-CN"/>
        </w:rPr>
        <w:t>三、产品运作说明</w:t>
      </w:r>
    </w:p>
    <w:p>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lang w:val="en-US" w:eastAsia="zh-CN"/>
        </w:rPr>
        <w:t>6000万</w:t>
      </w:r>
      <w:r>
        <w:rPr>
          <w:rFonts w:ascii="仿宋_GB2312" w:eastAsia="仿宋_GB2312" w:cs="Times New Roman" w:hAnsiTheme="minorEastAsia"/>
          <w:b/>
          <w:bCs/>
          <w:sz w:val="20"/>
          <w:lang w:eastAsia="zh-CN"/>
        </w:rPr>
        <w:t>份</w:t>
      </w:r>
      <w:r>
        <w:rPr>
          <w:rFonts w:ascii="仿宋_GB2312" w:eastAsia="仿宋_GB2312" w:cs="Times New Roman" w:hAnsiTheme="minorEastAsia"/>
          <w:sz w:val="20"/>
          <w:lang w:eastAsia="zh-CN"/>
        </w:rPr>
        <w:t>。在本期产品募集期内，对本期产品的认购份额达到本期理财产品规模上限，则贵阳农商银行有权利</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停止本期产品的认购，已经认购成功的客户投资权益不受影响。</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2.贵阳农商银行可根据市场情况等调整产品规模上、下限，并至少于调整规模上下限之日之前2个工作日进行公告。</w:t>
      </w:r>
    </w:p>
    <w:p>
      <w:pPr>
        <w:pStyle w:val="3"/>
        <w:spacing w:before="0"/>
        <w:ind w:left="0" w:right="153"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（二）认购/申购/追加投资/赎回</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募集期内，客户认购本产品，应提前将理财资金存入客户指定账户，投资资金当日冻结，贵阳农商银行于产品成立日进行认购资金扣划。产品募集期内，客户将认购投资本金存入客户签约账户之日至本产品成立日（不含）期间，客户可获得认购投资本金的活期存款利息，募集期内的活期存款利息不计入投资本金。</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本期产品运行期间，不开放申购、追加投资和赎回。</w:t>
      </w:r>
    </w:p>
    <w:p>
      <w:pPr>
        <w:pStyle w:val="15"/>
        <w:ind w:left="0" w:right="151" w:firstLine="480" w:firstLineChars="200"/>
        <w:jc w:val="both"/>
        <w:rPr>
          <w:rFonts w:ascii="Times New Roman" w:hAnsi="Times New Roman" w:eastAsia="黑体" w:cs="Times New Roman"/>
          <w:lang w:eastAsia="zh-CN"/>
        </w:rPr>
      </w:pPr>
      <w:r>
        <w:rPr>
          <w:rFonts w:ascii="Times New Roman" w:hAnsi="黑体" w:eastAsia="黑体" w:cs="Times New Roman"/>
          <w:lang w:eastAsia="zh-CN"/>
        </w:rPr>
        <w:t>四、产品资产估值</w:t>
      </w:r>
    </w:p>
    <w:p>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3.产品存续期内，贵阳农商银行将于每周前3个工作日内公布截至上周最后一个</w:t>
      </w:r>
      <w:r>
        <w:rPr>
          <w:rFonts w:hint="eastAsia" w:ascii="仿宋_GB2312" w:eastAsia="仿宋_GB2312" w:cs="Times New Roman" w:hAnsiTheme="minorEastAsia"/>
          <w:sz w:val="20"/>
          <w:lang w:eastAsia="zh-CN"/>
        </w:rPr>
        <w:t>交易日</w:t>
      </w:r>
      <w:r>
        <w:rPr>
          <w:rFonts w:ascii="仿宋_GB2312" w:eastAsia="仿宋_GB2312" w:cs="Times New Roman" w:hAnsiTheme="minorEastAsia"/>
          <w:sz w:val="20"/>
          <w:lang w:eastAsia="zh-CN"/>
        </w:rPr>
        <w:t>产品单位净值；产品到期或者提前终止（如非工作日，则顺延至下一工作日），贵阳农商银行将于产品到期日或提前终止日后3个工作日内，公布产品到期日或提前终止日日终的产品单位净值。产品单位净值为扣除产品相关固定费用后的净值。产品单位净值的计算保留到小数点后4位，小数点后第5位四舍五入。</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ascii="仿宋_GB2312" w:eastAsia="仿宋_GB2312" w:cs="Times New Roman" w:hAnsiTheme="minorEastAsia"/>
          <w:sz w:val="20"/>
          <w:lang w:eastAsia="zh-CN"/>
        </w:rPr>
        <w:t>.</w:t>
      </w:r>
      <w:r>
        <w:rPr>
          <w:rFonts w:hint="eastAsia" w:ascii="仿宋_GB2312" w:eastAsia="仿宋_GB2312" w:cs="Times New Roman" w:hAnsiTheme="minorEastAsia"/>
          <w:sz w:val="20"/>
          <w:lang w:eastAsia="zh-CN"/>
        </w:rPr>
        <w:t>产品到期日，贵阳农商银行将扣除超额业绩报酬（如有）。</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color w:val="auto"/>
          <w:sz w:val="20"/>
          <w:u w:val="none"/>
          <w:lang w:eastAsia="zh-CN"/>
        </w:rPr>
        <w:t>贵阳农商银行每周通过网站（www.gynsh.com</w:t>
      </w:r>
      <w:r>
        <w:rPr>
          <w:rFonts w:ascii="仿宋_GB2312" w:eastAsia="仿宋_GB2312" w:cs="Times New Roman" w:hAnsiTheme="minorEastAsia"/>
          <w:sz w:val="20"/>
          <w:lang w:eastAsia="zh-CN"/>
        </w:rPr>
        <w:t>）公布产品单位净值。</w:t>
      </w:r>
    </w:p>
    <w:p>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1.现金、银行存款</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以本金列示，逐日计提银行存款利息，按约定利率确认存款利息收入；</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w:t>
      </w:r>
      <w:r>
        <w:rPr>
          <w:rFonts w:hint="eastAsia" w:ascii="仿宋_GB2312" w:eastAsia="仿宋_GB2312" w:cs="Times New Roman" w:hAnsiTheme="minorEastAsia"/>
          <w:sz w:val="20"/>
          <w:lang w:eastAsia="zh-CN"/>
        </w:rPr>
        <w:t>对于未在交易所上市的</w:t>
      </w:r>
      <w:r>
        <w:rPr>
          <w:rFonts w:ascii="仿宋_GB2312" w:eastAsia="仿宋_GB2312" w:cs="Times New Roman" w:hAnsiTheme="minorEastAsia"/>
          <w:sz w:val="20"/>
          <w:lang w:eastAsia="zh-CN"/>
        </w:rPr>
        <w:t>货币市场基金</w:t>
      </w:r>
      <w:r>
        <w:rPr>
          <w:rFonts w:hint="eastAsia" w:ascii="仿宋_GB2312" w:eastAsia="仿宋_GB2312" w:cs="Times New Roman" w:hAnsiTheme="minorEastAsia"/>
          <w:sz w:val="20"/>
          <w:lang w:eastAsia="zh-CN"/>
        </w:rPr>
        <w:t>，按基金管理公司披露的估值日前一交易日的每万份收益计提收益</w:t>
      </w:r>
      <w:r>
        <w:rPr>
          <w:rFonts w:ascii="仿宋_GB2312" w:eastAsia="仿宋_GB2312" w:cs="Times New Roman" w:hAnsiTheme="minorEastAsia"/>
          <w:sz w:val="20"/>
          <w:lang w:eastAsia="zh-CN"/>
        </w:rPr>
        <w:t>；</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w:t>
      </w:r>
      <w:r>
        <w:rPr>
          <w:rFonts w:hint="eastAsia" w:ascii="仿宋_GB2312" w:eastAsia="仿宋_GB2312" w:cs="Times New Roman" w:hAnsiTheme="minorEastAsia"/>
          <w:sz w:val="20"/>
          <w:lang w:eastAsia="zh-CN"/>
        </w:rPr>
        <w:t>；</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交易所及银行间债券、资产支持证券等有价证券按市场价格估值，按中央国债登记结算有限责任公司（简称“中债登”）公布的在估值日的估值净价进行估值；</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w:t>
      </w:r>
      <w:r>
        <w:rPr>
          <w:rFonts w:hint="eastAsia" w:ascii="仿宋_GB2312" w:eastAsia="仿宋_GB2312" w:cs="Times New Roman" w:hAnsiTheme="minorEastAsia"/>
          <w:sz w:val="20"/>
          <w:lang w:eastAsia="zh-CN"/>
        </w:rPr>
        <w:t>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5.其它符合监管要求的资产，存在可以确定公允价值的，以公允价值估值；公允价值不能确定的，按取得时成本按摊余成本法估值；</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6.国家有最新规定的，按其规定进行估值。</w:t>
      </w:r>
    </w:p>
    <w:p>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合理的措施确保产品资产估值的准确性、及时性。当产品单位净值出现错误时，产品管理人应当立即予以纠正，并采取合理的措施防止损失进一步扩大。由于本产品估值所用的价格来源中出现错误，或由于其他不可抗力原因，产品管理人和产品托管人虽然已经采取必要、适当、合理的措施进行检查，但是未能发现该错误的，由此造成的产品资产估值错误，产品管理人和产品托管人免除赔偿责任。但产品管理人和产品托管人应当积极采取必要的措施消除由此造成的影响。</w:t>
      </w:r>
    </w:p>
    <w:p>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当产品的估值因不可抗力或其他情形致使产品管理人、托管人无法准确评估产品资产价值时或其他情形，产品管理人可暂停产品的估值直至另行通知。</w:t>
      </w:r>
    </w:p>
    <w:p>
      <w:pPr>
        <w:pStyle w:val="15"/>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eastAsia="zh-CN"/>
        </w:rPr>
        <w:t>五</w:t>
      </w:r>
      <w:r>
        <w:rPr>
          <w:rFonts w:ascii="Times New Roman" w:hAnsi="黑体" w:eastAsia="黑体" w:cs="Times New Roman"/>
          <w:lang w:eastAsia="zh-CN"/>
        </w:rPr>
        <w:t>、理财收益说明</w:t>
      </w:r>
    </w:p>
    <w:p>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（一）产品单位净值</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产品单位净值保留至小数点后4位，为提取相关费用后的产品单位净值，客户按该单位净值在产品终止时分配。</w:t>
      </w:r>
    </w:p>
    <w:p>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（二）费用</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本产品不收取认购费用、申购费用、赎回费用。</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本产品收取固定销售费0.</w:t>
      </w: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0%/年、固定管理费0.</w:t>
      </w: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0%/年、固定托管费0.0</w:t>
      </w:r>
      <w:r>
        <w:rPr>
          <w:rFonts w:hint="eastAsia" w:ascii="仿宋_GB2312" w:eastAsia="仿宋_GB2312" w:cs="Times New Roman" w:hAnsiTheme="minorEastAsia"/>
          <w:sz w:val="20"/>
          <w:lang w:val="en-US" w:eastAsia="zh-CN"/>
        </w:rPr>
        <w:t>1</w:t>
      </w:r>
      <w:r>
        <w:rPr>
          <w:rFonts w:ascii="仿宋_GB2312" w:eastAsia="仿宋_GB2312" w:cs="Times New Roman" w:hAnsiTheme="minorEastAsia"/>
          <w:sz w:val="20"/>
          <w:lang w:eastAsia="zh-CN"/>
        </w:rPr>
        <w:t>%/年和超额业绩报酬（如有），上述费用在计</w:t>
      </w:r>
      <w:r>
        <w:rPr>
          <w:rFonts w:hint="eastAsia" w:ascii="仿宋_GB2312" w:eastAsia="仿宋_GB2312" w:cs="Times New Roman" w:hAnsiTheme="minorEastAsia"/>
          <w:sz w:val="20"/>
          <w:lang w:eastAsia="zh-CN"/>
        </w:rPr>
        <w:t>算</w:t>
      </w:r>
      <w:r>
        <w:rPr>
          <w:rFonts w:ascii="仿宋_GB2312" w:eastAsia="仿宋_GB2312" w:cs="Times New Roman" w:hAnsiTheme="minorEastAsia"/>
          <w:sz w:val="20"/>
          <w:lang w:eastAsia="zh-CN"/>
        </w:rPr>
        <w:t>产品单位净值前扣除。</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本产品运作过程中的纳税义务按照相关法律法规、税收政策执行，从本产品资产总值中扣除。费用计提方法如下：</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1.固定销售费：本产品销售费按前一日产品资产净值的0.</w:t>
      </w: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0%年费率计提。S=E×0.</w:t>
      </w:r>
      <w:r>
        <w:rPr>
          <w:rFonts w:hint="eastAsia" w:ascii="仿宋_GB2312" w:eastAsia="仿宋_GB2312" w:cs="Times New Roman" w:hAnsiTheme="minorEastAsia"/>
          <w:sz w:val="20"/>
          <w:lang w:val="en-US" w:eastAsia="zh-CN"/>
        </w:rPr>
        <w:t>50</w:t>
      </w:r>
      <w:r>
        <w:rPr>
          <w:rFonts w:ascii="仿宋_GB2312" w:eastAsia="仿宋_GB2312" w:cs="Times New Roman" w:hAnsiTheme="minorEastAsia"/>
          <w:sz w:val="20"/>
          <w:lang w:eastAsia="zh-CN"/>
        </w:rPr>
        <w:t>%÷当年天数，S为每日应计提的销售费，E为前一日产品资产净值（下同）；</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2.固定管理费：本产品管理费按前一日产品资产净值的0.</w:t>
      </w: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0%年费率计提。M=E×0.</w:t>
      </w: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0%÷当年天数，M为每日应计提的管理费；</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3.固定托管费：本产品托管费按前一日产品资产净值的0.0</w:t>
      </w:r>
      <w:r>
        <w:rPr>
          <w:rFonts w:hint="eastAsia" w:ascii="仿宋_GB2312" w:eastAsia="仿宋_GB2312" w:cs="Times New Roman" w:hAnsiTheme="minorEastAsia"/>
          <w:sz w:val="20"/>
          <w:lang w:val="en-US" w:eastAsia="zh-CN"/>
        </w:rPr>
        <w:t>1</w:t>
      </w:r>
      <w:r>
        <w:rPr>
          <w:rFonts w:ascii="仿宋_GB2312" w:eastAsia="仿宋_GB2312" w:cs="Times New Roman" w:hAnsiTheme="minorEastAsia"/>
          <w:sz w:val="20"/>
          <w:lang w:eastAsia="zh-CN"/>
        </w:rPr>
        <w:t>%年费率计提。G=E×0.0</w:t>
      </w:r>
      <w:r>
        <w:rPr>
          <w:rFonts w:hint="eastAsia" w:ascii="仿宋_GB2312" w:eastAsia="仿宋_GB2312" w:cs="Times New Roman" w:hAnsiTheme="minorEastAsia"/>
          <w:sz w:val="20"/>
          <w:lang w:val="en-US" w:eastAsia="zh-CN"/>
        </w:rPr>
        <w:t>1</w:t>
      </w:r>
      <w:r>
        <w:rPr>
          <w:rFonts w:ascii="仿宋_GB2312" w:eastAsia="仿宋_GB2312" w:cs="Times New Roman" w:hAnsiTheme="minorEastAsia"/>
          <w:sz w:val="20"/>
          <w:lang w:eastAsia="zh-CN"/>
        </w:rPr>
        <w:t>%÷当年天数，G为每日应计提的托管费。</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超额业绩报酬：本产品设立业绩比较基准区间，当理财产品封闭期结束后产品年化收益率超过业绩比较区间的最低值时，产品管理人有权收取超额业绩报酬。但固定管理费与超额业绩报酬合计最高不超过产品总投资收益的30%。</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超额业绩报酬计算方法：</w:t>
      </w:r>
      <w:r>
        <w:rPr>
          <w:rFonts w:hint="eastAsia" w:ascii="仿宋_GB2312" w:eastAsia="仿宋_GB2312" w:cs="Times New Roman" w:hAnsiTheme="minorEastAsia"/>
          <w:b/>
          <w:sz w:val="20"/>
          <w:lang w:eastAsia="zh-CN"/>
        </w:rPr>
        <w:t>①</w:t>
      </w:r>
      <w:r>
        <w:rPr>
          <w:rFonts w:hint="eastAsia" w:ascii="仿宋_GB2312" w:eastAsia="仿宋_GB2312" w:cs="Times New Roman" w:hAnsiTheme="minorEastAsia"/>
          <w:sz w:val="20"/>
          <w:lang w:eastAsia="zh-CN"/>
        </w:rPr>
        <w:t>当业绩比较区间的最低值＜产品年化收益率</w:t>
      </w:r>
      <w:r>
        <w:rPr>
          <w:rFonts w:hint="eastAsia" w:cs="宋体"/>
          <w:sz w:val="20"/>
          <w:lang w:eastAsia="zh-CN"/>
        </w:rPr>
        <w:t>≦</w:t>
      </w:r>
      <w:r>
        <w:rPr>
          <w:rFonts w:hint="eastAsia" w:ascii="仿宋_GB2312" w:hAnsi="仿宋_GB2312" w:eastAsia="仿宋_GB2312" w:cs="仿宋_GB2312"/>
          <w:sz w:val="20"/>
          <w:lang w:eastAsia="zh-CN"/>
        </w:rPr>
        <w:t>业绩比较区间的最高值时，产品管理人的超额业绩报酬</w:t>
      </w:r>
      <w:r>
        <w:rPr>
          <w:rFonts w:hint="eastAsia" w:ascii="仿宋_GB2312" w:eastAsia="仿宋_GB2312" w:cs="Times New Roman" w:hAnsiTheme="minorEastAsia"/>
          <w:sz w:val="20"/>
          <w:lang w:eastAsia="zh-CN"/>
        </w:rPr>
        <w:t>=（产品总投资收益-固定销售费-固定管理费-固定托管费-应交税费（如有）-业绩比较区间最低值计算出的收益）*</w:t>
      </w:r>
      <w:r>
        <w:rPr>
          <w:rFonts w:hint="eastAsia" w:ascii="仿宋_GB2312" w:eastAsia="仿宋_GB2312" w:cs="Times New Roman" w:hAnsiTheme="minorEastAsia"/>
          <w:sz w:val="20"/>
          <w:lang w:val="en-US" w:eastAsia="zh-CN"/>
        </w:rPr>
        <w:t>85</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b/>
          <w:sz w:val="20"/>
          <w:lang w:eastAsia="zh-CN"/>
        </w:rPr>
        <w:t>②</w:t>
      </w:r>
      <w:r>
        <w:rPr>
          <w:rFonts w:hint="eastAsia" w:ascii="仿宋_GB2312" w:eastAsia="仿宋_GB2312" w:cs="Times New Roman" w:hAnsiTheme="minorEastAsia"/>
          <w:sz w:val="20"/>
          <w:lang w:eastAsia="zh-CN"/>
        </w:rPr>
        <w:t>当业绩比较区间的最高值＜产品年化收益率时，产品管理人的超额业绩报酬=（产品总投资收益-固定销售费-固定管理费-固定托管费-应交税费（如有）-业绩比较区间最高值计算出的收益）*9</w:t>
      </w: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%+（业绩比较区间最高值计算出的收益-业绩比较区间最低值计算出的收益）*</w:t>
      </w:r>
      <w:r>
        <w:rPr>
          <w:rFonts w:hint="eastAsia" w:ascii="仿宋_GB2312" w:eastAsia="仿宋_GB2312" w:cs="Times New Roman" w:hAnsiTheme="minorEastAsia"/>
          <w:sz w:val="20"/>
          <w:lang w:val="en-US" w:eastAsia="zh-CN"/>
        </w:rPr>
        <w:t>85</w:t>
      </w:r>
      <w:r>
        <w:rPr>
          <w:rFonts w:hint="eastAsia" w:ascii="仿宋_GB2312" w:eastAsia="仿宋_GB2312" w:cs="Times New Roman" w:hAnsiTheme="minorEastAsia"/>
          <w:sz w:val="20"/>
          <w:lang w:eastAsia="zh-CN"/>
        </w:rPr>
        <w:t>%。</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贵阳农商银行有权根据市场情况等调整上述各项费用费率和业绩报酬收取比例，并至少于调整日之前2工作日进行公告。</w:t>
      </w:r>
    </w:p>
    <w:p>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（三）客户收益</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1.产品管理人将在产品兑付日分红，产品存续期内不分红。</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w:t>
      </w:r>
      <w:r>
        <w:rPr>
          <w:rFonts w:hint="eastAsia" w:ascii="仿宋_GB2312" w:eastAsia="仿宋_GB2312" w:cs="Times New Roman" w:hAnsiTheme="minorEastAsia"/>
          <w:sz w:val="20"/>
          <w:lang w:eastAsia="zh-CN"/>
        </w:rPr>
        <w:t>兑付</w:t>
      </w:r>
      <w:r>
        <w:rPr>
          <w:rFonts w:ascii="仿宋_GB2312" w:eastAsia="仿宋_GB2312" w:cs="Times New Roman" w:hAnsiTheme="minorEastAsia"/>
          <w:sz w:val="20"/>
          <w:lang w:eastAsia="zh-CN"/>
        </w:rPr>
        <w:t>客户</w:t>
      </w:r>
      <w:r>
        <w:rPr>
          <w:rFonts w:hint="eastAsia" w:ascii="仿宋_GB2312" w:eastAsia="仿宋_GB2312" w:cs="Times New Roman" w:hAnsiTheme="minorEastAsia"/>
          <w:sz w:val="20"/>
          <w:lang w:eastAsia="zh-CN"/>
        </w:rPr>
        <w:t>本金和</w:t>
      </w:r>
      <w:r>
        <w:rPr>
          <w:rFonts w:ascii="仿宋_GB2312" w:eastAsia="仿宋_GB2312" w:cs="Times New Roman" w:hAnsiTheme="minorEastAsia"/>
          <w:sz w:val="20"/>
          <w:lang w:eastAsia="zh-CN"/>
        </w:rPr>
        <w:t>收益</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兑付</w:t>
      </w:r>
      <w:r>
        <w:rPr>
          <w:rFonts w:ascii="仿宋_GB2312" w:eastAsia="仿宋_GB2312" w:cs="Times New Roman" w:hAnsiTheme="minorEastAsia"/>
          <w:sz w:val="20"/>
          <w:lang w:eastAsia="zh-CN"/>
        </w:rPr>
        <w:t>客户</w:t>
      </w:r>
      <w:r>
        <w:rPr>
          <w:rFonts w:hint="eastAsia" w:ascii="仿宋_GB2312" w:eastAsia="仿宋_GB2312" w:cs="Times New Roman" w:hAnsiTheme="minorEastAsia"/>
          <w:sz w:val="20"/>
          <w:lang w:eastAsia="zh-CN"/>
        </w:rPr>
        <w:t>本金和</w:t>
      </w:r>
      <w:r>
        <w:rPr>
          <w:rFonts w:ascii="仿宋_GB2312" w:eastAsia="仿宋_GB2312" w:cs="Times New Roman" w:hAnsiTheme="minorEastAsia"/>
          <w:sz w:val="20"/>
          <w:lang w:eastAsia="zh-CN"/>
        </w:rPr>
        <w:t>收益=M×P</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M：客户持有份额</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P：</w:t>
      </w:r>
      <w:r>
        <w:rPr>
          <w:rFonts w:hint="eastAsia" w:ascii="仿宋_GB2312" w:eastAsia="仿宋_GB2312" w:cs="Times New Roman" w:hAnsiTheme="minorEastAsia"/>
          <w:sz w:val="20"/>
          <w:lang w:eastAsia="zh-CN"/>
        </w:rPr>
        <w:t>到期日</w:t>
      </w:r>
      <w:r>
        <w:rPr>
          <w:rFonts w:ascii="仿宋_GB2312" w:eastAsia="仿宋_GB2312" w:cs="Times New Roman" w:hAnsiTheme="minorEastAsia"/>
          <w:sz w:val="20"/>
          <w:lang w:eastAsia="zh-CN"/>
        </w:rPr>
        <w:t>产品单位净值</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计算示例</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情景1：假设客户于募集期内认购本产品，投资本金为100,000.00元，购买产品时单位净值为1，则客户持有份额为：</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客户持有份额=100,000.00÷1=100,000.00（份）</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情景2：贵阳农商银行于兑付日公布到期日产品单位净值为1.06</w:t>
      </w:r>
      <w:r>
        <w:rPr>
          <w:rFonts w:hint="eastAsia" w:ascii="仿宋_GB2312" w:eastAsia="仿宋_GB2312" w:cs="Times New Roman" w:hAnsiTheme="minorEastAsia"/>
          <w:sz w:val="20"/>
          <w:lang w:eastAsia="zh-CN"/>
        </w:rPr>
        <w:t>3</w:t>
      </w:r>
      <w:r>
        <w:rPr>
          <w:rFonts w:ascii="仿宋_GB2312" w:eastAsia="仿宋_GB2312" w:cs="Times New Roman" w:hAnsiTheme="minorEastAsia"/>
          <w:sz w:val="20"/>
          <w:lang w:eastAsia="zh-CN"/>
        </w:rPr>
        <w:t>0元/份。假设客户持有份额为100,000.00份，则兑付客户的本金和收益为：</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投资本金和收益=100,000.00×1.06</w:t>
      </w:r>
      <w:r>
        <w:rPr>
          <w:rFonts w:hint="eastAsia" w:ascii="仿宋_GB2312" w:eastAsia="仿宋_GB2312" w:cs="Times New Roman" w:hAnsiTheme="minorEastAsia"/>
          <w:sz w:val="20"/>
          <w:lang w:eastAsia="zh-CN"/>
        </w:rPr>
        <w:t>3</w:t>
      </w:r>
      <w:r>
        <w:rPr>
          <w:rFonts w:ascii="仿宋_GB2312" w:eastAsia="仿宋_GB2312" w:cs="Times New Roman" w:hAnsiTheme="minorEastAsia"/>
          <w:sz w:val="20"/>
          <w:lang w:eastAsia="zh-CN"/>
        </w:rPr>
        <w:t>0=106,</w:t>
      </w:r>
      <w:r>
        <w:rPr>
          <w:rFonts w:hint="eastAsia" w:ascii="仿宋_GB2312" w:eastAsia="仿宋_GB2312" w:cs="Times New Roman" w:hAnsiTheme="minorEastAsia"/>
          <w:sz w:val="20"/>
          <w:lang w:eastAsia="zh-CN"/>
        </w:rPr>
        <w:t>3</w:t>
      </w:r>
      <w:r>
        <w:rPr>
          <w:rFonts w:ascii="仿宋_GB2312" w:eastAsia="仿宋_GB2312" w:cs="Times New Roman" w:hAnsiTheme="minorEastAsia"/>
          <w:sz w:val="20"/>
          <w:lang w:eastAsia="zh-CN"/>
        </w:rPr>
        <w:t>00.00（元）</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情景3：贵阳农商银行于兑付日公布到期日产品单位净值为0.9800元/份。假设客户持有份额为100,000.00份，则兑付客户的本金和收益为：</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投资本金和收益=100,000.00×0.9800=98,000.00（元）</w:t>
      </w:r>
    </w:p>
    <w:p>
      <w:pPr>
        <w:pStyle w:val="3"/>
        <w:spacing w:before="0"/>
        <w:ind w:left="0" w:right="153" w:firstLine="402" w:firstLineChars="200"/>
        <w:jc w:val="both"/>
        <w:rPr>
          <w:rFonts w:ascii="仿宋_GB2312" w:eastAsia="仿宋_GB2312" w:cs="Times New Roman" w:hAnsiTheme="minorEastAsia"/>
          <w:b/>
          <w:sz w:val="20"/>
          <w:szCs w:val="20"/>
          <w:lang w:eastAsia="zh-CN"/>
        </w:rPr>
      </w:pPr>
      <w:r>
        <w:rPr>
          <w:rFonts w:ascii="仿宋_GB2312" w:eastAsia="仿宋_GB2312" w:cs="Times New Roman" w:hAnsiTheme="minorEastAsia"/>
          <w:b/>
          <w:sz w:val="20"/>
          <w:szCs w:val="20"/>
          <w:lang w:eastAsia="zh-CN"/>
        </w:rPr>
        <w:t>上述示例采用假设数据计算，测算收益不等于实际收益，实际收益以客户</w:t>
      </w:r>
      <w:r>
        <w:rPr>
          <w:rFonts w:hint="eastAsia" w:ascii="仿宋_GB2312" w:eastAsia="仿宋_GB2312" w:cs="Times New Roman" w:hAnsiTheme="minorEastAsia"/>
          <w:b/>
          <w:sz w:val="20"/>
          <w:szCs w:val="20"/>
          <w:lang w:eastAsia="zh-CN"/>
        </w:rPr>
        <w:t>到账为准，投资须谨慎。</w:t>
      </w:r>
    </w:p>
    <w:p>
      <w:pPr>
        <w:pStyle w:val="3"/>
        <w:spacing w:before="0"/>
        <w:ind w:left="0" w:right="153"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（四）税收</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pPr>
        <w:pStyle w:val="15"/>
        <w:ind w:left="0" w:right="151" w:firstLine="480" w:firstLineChars="200"/>
        <w:jc w:val="both"/>
        <w:rPr>
          <w:rFonts w:ascii="Times New Roman" w:hAnsi="Times New Roman" w:eastAsia="黑体" w:cs="Times New Roman"/>
          <w:lang w:eastAsia="zh-CN"/>
        </w:rPr>
      </w:pPr>
      <w:r>
        <w:rPr>
          <w:rFonts w:ascii="Times New Roman" w:hAnsi="黑体" w:eastAsia="黑体" w:cs="Times New Roman"/>
          <w:lang w:eastAsia="zh-CN"/>
        </w:rPr>
        <w:t>六、提前终止</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（一）在本期产品存续期间，贵阳农商银行有权提前终止产品。贵阳农商银行提前终止本期产品时，将至少于提前终止日之前</w:t>
      </w:r>
      <w:r>
        <w:rPr>
          <w:rFonts w:ascii="仿宋_GB2312" w:hAnsi="Times New Roman" w:eastAsia="仿宋_GB2312" w:cs="Times New Roman"/>
          <w:b/>
          <w:bCs/>
          <w:sz w:val="20"/>
          <w:lang w:eastAsia="zh-CN"/>
        </w:rPr>
        <w:t>2</w:t>
      </w:r>
      <w:r>
        <w:rPr>
          <w:rFonts w:ascii="仿宋_GB2312" w:eastAsia="仿宋_GB2312" w:cs="Times New Roman" w:hAnsiTheme="minorEastAsia"/>
          <w:b/>
          <w:sz w:val="20"/>
          <w:lang w:eastAsia="zh-CN"/>
        </w:rPr>
        <w:t>个工作日进行公告，并在提前终止日后</w:t>
      </w:r>
      <w:r>
        <w:rPr>
          <w:rFonts w:ascii="仿宋_GB2312" w:hAnsi="Times New Roman" w:eastAsia="仿宋_GB2312" w:cs="Times New Roman"/>
          <w:b/>
          <w:sz w:val="20"/>
          <w:lang w:eastAsia="zh-CN"/>
        </w:rPr>
        <w:t>5</w:t>
      </w:r>
      <w:r>
        <w:rPr>
          <w:rFonts w:ascii="仿宋_GB2312" w:eastAsia="仿宋_GB2312" w:cs="Times New Roman" w:hAnsiTheme="minorEastAsia"/>
          <w:b/>
          <w:sz w:val="20"/>
          <w:lang w:eastAsia="zh-CN"/>
        </w:rPr>
        <w:t>个工作日内向客户返还投资本金及应得收益，如遇中国大陆法定节假日和公休日则顺延。终止日至资金实际到账日之间，客户资金不计息。</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（二）贵阳农商银行提前终止本期产品的情形包括但不限于：</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1.如遇国家金融政策出现重大调整并影响到本期产品的正常运作时，贵阳农商银行有权利提前终止本产品，但是否提前终止该产品由我行决定。</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2.因市场发生极端重大变动或突发性事件等情形时，贵阳农商银行有权利提前终止本期产品</w:t>
      </w:r>
      <w:r>
        <w:rPr>
          <w:rFonts w:hint="eastAsia" w:ascii="仿宋_GB2312" w:eastAsia="仿宋_GB2312" w:cs="Times New Roman" w:hAnsiTheme="minorEastAsia"/>
          <w:sz w:val="20"/>
          <w:lang w:eastAsia="zh-CN"/>
        </w:rPr>
        <w:t>，但是否提前终止该产品由我行决定</w:t>
      </w:r>
      <w:r>
        <w:rPr>
          <w:rFonts w:ascii="仿宋_GB2312" w:eastAsia="仿宋_GB2312" w:cs="Times New Roman" w:hAnsiTheme="minorEastAsia"/>
          <w:sz w:val="20"/>
          <w:lang w:eastAsia="zh-CN"/>
        </w:rPr>
        <w:t>。</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（三）提前终止时收益计算示例</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终止日单位净值1.0565元/份。则在提前终止日，应兑付给客户的投资本金和收益为：</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则客户本金和收益＝100,000.00×1.0565=105,650.00（元）</w:t>
      </w:r>
    </w:p>
    <w:p>
      <w:pPr>
        <w:pStyle w:val="3"/>
        <w:spacing w:before="0"/>
        <w:ind w:left="0" w:right="151" w:firstLine="388" w:firstLineChars="200"/>
        <w:jc w:val="both"/>
        <w:rPr>
          <w:rFonts w:ascii="Times New Roman" w:hAnsi="Times New Roman" w:cs="Times New Roman" w:eastAsiaTheme="minorEastAsia"/>
          <w:lang w:eastAsia="zh-CN"/>
        </w:rPr>
      </w:pPr>
      <w:r>
        <w:rPr>
          <w:rFonts w:ascii="仿宋_GB2312" w:eastAsia="仿宋_GB2312" w:cs="Times New Roman" w:hAnsiTheme="minorEastAsia"/>
          <w:spacing w:val="-3"/>
          <w:sz w:val="20"/>
          <w:lang w:eastAsia="zh-CN"/>
        </w:rPr>
        <w:t>（</w:t>
      </w:r>
      <w:r>
        <w:rPr>
          <w:rFonts w:ascii="仿宋_GB2312" w:eastAsia="仿宋_GB2312" w:cs="Times New Roman" w:hAnsiTheme="minorEastAsia"/>
          <w:b/>
          <w:spacing w:val="-3"/>
          <w:sz w:val="20"/>
          <w:lang w:eastAsia="zh-CN"/>
        </w:rPr>
        <w:t>上述示例采用假设数据计算，测算收益不等于实际收益，</w:t>
      </w:r>
      <w:r>
        <w:rPr>
          <w:rFonts w:hint="eastAsia" w:ascii="仿宋_GB2312" w:eastAsia="仿宋_GB2312" w:cs="Times New Roman" w:hAnsiTheme="minorEastAsia"/>
          <w:b/>
          <w:sz w:val="20"/>
          <w:lang w:eastAsia="zh-CN"/>
        </w:rPr>
        <w:t>实际收益以客户到账为准，</w:t>
      </w:r>
      <w:r>
        <w:rPr>
          <w:rFonts w:hint="eastAsia" w:ascii="仿宋_GB2312" w:eastAsia="仿宋_GB2312" w:cs="Times New Roman" w:hAnsiTheme="minorEastAsia"/>
          <w:b/>
          <w:spacing w:val="-3"/>
          <w:sz w:val="20"/>
          <w:lang w:eastAsia="zh-CN"/>
        </w:rPr>
        <w:t>投资须谨慎</w:t>
      </w:r>
      <w:r>
        <w:rPr>
          <w:rFonts w:ascii="仿宋_GB2312" w:eastAsia="仿宋_GB2312" w:cs="Times New Roman" w:hAnsiTheme="minorEastAsia"/>
          <w:b/>
          <w:spacing w:val="-3"/>
          <w:sz w:val="20"/>
          <w:lang w:eastAsia="zh-CN"/>
        </w:rPr>
        <w:t>。</w:t>
      </w:r>
      <w:r>
        <w:rPr>
          <w:rFonts w:ascii="仿宋_GB2312" w:eastAsia="仿宋_GB2312" w:cs="Times New Roman" w:hAnsiTheme="minorEastAsia"/>
          <w:spacing w:val="-3"/>
          <w:sz w:val="20"/>
          <w:lang w:eastAsia="zh-CN"/>
        </w:rPr>
        <w:t>）</w:t>
      </w:r>
    </w:p>
    <w:p>
      <w:pPr>
        <w:pStyle w:val="15"/>
        <w:ind w:left="0" w:right="151" w:firstLine="480" w:firstLineChars="200"/>
        <w:jc w:val="both"/>
        <w:rPr>
          <w:rFonts w:ascii="Times New Roman" w:hAnsi="Times New Roman" w:eastAsia="黑体" w:cs="Times New Roman"/>
          <w:lang w:eastAsia="zh-CN"/>
        </w:rPr>
      </w:pPr>
      <w:r>
        <w:rPr>
          <w:rFonts w:ascii="Times New Roman" w:hAnsi="黑体" w:eastAsia="黑体" w:cs="Times New Roman"/>
          <w:lang w:eastAsia="zh-CN"/>
        </w:rPr>
        <w:t>七、理财产品到期本金及收益兑付</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客户持有本期产品至产品到期日，客户的投资本金和应得收益在产品到期后一次性支付。贵阳农商银行于产品到期日后3个工作日内将客户投资本金和应得收益返还至客户指定账户，如遇中国大陆法定节假日和公休日则顺延。</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（二）非正常情况</w:t>
      </w:r>
      <w:r>
        <w:rPr>
          <w:rFonts w:hint="eastAsia" w:ascii="仿宋_GB2312" w:eastAsia="仿宋_GB2312" w:cs="Times New Roman" w:hAnsiTheme="minorEastAsia"/>
          <w:b/>
          <w:sz w:val="20"/>
          <w:lang w:eastAsia="zh-CN"/>
        </w:rPr>
        <w:t>兑付</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，贵阳农商银行可以根据实际情况选择向客户提前兑付、延迟兑付或者分次兑付，并于</w:t>
      </w:r>
      <w:r>
        <w:rPr>
          <w:rFonts w:hint="eastAsia" w:ascii="仿宋_GB2312" w:eastAsia="仿宋_GB2312" w:cs="Times New Roman" w:hAnsiTheme="minorEastAsia"/>
          <w:sz w:val="20"/>
          <w:lang w:eastAsia="zh-CN"/>
        </w:rPr>
        <w:t>决定向客户提前兑付、延迟兑付或者分次兑付前的</w:t>
      </w:r>
      <w:r>
        <w:rPr>
          <w:rFonts w:ascii="仿宋_GB2312" w:eastAsia="仿宋_GB2312" w:cs="Times New Roman" w:hAnsiTheme="minorEastAsia"/>
          <w:sz w:val="20"/>
          <w:lang w:eastAsia="zh-CN"/>
        </w:rPr>
        <w:t>2个工作日进行公告。</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（三）展期</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产品到期前，贵阳农商银行根据市场和产品运行情况等，有权利决定是否延长产品期限。如贵阳农商银行决定延长产品期限，将至少于产品到期日之前2个工作日公告延长后的产品期限及到期日等信息。</w:t>
      </w:r>
    </w:p>
    <w:p>
      <w:pPr>
        <w:pStyle w:val="15"/>
        <w:ind w:left="0" w:right="153" w:firstLine="480" w:firstLineChars="200"/>
        <w:jc w:val="both"/>
        <w:rPr>
          <w:rFonts w:ascii="Times New Roman" w:hAnsi="Times New Roman" w:eastAsia="黑体" w:cs="Times New Roman"/>
          <w:lang w:eastAsia="zh-CN"/>
        </w:rPr>
      </w:pPr>
      <w:r>
        <w:rPr>
          <w:rFonts w:ascii="Times New Roman" w:hAnsi="黑体" w:eastAsia="黑体" w:cs="Times New Roman"/>
          <w:lang w:eastAsia="zh-CN"/>
        </w:rPr>
        <w:t>八、信息披露</w:t>
      </w:r>
    </w:p>
    <w:p>
      <w:pPr>
        <w:pStyle w:val="3"/>
        <w:spacing w:before="0"/>
        <w:ind w:left="0" w:right="153" w:firstLine="400" w:firstLineChars="200"/>
        <w:jc w:val="both"/>
        <w:rPr>
          <w:rFonts w:ascii="仿宋_GB2312" w:hAnsi="Times New Roman" w:eastAsia="仿宋_GB2312" w:cs="Times New Roman"/>
          <w:sz w:val="20"/>
          <w:lang w:eastAsia="zh-CN"/>
        </w:rPr>
      </w:pPr>
      <w:r>
        <w:rPr>
          <w:rFonts w:ascii="仿宋_GB2312" w:eastAsia="仿宋_GB2312" w:cs="Times New Roman" w:hAnsiTheme="minorEastAsia"/>
          <w:sz w:val="20"/>
          <w:lang w:eastAsia="zh-CN"/>
        </w:rPr>
        <w:t>（一）贵阳农商银行通过贵阳农商银行网站</w:t>
      </w:r>
      <w:r>
        <w:rPr>
          <w:rFonts w:ascii="仿宋_GB2312" w:eastAsia="仿宋_GB2312" w:cs="Times New Roman" w:hAnsiTheme="minorEastAsia"/>
          <w:color w:val="auto"/>
          <w:sz w:val="20"/>
          <w:u w:val="none"/>
          <w:lang w:eastAsia="zh-CN"/>
        </w:rPr>
        <w:t>（www.gynsh.com</w:t>
      </w:r>
      <w:r>
        <w:rPr>
          <w:rFonts w:ascii="仿宋_GB2312" w:eastAsia="仿宋_GB2312" w:cs="Times New Roman" w:hAnsiTheme="minorEastAsia"/>
          <w:sz w:val="20"/>
          <w:lang w:eastAsia="zh-CN"/>
        </w:rPr>
        <w:t>）披露产品以下相关信息：在产品正常成立、产品终止的5个工作日内发布产品成立（包括本产品在全国银行业理财信息登记系统的登记编号）、产品终止信息；</w:t>
      </w:r>
      <w:r>
        <w:rPr>
          <w:rFonts w:hint="eastAsia" w:ascii="仿宋_GB2312" w:eastAsia="仿宋_GB2312" w:cs="Times New Roman" w:hAnsiTheme="minorEastAsia"/>
          <w:sz w:val="20"/>
          <w:lang w:eastAsia="zh-CN"/>
        </w:rPr>
        <w:t>在每季度结束之日起15日内、上半年结束之日起60日内、每年结束之日起90日内，编制完成并发布理财产品的季度、半年和年度报告等定期报告</w:t>
      </w:r>
      <w:r>
        <w:rPr>
          <w:rFonts w:ascii="仿宋_GB2312" w:eastAsia="仿宋_GB2312" w:cs="Times New Roman" w:hAnsiTheme="minorEastAsia"/>
          <w:sz w:val="20"/>
          <w:lang w:eastAsia="zh-CN"/>
        </w:rPr>
        <w:t>；如贵阳农商银行拟调整产品规模上下限、调整业绩比较基准、调整投资范围、投资品种或投资比例、优化或升级产品、行使提前终止权</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延长产品期限，则需在调整规模上下限之日、新的业绩比较基准启用日、新的投资范围、投资品种或投资比例启用日、产品优化或升级启用日、提前终止日</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产品到期日等相关日之前至少2个工作日进行公告；如贵阳农商银行拟调整本产品相关费用费率，则需在费用费率调整日之前至少5个工作日进行公告；如发生产品到期时的延期/分次兑付情形，则于该情形发生后的2个工作日内进行公告；产品存续期内，每周前3个工作日内公布截至上周最后一个</w:t>
      </w:r>
      <w:r>
        <w:rPr>
          <w:rFonts w:hint="eastAsia" w:ascii="仿宋_GB2312" w:eastAsia="仿宋_GB2312" w:cs="Times New Roman" w:hAnsiTheme="minorEastAsia"/>
          <w:sz w:val="20"/>
          <w:lang w:eastAsia="zh-CN"/>
        </w:rPr>
        <w:t>交易日</w:t>
      </w:r>
      <w:r>
        <w:rPr>
          <w:rFonts w:ascii="仿宋_GB2312" w:eastAsia="仿宋_GB2312" w:cs="Times New Roman" w:hAnsiTheme="minorEastAsia"/>
          <w:sz w:val="20"/>
          <w:lang w:eastAsia="zh-CN"/>
        </w:rPr>
        <w:t>产品单位净值；产品到期或提前终止后，在产品到期日或提前终止日（如遇非工作日，则顺延至下一个工作日）后的3个工作日内发布到期日或提前终止日的产品单位净值。</w:t>
      </w:r>
      <w:r>
        <w:rPr>
          <w:rFonts w:ascii="仿宋_GB2312" w:eastAsia="仿宋_GB2312" w:cs="Times New Roman" w:hAnsiTheme="minorEastAsia"/>
          <w:b/>
          <w:sz w:val="20"/>
          <w:lang w:eastAsia="zh-CN"/>
        </w:rPr>
        <w:t>请客户注意及时在上述渠道上自行查询。</w:t>
      </w:r>
    </w:p>
    <w:p>
      <w:pPr>
        <w:pStyle w:val="3"/>
        <w:spacing w:before="0"/>
        <w:ind w:left="0" w:right="151" w:firstLine="392" w:firstLineChars="200"/>
        <w:jc w:val="both"/>
        <w:rPr>
          <w:rFonts w:ascii="仿宋_GB2312" w:hAnsi="Times New Roman" w:eastAsia="仿宋_GB2312" w:cs="Times New Roman"/>
          <w:sz w:val="20"/>
          <w:lang w:eastAsia="zh-CN"/>
        </w:rPr>
      </w:pPr>
      <w:r>
        <w:rPr>
          <w:rFonts w:ascii="仿宋_GB2312" w:eastAsia="仿宋_GB2312" w:cs="Times New Roman" w:hAnsiTheme="minorEastAsia"/>
          <w:spacing w:val="-2"/>
          <w:sz w:val="20"/>
          <w:lang w:eastAsia="zh-CN"/>
        </w:rPr>
        <w:t>（二）</w:t>
      </w:r>
      <w:r>
        <w:rPr>
          <w:rFonts w:ascii="仿宋_GB2312" w:eastAsia="仿宋_GB2312" w:cs="Times New Roman" w:hAnsiTheme="minorEastAsia"/>
          <w:b/>
          <w:spacing w:val="-2"/>
          <w:sz w:val="20"/>
          <w:u w:val="single" w:color="000000"/>
          <w:lang w:eastAsia="zh-CN"/>
        </w:rPr>
        <w:t>客户同意，贵阳农商银行通过上述网站进行信息披露，如果客户未及时查询，或由于通讯故障、</w:t>
      </w:r>
      <w:r>
        <w:rPr>
          <w:rFonts w:ascii="仿宋_GB2312" w:eastAsia="仿宋_GB2312" w:cs="Times New Roman" w:hAnsiTheme="minorEastAsia"/>
          <w:b/>
          <w:sz w:val="20"/>
          <w:u w:val="single" w:color="000000"/>
          <w:lang w:eastAsia="zh-CN"/>
        </w:rPr>
        <w:t>系统故障以及其他不可抗力等因素的影响使得客户无法及时了解产品信息，因此而产生的（包括但不限于因客户未及时获知信息而错过资金使用和再投资的机会等）全部责任和风险，由客户自行承担。</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（三）贵阳农商银行为客户提供本产品相关信息查询。本产品存续期内，个人客户可凭本人身份证件和《贵阳农商银行理财产品协议》在贵阳农商银行营业网点查询相关信息。</w:t>
      </w:r>
    </w:p>
    <w:p>
      <w:pPr>
        <w:pStyle w:val="15"/>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九、</w:t>
      </w:r>
      <w:r>
        <w:rPr>
          <w:rFonts w:hint="eastAsia" w:ascii="Times New Roman" w:hAnsi="黑体" w:eastAsia="黑体" w:cs="Times New Roman"/>
          <w:b/>
          <w:bCs/>
          <w:lang w:eastAsia="zh-CN"/>
        </w:rPr>
        <w:t>保密义务</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贵阳农商银行应就理财产品销售过程中获知的客户信息负有保密义务。非经客户同意并授权的，不得向第三方披露，但法律法规或监管规定另有要求的除外。客户同意并不可撤销的授权贵阳农村商业银行股份有限公司为理财登记系统信息登记需要，向银行业理财登记托管中心有限公司及监管机构提供客户身份信息及理财产品持有信息等相关信息。</w:t>
      </w:r>
    </w:p>
    <w:p>
      <w:pPr>
        <w:rPr>
          <w:rFonts w:ascii="仿宋_GB2312" w:eastAsia="仿宋_GB2312"/>
          <w:sz w:val="36"/>
          <w:szCs w:val="36"/>
          <w:lang w:eastAsia="zh-CN"/>
        </w:rPr>
      </w:pPr>
      <w:r>
        <w:rPr>
          <w:rFonts w:ascii="仿宋_GB2312" w:eastAsia="仿宋_GB2312"/>
          <w:sz w:val="36"/>
          <w:szCs w:val="36"/>
          <w:lang w:eastAsia="zh-CN"/>
        </w:rPr>
        <w:br w:type="page"/>
      </w:r>
    </w:p>
    <w:p>
      <w:pPr>
        <w:snapToGrid w:val="0"/>
        <w:jc w:val="center"/>
        <w:rPr>
          <w:rFonts w:ascii="方正小标宋简体" w:eastAsia="方正小标宋简体"/>
          <w:sz w:val="36"/>
          <w:szCs w:val="36"/>
          <w:lang w:eastAsia="zh-CN"/>
        </w:rPr>
      </w:pPr>
      <w:r>
        <w:rPr>
          <w:rFonts w:ascii="方正小标宋简体" w:eastAsia="方正小标宋简体"/>
          <w:sz w:val="36"/>
          <w:szCs w:val="36"/>
          <w:lang w:eastAsia="zh-CN"/>
        </w:rPr>
        <w:drawing>
          <wp:anchor distT="0" distB="0" distL="114300" distR="114300" simplePos="0" relativeHeight="251660288" behindDoc="0" locked="0" layoutInCell="1" allowOverlap="1">
            <wp:simplePos x="0" y="0"/>
            <wp:positionH relativeFrom="column">
              <wp:posOffset>-494665</wp:posOffset>
            </wp:positionH>
            <wp:positionV relativeFrom="paragraph">
              <wp:posOffset>-331470</wp:posOffset>
            </wp:positionV>
            <wp:extent cx="579120" cy="805180"/>
            <wp:effectExtent l="19050" t="0" r="0" b="0"/>
            <wp:wrapNone/>
            <wp:docPr id="4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 descr="我的插图-1"/>
                    <pic:cNvPicPr>
                      <a:picLocks noChangeAspect="1" noChangeArrowheads="1"/>
                    </pic:cNvPicPr>
                  </pic:nvPicPr>
                  <pic:blipFill>
                    <a:blip r:embed="rId6"/>
                    <a:srcRect/>
                    <a:stretch>
                      <a:fillRect/>
                    </a:stretch>
                  </pic:blipFill>
                  <pic:spPr>
                    <a:xfrm>
                      <a:off x="0" y="0"/>
                      <a:ext cx="579385" cy="805218"/>
                    </a:xfrm>
                    <a:prstGeom prst="rect">
                      <a:avLst/>
                    </a:prstGeom>
                    <a:noFill/>
                    <a:ln w="9525">
                      <a:noFill/>
                      <a:miter lim="800000"/>
                      <a:headEnd/>
                      <a:tailEnd/>
                    </a:ln>
                  </pic:spPr>
                </pic:pic>
              </a:graphicData>
            </a:graphic>
          </wp:anchor>
        </w:drawing>
      </w:r>
      <w:r>
        <w:rPr>
          <w:rFonts w:hint="eastAsia" w:ascii="方正小标宋简体" w:eastAsia="方正小标宋简体"/>
          <w:sz w:val="36"/>
          <w:szCs w:val="36"/>
          <w:lang w:eastAsia="zh-CN"/>
        </w:rPr>
        <w:t>贵阳农商银行理财产品协议</w:t>
      </w:r>
    </w:p>
    <w:p>
      <w:pPr>
        <w:snapToGrid w:val="0"/>
        <w:ind w:firstLine="361" w:firstLineChars="200"/>
        <w:rPr>
          <w:rFonts w:ascii="仿宋_GB2312" w:hAnsi="宋体" w:eastAsia="仿宋_GB2312"/>
          <w:b/>
          <w:sz w:val="18"/>
          <w:szCs w:val="18"/>
          <w:lang w:eastAsia="zh-CN"/>
        </w:rPr>
      </w:pPr>
      <w:r>
        <w:rPr>
          <w:rFonts w:hint="eastAsia" w:ascii="仿宋_GB2312" w:hAnsi="宋体" w:eastAsia="仿宋_GB2312"/>
          <w:b/>
          <w:sz w:val="18"/>
          <w:szCs w:val="18"/>
          <w:lang w:eastAsia="zh-CN"/>
        </w:rPr>
        <w:t>贵阳农商银行理财产品协议（以下简称“本协议”）与对应期次的理财产品说明书、风险揭示书以及客户权益须知为不可分割的理财合同。请在签署本协议前，仔细阅读本协议各条款。</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经甲方（客户）与乙方（贵阳农村商业银行股份有限公司）协商一致，就甲方向乙方购买理财产品，达成协议如下：</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二、甲方声明：甲方为具有完全民事行为能力的个人。甲方接受并签署《贵阳农商银行理财产品协议》及对应期次的理财产品说明书、风险揭示书以及客户权益须知，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乙方不承担任何责任；甲方承诺所提供的所有资料真实有效，如有变更，甲方应及时到原经办机构办理变更手续。</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三、本行理财产品相关交易，个人客户须持本人有效身份证件办理，不允许代理人代为办理。</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四、本协议仅适用于甲方向乙方购买的单笔理财产品，不同理财产品协议的效力及履行情况彼此独立。</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五、甲方认购理财产品并签署本协议后，即授权乙方在本协议项下资金账户内于认购日冻结相应资金，产品成立日从该账户内扣划相应资金。甲方承诺在该产品存续期，除非按照对应期次的理财产品说明书中约定行权终止理财产品，否则不得要求乙方提前退还被扣划款项，且不得将理财资金账户销户。因甲方理财资金账户冻结、销户、长期不动户等原因造成理财资金账户结算异常，导致投资本金及收益无法入账，甲方承担全部责任。因甲方理财资金账户挂失、换卡等原因造成有关账户变更，变更后甲方应及时到乙方网点办理理财账户变更，如因甲方未及时变更而造成本金或收益无法入账，甲方承担全部责任。</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六、因甲方理财资金账户资金余额不足或其他原因</w:t>
      </w:r>
      <w:r>
        <w:rPr>
          <w:rFonts w:ascii="仿宋_GB2312" w:hAnsi="宋体" w:eastAsia="仿宋_GB2312"/>
          <w:sz w:val="18"/>
          <w:szCs w:val="18"/>
          <w:lang w:eastAsia="zh-CN"/>
        </w:rPr>
        <w:t>(如冻结、挂失、换卡等)，导致认购\申购不成功，本协议自动终止，乙方不计付本理财产品的任何收益，并且乙方对此不承担任何责任。</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七、乙方将实际兑付的本金、收益（如有）转入甲方指定的理财资金账户后，即视为已向甲方支付本金、收益（如有），乙方不承担本金、收益（如有）入账后的甲方资金风险。乙方有权向甲方收取理财产品各项费用，收取方式甲方同意由乙方根据各期产品的具体情况自行予以决定，具体收费标准在本产品对应期次的理财产品说明书中载明。除另有约定外，乙方不负责代扣代缴甲方应缴纳的税款。</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八、发生下列情况之一时，乙方行使提前终止权：</w:t>
      </w:r>
    </w:p>
    <w:p>
      <w:pPr>
        <w:snapToGrid w:val="0"/>
        <w:ind w:firstLine="270" w:firstLineChars="150"/>
        <w:rPr>
          <w:rFonts w:ascii="仿宋_GB2312" w:hAnsi="宋体" w:eastAsia="仿宋_GB2312"/>
          <w:sz w:val="18"/>
          <w:szCs w:val="18"/>
          <w:lang w:eastAsia="zh-CN"/>
        </w:rPr>
      </w:pPr>
      <w:r>
        <w:rPr>
          <w:rFonts w:hint="eastAsia" w:ascii="仿宋_GB2312" w:hAnsi="宋体" w:eastAsia="仿宋_GB2312"/>
          <w:sz w:val="18"/>
          <w:szCs w:val="18"/>
          <w:lang w:eastAsia="zh-CN"/>
        </w:rPr>
        <w:t>（一）如因本理财产品资产运作模式等与法律法规、规章的规定或者监管部门的要求等存在冲突导致理财产品必须提前终止的；</w:t>
      </w:r>
    </w:p>
    <w:p>
      <w:pPr>
        <w:snapToGrid w:val="0"/>
        <w:ind w:firstLine="270" w:firstLineChars="150"/>
        <w:rPr>
          <w:rFonts w:ascii="仿宋_GB2312" w:hAnsi="宋体" w:eastAsia="仿宋_GB2312"/>
          <w:spacing w:val="-2"/>
          <w:sz w:val="18"/>
          <w:szCs w:val="18"/>
          <w:lang w:eastAsia="zh-CN"/>
        </w:rPr>
      </w:pPr>
      <w:r>
        <w:rPr>
          <w:rFonts w:hint="eastAsia" w:ascii="仿宋_GB2312" w:hAnsi="宋体" w:eastAsia="仿宋_GB2312"/>
          <w:sz w:val="18"/>
          <w:szCs w:val="18"/>
          <w:lang w:eastAsia="zh-CN"/>
        </w:rPr>
        <w:t>（二）</w:t>
      </w:r>
      <w:r>
        <w:rPr>
          <w:rFonts w:hint="eastAsia" w:ascii="仿宋_GB2312" w:hAnsi="宋体" w:eastAsia="仿宋_GB2312"/>
          <w:spacing w:val="-2"/>
          <w:sz w:val="18"/>
          <w:szCs w:val="18"/>
          <w:lang w:eastAsia="zh-CN"/>
        </w:rPr>
        <w:t>国家有关法律、法规、规章、政策的改变、紧急措施的出台、理财市场环境发生重大变化等导致理财产品必须提前终止的；</w:t>
      </w:r>
    </w:p>
    <w:p>
      <w:pPr>
        <w:snapToGrid w:val="0"/>
        <w:ind w:firstLine="270" w:firstLineChars="150"/>
        <w:rPr>
          <w:rFonts w:ascii="仿宋_GB2312" w:hAnsi="宋体" w:eastAsia="仿宋_GB2312"/>
          <w:sz w:val="18"/>
          <w:szCs w:val="18"/>
          <w:lang w:eastAsia="zh-CN"/>
        </w:rPr>
      </w:pPr>
      <w:r>
        <w:rPr>
          <w:rFonts w:hint="eastAsia" w:ascii="仿宋_GB2312" w:hAnsi="宋体" w:eastAsia="仿宋_GB2312"/>
          <w:sz w:val="18"/>
          <w:szCs w:val="18"/>
          <w:lang w:eastAsia="zh-CN"/>
        </w:rPr>
        <w:t>（三）因地震、火灾、战争、罢工等不可抗力因素导致本理财产品必须提前终止的；</w:t>
      </w:r>
    </w:p>
    <w:p>
      <w:pPr>
        <w:snapToGrid w:val="0"/>
        <w:ind w:firstLine="270" w:firstLineChars="150"/>
        <w:rPr>
          <w:rFonts w:ascii="仿宋_GB2312" w:hAnsi="宋体" w:eastAsia="仿宋_GB2312"/>
          <w:sz w:val="18"/>
          <w:szCs w:val="18"/>
          <w:lang w:eastAsia="zh-CN"/>
        </w:rPr>
      </w:pPr>
      <w:r>
        <w:rPr>
          <w:rFonts w:hint="eastAsia" w:ascii="仿宋_GB2312" w:hAnsi="宋体" w:eastAsia="仿宋_GB2312"/>
          <w:sz w:val="18"/>
          <w:szCs w:val="18"/>
          <w:lang w:eastAsia="zh-CN"/>
        </w:rPr>
        <w:t>（四）乙方认为应该提前终止本理财产品的其他情况。</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九、乙方行使提前终止权时，甲、乙双方一致同意乙方可采取任意一种或多种方式通知甲方，通知方式包括但不限于（短信、电话、乙方网站公告、信函）。无论乙方是否以前述方式通知到甲方，甲方同意乙方将行使提前终止权的理财产品本金与收益划入甲方理财资金账户，即视同乙方已经通知甲方。甲方不得以未知晓乙方提前终止而向乙方提出任何损失赔偿。</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十、未经乙方同意，甲方不得将本协议项下任何权利和义务向任何第三人转让。</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一、因法律法规及监管政策变化、自然灾害、意外事故、战争、系统故障、通讯故障、电力故障等不可抗力或意外事件，导致乙方无法或延后履行本协议的有关义务，乙方不承担责任，但应在条件允许的情况下采取第九条约定的方式通知甲方，并采取一切必要的补救措施以减少有关损失。</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十二、理财产品存续期间内，乙方有权通过网站以及各销售网点和其他信息平台、渠道发布对理财产品说明书条款进行补充、说明和修改。甲方应定期通过上述相关渠道获知有关理财产品的相关信息。</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三、如果甲方未及时查询，或由于通讯故障、系统故障、电力故障以及其他不可抗力等因素的影响使得甲方无法及时了解理财产品信息，并由此影响甲方的投资决策，因此而产生的责任和风险由甲方自行承担。另外，甲方预留在乙方的有效联系方式变更的，应及时到乙方网点办理信息变更。如因甲方未及时告知乙方联系方式变更的，乙方将可能在需要联系甲方时无法及时联系上，并可能会由此影响甲方的投资决策，由此而产生的责任、风险和损失由甲方自行承担。</w:t>
      </w:r>
    </w:p>
    <w:p>
      <w:pPr>
        <w:snapToGrid w:val="0"/>
        <w:ind w:firstLine="360" w:firstLineChars="200"/>
        <w:rPr>
          <w:rFonts w:ascii="仿宋_GB2312" w:hAnsi="宋体" w:eastAsia="仿宋_GB2312"/>
          <w:spacing w:val="-2"/>
          <w:sz w:val="18"/>
          <w:szCs w:val="18"/>
          <w:lang w:eastAsia="zh-CN"/>
        </w:rPr>
      </w:pPr>
      <w:r>
        <w:rPr>
          <w:rFonts w:hint="eastAsia" w:ascii="仿宋_GB2312" w:hAnsi="宋体" w:eastAsia="仿宋_GB2312"/>
          <w:sz w:val="18"/>
          <w:szCs w:val="18"/>
          <w:lang w:eastAsia="zh-CN"/>
        </w:rPr>
        <w:t>十四、</w:t>
      </w:r>
      <w:r>
        <w:rPr>
          <w:rFonts w:hint="eastAsia" w:ascii="仿宋_GB2312" w:hAnsi="宋体" w:eastAsia="仿宋_GB2312"/>
          <w:spacing w:val="-2"/>
          <w:sz w:val="18"/>
          <w:szCs w:val="18"/>
          <w:lang w:eastAsia="zh-CN"/>
        </w:rPr>
        <w:t>本协议中部分条款的效力，不影响其他条款的效力。甲乙双方因履行本协议或与本协议有关的活动而产生的一切争议，应首先本着诚实信用原则通过友好协商解决；不能协商解决的，由乙方所在地人民法院通过诉讼解决。</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十五、乙方发现甲方有涉嫌洗钱、恶意逃避税收管理等违法违规行为的，将按照国家有关规定向相关部门报告，并按规定报送甲方的相关信息。</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十六、本协议一式二联，第一联乙方留存，第二联客户留存。具有同等法律效力。</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十七、本协议自甲、乙双方签署之日起生效。如出现甲方认购理财产品失败、理财产品不成立、乙方行使提前终止权、理财产品到期并结清任一情形的，本协议自动终止。</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十八、本协议由贵阳农商银行制定、修改和解释。</w:t>
      </w:r>
    </w:p>
    <w:p>
      <w:pPr>
        <w:snapToGrid w:val="0"/>
        <w:ind w:firstLine="360" w:firstLineChars="200"/>
        <w:rPr>
          <w:rFonts w:ascii="仿宋_GB2312" w:hAnsi="宋体" w:eastAsia="仿宋_GB2312"/>
          <w:sz w:val="18"/>
          <w:szCs w:val="18"/>
          <w:lang w:eastAsia="zh-CN"/>
        </w:rPr>
      </w:pPr>
    </w:p>
    <w:p>
      <w:pPr>
        <w:widowControl/>
        <w:rPr>
          <w:rFonts w:ascii="仿宋_GB2312" w:hAnsi="宋体" w:eastAsia="仿宋_GB2312"/>
          <w:sz w:val="20"/>
          <w:szCs w:val="18"/>
          <w:lang w:eastAsia="zh-CN"/>
        </w:rPr>
      </w:pPr>
      <w:r>
        <w:rPr>
          <w:rFonts w:ascii="仿宋_GB2312" w:hAnsi="宋体" w:eastAsia="仿宋_GB2312"/>
          <w:sz w:val="18"/>
          <w:szCs w:val="18"/>
          <w:lang w:eastAsia="zh-CN"/>
        </w:rPr>
        <w:drawing>
          <wp:anchor distT="0" distB="0" distL="114300" distR="114300" simplePos="0" relativeHeight="251661312" behindDoc="0" locked="0" layoutInCell="1" allowOverlap="1">
            <wp:simplePos x="0" y="0"/>
            <wp:positionH relativeFrom="column">
              <wp:posOffset>149860</wp:posOffset>
            </wp:positionH>
            <wp:positionV relativeFrom="paragraph">
              <wp:posOffset>-123190</wp:posOffset>
            </wp:positionV>
            <wp:extent cx="593725" cy="810895"/>
            <wp:effectExtent l="19050" t="0" r="0" b="0"/>
            <wp:wrapNone/>
            <wp:docPr id="41"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 descr="我的插图-1"/>
                    <pic:cNvPicPr>
                      <a:picLocks noChangeAspect="1" noChangeArrowheads="1"/>
                    </pic:cNvPicPr>
                  </pic:nvPicPr>
                  <pic:blipFill>
                    <a:blip r:embed="rId6"/>
                    <a:srcRect/>
                    <a:stretch>
                      <a:fillRect/>
                    </a:stretch>
                  </pic:blipFill>
                  <pic:spPr>
                    <a:xfrm>
                      <a:off x="0" y="0"/>
                      <a:ext cx="593425" cy="810883"/>
                    </a:xfrm>
                    <a:prstGeom prst="rect">
                      <a:avLst/>
                    </a:prstGeom>
                    <a:noFill/>
                    <a:ln w="9525">
                      <a:noFill/>
                      <a:miter lim="800000"/>
                      <a:headEnd/>
                      <a:tailEnd/>
                    </a:ln>
                  </pic:spPr>
                </pic:pic>
              </a:graphicData>
            </a:graphic>
          </wp:anchor>
        </w:drawing>
      </w:r>
    </w:p>
    <w:p>
      <w:pPr>
        <w:snapToGrid w:val="0"/>
        <w:spacing w:line="360" w:lineRule="auto"/>
        <w:ind w:firstLine="720" w:firstLineChars="200"/>
        <w:jc w:val="center"/>
        <w:rPr>
          <w:rFonts w:ascii="方正小标宋简体" w:eastAsia="方正小标宋简体"/>
          <w:color w:val="000000"/>
          <w:sz w:val="36"/>
          <w:szCs w:val="36"/>
          <w:lang w:eastAsia="zh-CN"/>
        </w:rPr>
      </w:pPr>
      <w:r>
        <w:rPr>
          <w:rFonts w:hint="eastAsia" w:ascii="方正小标宋简体" w:eastAsia="方正小标宋简体"/>
          <w:sz w:val="36"/>
          <w:szCs w:val="36"/>
          <w:lang w:eastAsia="zh-CN"/>
        </w:rPr>
        <w:t>贵阳农商银行</w:t>
      </w:r>
      <w:r>
        <w:rPr>
          <w:rFonts w:hint="eastAsia" w:ascii="方正小标宋简体" w:eastAsia="方正小标宋简体"/>
          <w:color w:val="000000"/>
          <w:sz w:val="36"/>
          <w:szCs w:val="36"/>
          <w:lang w:eastAsia="zh-CN"/>
        </w:rPr>
        <w:t>理财产品客户权益须知</w:t>
      </w:r>
    </w:p>
    <w:p>
      <w:pPr>
        <w:snapToGrid w:val="0"/>
        <w:rPr>
          <w:rFonts w:ascii="仿宋_GB2312" w:hAnsi="仿宋_GB2312" w:eastAsia="仿宋_GB2312" w:cs="仿宋_GB2312"/>
          <w:color w:val="000000"/>
          <w:sz w:val="26"/>
          <w:szCs w:val="26"/>
          <w:lang w:eastAsia="zh-CN"/>
        </w:rPr>
      </w:pPr>
      <w:r>
        <w:rPr>
          <w:rFonts w:hint="eastAsia" w:ascii="仿宋_GB2312" w:hAnsi="仿宋_GB2312" w:eastAsia="仿宋_GB2312" w:cs="仿宋_GB2312"/>
          <w:b/>
          <w:color w:val="000000"/>
          <w:sz w:val="26"/>
          <w:szCs w:val="26"/>
          <w:lang w:eastAsia="zh-CN"/>
        </w:rPr>
        <w:t>尊敬的客户：</w:t>
      </w:r>
    </w:p>
    <w:p>
      <w:pPr>
        <w:snapToGrid w:val="0"/>
        <w:ind w:firstLine="400" w:firstLineChars="200"/>
        <w:rPr>
          <w:rFonts w:ascii="仿宋_GB2312" w:eastAsia="仿宋_GB2312" w:cs="Times New Roman" w:hAnsiTheme="minorEastAsia"/>
          <w:color w:val="000000"/>
          <w:sz w:val="20"/>
          <w:lang w:eastAsia="zh-CN"/>
        </w:rPr>
      </w:pPr>
      <w:r>
        <w:rPr>
          <w:rFonts w:hint="eastAsia" w:ascii="仿宋_GB2312" w:eastAsia="仿宋_GB2312" w:cs="Times New Roman" w:hAnsiTheme="minorEastAsia"/>
          <w:color w:val="000000"/>
          <w:sz w:val="20"/>
          <w:lang w:eastAsia="zh-CN"/>
        </w:rPr>
        <w:t>本行销售的理财产品与存款存在明显区别，在获取收益的同时存在一定的风险。为了保护您的合法权益，请在购买理财产品前认真阅读以下内容：</w:t>
      </w:r>
    </w:p>
    <w:p>
      <w:pPr>
        <w:snapToGrid w:val="0"/>
        <w:ind w:firstLine="431" w:firstLineChars="196"/>
        <w:rPr>
          <w:rFonts w:ascii="黑体" w:hAnsi="黑体" w:eastAsia="黑体" w:cs="Times New Roman"/>
          <w:color w:val="000000"/>
          <w:lang w:eastAsia="zh-CN"/>
        </w:rPr>
      </w:pPr>
      <w:r>
        <w:rPr>
          <w:rFonts w:ascii="黑体" w:hAnsi="黑体" w:eastAsia="黑体" w:cs="Times New Roman"/>
          <w:color w:val="000000"/>
          <w:lang w:eastAsia="zh-CN"/>
        </w:rPr>
        <w:t>一、购买理财产品流程</w:t>
      </w:r>
    </w:p>
    <w:p>
      <w:pPr>
        <w:snapToGrid w:val="0"/>
        <w:ind w:firstLine="400" w:firstLineChars="200"/>
        <w:rPr>
          <w:rFonts w:ascii="仿宋_GB2312" w:eastAsia="仿宋_GB2312" w:cs="Times New Roman" w:hAnsiTheme="minorEastAsia"/>
          <w:color w:val="000000"/>
          <w:sz w:val="20"/>
          <w:lang w:eastAsia="zh-CN"/>
        </w:rPr>
      </w:pPr>
      <w:r>
        <w:rPr>
          <w:rFonts w:hint="eastAsia" w:ascii="仿宋_GB2312" w:eastAsia="仿宋_GB2312" w:cs="Times New Roman" w:hAnsiTheme="minorEastAsia"/>
          <w:color w:val="000000"/>
          <w:sz w:val="20"/>
          <w:lang w:eastAsia="zh-CN"/>
        </w:rPr>
        <w:t>（一）客户填写《风险评估问卷》进行风险评估，阅读《风险揭示书》，依据自身的投资经验、目标、财务状况、承担风险能力等自行决定是否购买本产品。</w:t>
      </w:r>
    </w:p>
    <w:p>
      <w:pPr>
        <w:snapToGrid w:val="0"/>
        <w:ind w:firstLine="400" w:firstLineChars="200"/>
        <w:rPr>
          <w:rFonts w:ascii="仿宋_GB2312" w:eastAsia="仿宋_GB2312" w:cs="Times New Roman" w:hAnsiTheme="minorEastAsia"/>
          <w:color w:val="000000"/>
          <w:sz w:val="20"/>
          <w:lang w:eastAsia="zh-CN"/>
        </w:rPr>
      </w:pPr>
      <w:r>
        <w:rPr>
          <w:rFonts w:hint="eastAsia" w:ascii="仿宋_GB2312" w:eastAsia="仿宋_GB2312" w:cs="Times New Roman" w:hAnsiTheme="minorEastAsia"/>
          <w:color w:val="000000"/>
          <w:sz w:val="20"/>
          <w:lang w:eastAsia="zh-CN"/>
        </w:rPr>
        <w:t>（二）客户可通过营业网点和电子渠道办理理财业务，具体开办机构及办理时间以贵阳农商银行发布的信息为准。</w:t>
      </w:r>
    </w:p>
    <w:p>
      <w:pPr>
        <w:snapToGrid w:val="0"/>
        <w:ind w:firstLine="400" w:firstLineChars="200"/>
        <w:rPr>
          <w:rFonts w:ascii="仿宋_GB2312" w:eastAsia="仿宋_GB2312" w:cs="Times New Roman" w:hAnsiTheme="minorEastAsia"/>
          <w:color w:val="000000"/>
          <w:sz w:val="20"/>
          <w:lang w:eastAsia="zh-CN"/>
        </w:rPr>
      </w:pPr>
      <w:r>
        <w:rPr>
          <w:rFonts w:hint="eastAsia" w:ascii="仿宋_GB2312" w:eastAsia="仿宋_GB2312" w:cs="Times New Roman" w:hAnsiTheme="minorEastAsia"/>
          <w:color w:val="000000"/>
          <w:sz w:val="20"/>
          <w:lang w:eastAsia="zh-CN"/>
        </w:rPr>
        <w:t>（三）个人客户已在我行开立个人结算账户，并存入足额资金。</w:t>
      </w:r>
    </w:p>
    <w:p>
      <w:pPr>
        <w:snapToGrid w:val="0"/>
        <w:ind w:firstLine="400" w:firstLineChars="200"/>
        <w:rPr>
          <w:rFonts w:ascii="仿宋_GB2312" w:eastAsia="仿宋_GB2312" w:cs="Times New Roman" w:hAnsiTheme="minorEastAsia"/>
          <w:color w:val="000000"/>
          <w:sz w:val="20"/>
          <w:lang w:eastAsia="zh-CN"/>
        </w:rPr>
      </w:pPr>
      <w:r>
        <w:rPr>
          <w:rFonts w:hint="eastAsia" w:ascii="仿宋_GB2312" w:eastAsia="仿宋_GB2312" w:cs="Times New Roman" w:hAnsiTheme="minorEastAsia"/>
          <w:color w:val="000000"/>
          <w:sz w:val="20"/>
          <w:lang w:eastAsia="zh-CN"/>
        </w:rPr>
        <w:t>（四）客户阅读理财销售文本，详细了解本期理财产品情况。</w:t>
      </w:r>
    </w:p>
    <w:p>
      <w:pPr>
        <w:snapToGrid w:val="0"/>
        <w:ind w:firstLine="400" w:firstLineChars="200"/>
        <w:rPr>
          <w:rFonts w:ascii="仿宋_GB2312" w:eastAsia="仿宋_GB2312" w:cs="Times New Roman" w:hAnsiTheme="minorEastAsia"/>
          <w:color w:val="000000"/>
          <w:sz w:val="20"/>
          <w:lang w:eastAsia="zh-CN"/>
        </w:rPr>
      </w:pPr>
      <w:r>
        <w:rPr>
          <w:rFonts w:hint="eastAsia" w:ascii="仿宋_GB2312" w:eastAsia="仿宋_GB2312" w:cs="Times New Roman" w:hAnsiTheme="minorEastAsia"/>
          <w:color w:val="000000"/>
          <w:sz w:val="20"/>
          <w:lang w:eastAsia="zh-CN"/>
        </w:rPr>
        <w:t>（五）购买意向无误，个人客户持本人身份证件，签订理财销售文本。</w:t>
      </w:r>
    </w:p>
    <w:p>
      <w:pPr>
        <w:snapToGrid w:val="0"/>
        <w:ind w:firstLine="440" w:firstLineChars="200"/>
        <w:rPr>
          <w:rFonts w:ascii="黑体" w:hAnsi="黑体" w:eastAsia="黑体" w:cs="Times New Roman"/>
          <w:color w:val="000000"/>
          <w:sz w:val="20"/>
          <w:lang w:eastAsia="zh-CN"/>
        </w:rPr>
      </w:pPr>
      <w:r>
        <w:rPr>
          <w:rFonts w:ascii="黑体" w:hAnsi="黑体" w:eastAsia="黑体" w:cs="Times New Roman"/>
          <w:color w:val="000000"/>
          <w:lang w:eastAsia="zh-CN"/>
        </w:rPr>
        <w:t>二、客户风险承受能力评估流程</w:t>
      </w:r>
    </w:p>
    <w:p>
      <w:pPr>
        <w:snapToGrid w:val="0"/>
        <w:ind w:firstLine="400" w:firstLineChars="200"/>
        <w:rPr>
          <w:rFonts w:ascii="仿宋_GB2312" w:eastAsia="仿宋_GB2312" w:cs="Times New Roman" w:hAnsiTheme="minorEastAsia"/>
          <w:bCs/>
          <w:color w:val="000000"/>
          <w:sz w:val="20"/>
          <w:lang w:eastAsia="zh-CN"/>
        </w:rPr>
      </w:pPr>
      <w:r>
        <w:rPr>
          <w:rFonts w:hint="eastAsia" w:ascii="仿宋_GB2312" w:eastAsia="仿宋_GB2312" w:cs="Times New Roman" w:hAnsiTheme="minorEastAsia"/>
          <w:bCs/>
          <w:color w:val="000000"/>
          <w:sz w:val="20"/>
          <w:lang w:eastAsia="zh-CN"/>
        </w:rPr>
        <w:t>（一）客户在首次购买理财产品前，应前往贵阳农商银行营业网点进行风险承受能力评估，签署《</w:t>
      </w:r>
      <w:r>
        <w:rPr>
          <w:rFonts w:hint="eastAsia" w:ascii="仿宋_GB2312" w:eastAsia="仿宋_GB2312" w:cs="Times New Roman" w:hAnsiTheme="minorEastAsia"/>
          <w:color w:val="000000"/>
          <w:sz w:val="20"/>
          <w:lang w:eastAsia="zh-CN"/>
        </w:rPr>
        <w:t>风险评估问卷</w:t>
      </w:r>
      <w:r>
        <w:rPr>
          <w:rFonts w:hint="eastAsia" w:ascii="仿宋_GB2312" w:eastAsia="仿宋_GB2312" w:cs="Times New Roman" w:hAnsiTheme="minorEastAsia"/>
          <w:bCs/>
          <w:color w:val="000000"/>
          <w:sz w:val="20"/>
          <w:lang w:eastAsia="zh-CN"/>
        </w:rPr>
        <w:t>》确认评估结果。</w:t>
      </w:r>
    </w:p>
    <w:p>
      <w:pPr>
        <w:snapToGrid w:val="0"/>
        <w:ind w:firstLine="400" w:firstLineChars="200"/>
        <w:rPr>
          <w:rFonts w:ascii="仿宋_GB2312" w:eastAsia="仿宋_GB2312" w:cs="Times New Roman" w:hAnsiTheme="minorEastAsia"/>
          <w:bCs/>
          <w:color w:val="000000"/>
          <w:sz w:val="20"/>
          <w:lang w:eastAsia="zh-CN"/>
        </w:rPr>
      </w:pPr>
      <w:r>
        <w:rPr>
          <w:rFonts w:hint="eastAsia" w:ascii="仿宋_GB2312" w:eastAsia="仿宋_GB2312" w:cs="Times New Roman" w:hAnsiTheme="minorEastAsia"/>
          <w:bCs/>
          <w:color w:val="000000"/>
          <w:sz w:val="20"/>
          <w:lang w:eastAsia="zh-CN"/>
        </w:rPr>
        <w:t>（二）客户风险评估超过一年或发生可能影响自身风险承受能力情况的，再次购买理财产品时，必须通过营业网点或电子渠道重新完成风险承受能力持续评估。</w:t>
      </w:r>
    </w:p>
    <w:tbl>
      <w:tblPr>
        <w:tblStyle w:val="8"/>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产品风险等级</w:t>
            </w:r>
          </w:p>
        </w:tc>
        <w:tc>
          <w:tcPr>
            <w:tcW w:w="1290" w:type="dxa"/>
            <w:tcBorders>
              <w:top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风险程度</w:t>
            </w:r>
          </w:p>
        </w:tc>
        <w:tc>
          <w:tcPr>
            <w:tcW w:w="3543" w:type="dxa"/>
            <w:tcBorders>
              <w:top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适合的投资者</w:t>
            </w:r>
          </w:p>
        </w:tc>
        <w:tc>
          <w:tcPr>
            <w:tcW w:w="1560" w:type="dxa"/>
            <w:tcBorders>
              <w:top w:val="single" w:color="000000" w:sz="12" w:space="0"/>
              <w:right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适合投资策略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一级</w:t>
            </w:r>
          </w:p>
        </w:tc>
        <w:tc>
          <w:tcPr>
            <w:tcW w:w="1290" w:type="dxa"/>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低</w:t>
            </w:r>
          </w:p>
        </w:tc>
        <w:tc>
          <w:tcPr>
            <w:tcW w:w="3543" w:type="dxa"/>
          </w:tcPr>
          <w:p>
            <w:pPr>
              <w:pStyle w:val="21"/>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保守、稳健、平衡、成长、进取型</w:t>
            </w:r>
          </w:p>
        </w:tc>
        <w:tc>
          <w:tcPr>
            <w:tcW w:w="1560" w:type="dxa"/>
            <w:tcBorders>
              <w:right w:val="single" w:color="000000" w:sz="12" w:space="0"/>
            </w:tcBorders>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风险控制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二级</w:t>
            </w:r>
          </w:p>
        </w:tc>
        <w:tc>
          <w:tcPr>
            <w:tcW w:w="1290" w:type="dxa"/>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较低</w:t>
            </w:r>
          </w:p>
        </w:tc>
        <w:tc>
          <w:tcPr>
            <w:tcW w:w="3543" w:type="dxa"/>
          </w:tcPr>
          <w:p>
            <w:pPr>
              <w:pStyle w:val="21"/>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稳健、平衡、成长、进取型</w:t>
            </w:r>
          </w:p>
        </w:tc>
        <w:tc>
          <w:tcPr>
            <w:tcW w:w="1560" w:type="dxa"/>
            <w:tcBorders>
              <w:right w:val="single" w:color="000000" w:sz="12" w:space="0"/>
            </w:tcBorders>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稳健发展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三级</w:t>
            </w:r>
          </w:p>
        </w:tc>
        <w:tc>
          <w:tcPr>
            <w:tcW w:w="1290" w:type="dxa"/>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中</w:t>
            </w:r>
          </w:p>
        </w:tc>
        <w:tc>
          <w:tcPr>
            <w:tcW w:w="3543" w:type="dxa"/>
          </w:tcPr>
          <w:p>
            <w:pPr>
              <w:pStyle w:val="21"/>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平衡、成长、进取型</w:t>
            </w:r>
          </w:p>
        </w:tc>
        <w:tc>
          <w:tcPr>
            <w:tcW w:w="1560" w:type="dxa"/>
            <w:tcBorders>
              <w:right w:val="single" w:color="000000" w:sz="12" w:space="0"/>
            </w:tcBorders>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均衡成长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四级</w:t>
            </w:r>
          </w:p>
        </w:tc>
        <w:tc>
          <w:tcPr>
            <w:tcW w:w="1290" w:type="dxa"/>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较高</w:t>
            </w:r>
          </w:p>
        </w:tc>
        <w:tc>
          <w:tcPr>
            <w:tcW w:w="3543" w:type="dxa"/>
          </w:tcPr>
          <w:p>
            <w:pPr>
              <w:pStyle w:val="21"/>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成长、进取型</w:t>
            </w:r>
          </w:p>
        </w:tc>
        <w:tc>
          <w:tcPr>
            <w:tcW w:w="1560" w:type="dxa"/>
            <w:tcBorders>
              <w:right w:val="single" w:color="000000" w:sz="12" w:space="0"/>
            </w:tcBorders>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积极进取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五级</w:t>
            </w:r>
          </w:p>
        </w:tc>
        <w:tc>
          <w:tcPr>
            <w:tcW w:w="1290" w:type="dxa"/>
            <w:tcBorders>
              <w:bottom w:val="single" w:color="000000" w:sz="12" w:space="0"/>
            </w:tcBorders>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高</w:t>
            </w:r>
          </w:p>
        </w:tc>
        <w:tc>
          <w:tcPr>
            <w:tcW w:w="3543" w:type="dxa"/>
            <w:tcBorders>
              <w:bottom w:val="single" w:color="000000" w:sz="12" w:space="0"/>
            </w:tcBorders>
          </w:tcPr>
          <w:p>
            <w:pPr>
              <w:pStyle w:val="21"/>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风险承受</w:t>
            </w:r>
          </w:p>
        </w:tc>
      </w:tr>
    </w:tbl>
    <w:p>
      <w:pPr>
        <w:snapToGrid w:val="0"/>
        <w:ind w:firstLine="440" w:firstLineChars="200"/>
        <w:rPr>
          <w:rFonts w:ascii="黑体" w:hAnsi="黑体" w:eastAsia="黑体" w:cs="Times New Roman"/>
          <w:color w:val="000000"/>
          <w:lang w:eastAsia="zh-CN"/>
        </w:rPr>
      </w:pPr>
      <w:r>
        <w:rPr>
          <w:rFonts w:hint="eastAsia" w:ascii="黑体" w:hAnsi="黑体" w:eastAsia="黑体" w:cs="Times New Roman"/>
          <w:color w:val="000000"/>
          <w:lang w:eastAsia="zh-CN"/>
        </w:rPr>
        <w:t>三、信息披露</w:t>
      </w:r>
    </w:p>
    <w:p>
      <w:pPr>
        <w:pStyle w:val="3"/>
        <w:spacing w:before="0"/>
        <w:ind w:left="0" w:right="153" w:firstLine="400"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Cs/>
          <w:color w:val="000000"/>
          <w:sz w:val="20"/>
          <w:szCs w:val="22"/>
          <w:lang w:eastAsia="zh-CN"/>
        </w:rPr>
        <w:t>贵阳农商银行通过贵阳农商银行网站</w:t>
      </w:r>
      <w:r>
        <w:rPr>
          <w:rFonts w:hint="eastAsia" w:ascii="仿宋_GB2312" w:eastAsia="仿宋_GB2312" w:cs="Times New Roman" w:hAnsiTheme="minorEastAsia"/>
          <w:bCs/>
          <w:color w:val="auto"/>
          <w:sz w:val="20"/>
          <w:szCs w:val="22"/>
          <w:u w:val="none"/>
          <w:lang w:eastAsia="zh-CN"/>
        </w:rPr>
        <w:t>（www.gynsh.com</w:t>
      </w:r>
      <w:r>
        <w:rPr>
          <w:rFonts w:hint="eastAsia" w:ascii="仿宋_GB2312" w:eastAsia="仿宋_GB2312" w:cs="Times New Roman" w:hAnsiTheme="minorEastAsia"/>
          <w:bCs/>
          <w:color w:val="000000"/>
          <w:sz w:val="20"/>
          <w:szCs w:val="22"/>
          <w:lang w:eastAsia="zh-CN"/>
        </w:rPr>
        <w:t>）披露产品以下相关信息：在产品正常成立、产品终止的5个工作日内发布产品成立（包括本产品在全国银行业理财信息登记系统的登记编号）、产品终止信息；在每季度结束之日起15日内、上半年结束之日起60日内、每年结束之日起90日内，编制完成并发布理财产品的季度、半年和年度报告等定期报告；如贵阳农商银行拟调整产品规模上下限、调整业绩比较基准、调整投资范围、投资品种或投资比例、优化或升级产品、行使提前终止权、延长产品期限，则需在调整规模上下限之日、新的业绩比较基准启用日、新的投资范围、投资品种或投资比例启用日、产品优化或升级启用日、提前终止日、产品到期日等相关日之前至少2个工作日进行公告；如贵阳农商银行拟调整本产品相关费用费率，则需在费用费率调整日之前至少5个工作日进行公告；如发生产品到期时的延期/分次兑付情形，则于该情形发生后的2个工作日内进行公告；产品存续期内，每周前3个工作日内公布截至上周最后一个</w:t>
      </w:r>
      <w:r>
        <w:rPr>
          <w:rFonts w:hint="eastAsia" w:ascii="仿宋_GB2312" w:eastAsia="仿宋_GB2312" w:cs="Times New Roman" w:hAnsiTheme="minorEastAsia"/>
          <w:sz w:val="20"/>
          <w:lang w:eastAsia="zh-CN"/>
        </w:rPr>
        <w:t>交易日</w:t>
      </w:r>
      <w:r>
        <w:rPr>
          <w:rFonts w:hint="eastAsia" w:ascii="仿宋_GB2312" w:eastAsia="仿宋_GB2312" w:cs="Times New Roman" w:hAnsiTheme="minorEastAsia"/>
          <w:bCs/>
          <w:color w:val="000000"/>
          <w:sz w:val="20"/>
          <w:szCs w:val="22"/>
          <w:lang w:eastAsia="zh-CN"/>
        </w:rPr>
        <w:t>产品单位净值；产品到期或提前终止后，在产品到期日或提前终止日（如遇非工作日，则顺延至下一个工作日）后的3个工作日内发布到期日或提前终止日的产品单位净值。</w:t>
      </w:r>
      <w:r>
        <w:rPr>
          <w:rFonts w:ascii="仿宋_GB2312" w:eastAsia="仿宋_GB2312" w:cs="Times New Roman" w:hAnsiTheme="minorEastAsia"/>
          <w:b/>
          <w:sz w:val="20"/>
          <w:lang w:eastAsia="zh-CN"/>
        </w:rPr>
        <w:t>请客户注意及时在上述渠道上自行查询。</w:t>
      </w:r>
    </w:p>
    <w:p>
      <w:pPr>
        <w:snapToGrid w:val="0"/>
        <w:ind w:firstLine="440" w:firstLineChars="200"/>
        <w:rPr>
          <w:rFonts w:ascii="黑体" w:hAnsi="黑体" w:eastAsia="黑体" w:cs="Times New Roman"/>
          <w:color w:val="000000"/>
          <w:lang w:eastAsia="zh-CN"/>
        </w:rPr>
      </w:pPr>
      <w:r>
        <w:rPr>
          <w:rFonts w:hint="eastAsia" w:ascii="黑体" w:hAnsi="黑体" w:eastAsia="黑体" w:cs="Times New Roman"/>
          <w:color w:val="000000"/>
          <w:lang w:eastAsia="zh-CN"/>
        </w:rPr>
        <w:t>四、投诉及咨询电话</w:t>
      </w:r>
    </w:p>
    <w:p>
      <w:pPr>
        <w:snapToGrid w:val="0"/>
        <w:ind w:firstLine="400" w:firstLineChars="200"/>
        <w:rPr>
          <w:rFonts w:ascii="仿宋_GB2312" w:eastAsia="仿宋_GB2312" w:cs="Times New Roman" w:hAnsiTheme="minorEastAsia"/>
          <w:bCs/>
          <w:color w:val="000000"/>
          <w:sz w:val="20"/>
          <w:lang w:eastAsia="zh-CN"/>
        </w:rPr>
      </w:pPr>
      <w:r>
        <w:rPr>
          <w:rFonts w:hint="eastAsia" w:ascii="仿宋_GB2312" w:eastAsia="仿宋_GB2312" w:cs="Times New Roman" w:hAnsiTheme="minorEastAsia"/>
          <w:bCs/>
          <w:color w:val="000000"/>
          <w:sz w:val="20"/>
          <w:lang w:eastAsia="zh-CN"/>
        </w:rPr>
        <w:t>若您在理财产品办理中有任疑问或者投诉，可拨打我行客服电话0851-96777进行投诉，或到贵阳农商银行就近营业网点咨询。</w:t>
      </w:r>
    </w:p>
    <w:p>
      <w:pPr>
        <w:snapToGrid w:val="0"/>
        <w:ind w:firstLine="400" w:firstLineChars="200"/>
        <w:rPr>
          <w:rFonts w:ascii="仿宋_GB2312" w:eastAsia="仿宋_GB2312" w:cs="Times New Roman" w:hAnsiTheme="minorEastAsia"/>
          <w:bCs/>
          <w:color w:val="000000"/>
          <w:sz w:val="20"/>
          <w:lang w:eastAsia="zh-CN"/>
        </w:rPr>
      </w:pPr>
      <w:r>
        <w:rPr>
          <w:rFonts w:hint="eastAsia" w:ascii="仿宋_GB2312" w:eastAsia="仿宋_GB2312" w:cs="Times New Roman" w:hAnsiTheme="minorEastAsia"/>
          <w:bCs/>
          <w:color w:val="000000"/>
          <w:sz w:val="20"/>
          <w:lang w:eastAsia="zh-CN"/>
        </w:rPr>
        <w:t>投诉流程：1.投资者拨打0851-96777投诉；2. 客服中心记录投资者投诉内容；3.业务主管部门核实投诉情况，制定处理、解决方案；4.客服中心向投资者反馈处理结果。</w:t>
      </w:r>
    </w:p>
    <w:p>
      <w:pPr>
        <w:rPr>
          <w:rFonts w:ascii="Times New Roman" w:hAnsi="Times New Roman" w:eastAsia="方正小标宋简体" w:cs="Times New Roman"/>
          <w:spacing w:val="1"/>
          <w:sz w:val="30"/>
          <w:szCs w:val="30"/>
          <w:lang w:eastAsia="zh-CN"/>
        </w:rPr>
      </w:pPr>
      <w:r>
        <w:rPr>
          <w:rFonts w:ascii="Times New Roman" w:hAnsi="Times New Roman" w:eastAsia="方正小标宋简体" w:cs="Times New Roman"/>
          <w:spacing w:val="1"/>
          <w:lang w:eastAsia="zh-CN"/>
        </w:rPr>
        <w:br w:type="page"/>
      </w:r>
    </w:p>
    <w:p>
      <w:pPr>
        <w:pStyle w:val="14"/>
        <w:ind w:right="271"/>
        <w:jc w:val="center"/>
        <w:rPr>
          <w:rFonts w:ascii="Times New Roman" w:hAnsi="Times New Roman" w:eastAsia="方正小标宋简体" w:cs="Times New Roman"/>
          <w:spacing w:val="1"/>
          <w:sz w:val="36"/>
          <w:szCs w:val="36"/>
          <w:lang w:eastAsia="zh-CN"/>
        </w:rPr>
      </w:pPr>
      <w:r>
        <w:rPr>
          <w:rFonts w:ascii="Times New Roman" w:hAnsi="Times New Roman" w:eastAsia="方正小标宋简体" w:cs="Times New Roman"/>
          <w:spacing w:val="1"/>
          <w:sz w:val="36"/>
          <w:szCs w:val="36"/>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-250825</wp:posOffset>
            </wp:positionV>
            <wp:extent cx="580390" cy="805180"/>
            <wp:effectExtent l="19050" t="0" r="0" b="0"/>
            <wp:wrapNone/>
            <wp:docPr id="4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 descr="我的插图-1"/>
                    <pic:cNvPicPr>
                      <a:picLocks noChangeAspect="1" noChangeArrowheads="1"/>
                    </pic:cNvPicPr>
                  </pic:nvPicPr>
                  <pic:blipFill>
                    <a:blip r:embed="rId6"/>
                    <a:srcRect/>
                    <a:stretch>
                      <a:fillRect/>
                    </a:stretch>
                  </pic:blipFill>
                  <pic:spPr>
                    <a:xfrm>
                      <a:off x="0" y="0"/>
                      <a:ext cx="580655" cy="805217"/>
                    </a:xfrm>
                    <a:prstGeom prst="rect">
                      <a:avLst/>
                    </a:prstGeom>
                    <a:noFill/>
                    <a:ln w="9525">
                      <a:noFill/>
                      <a:miter lim="800000"/>
                      <a:headEnd/>
                      <a:tailEnd/>
                    </a:ln>
                  </pic:spPr>
                </pic:pic>
              </a:graphicData>
            </a:graphic>
          </wp:anchor>
        </w:drawing>
      </w:r>
      <w:r>
        <w:rPr>
          <w:rFonts w:hint="eastAsia" w:ascii="Times New Roman" w:hAnsi="Times New Roman" w:eastAsia="方正小标宋简体" w:cs="Times New Roman"/>
          <w:spacing w:val="1"/>
          <w:sz w:val="36"/>
          <w:szCs w:val="36"/>
          <w:lang w:eastAsia="zh-CN"/>
        </w:rPr>
        <w:t>贵阳农商银行</w:t>
      </w:r>
      <w:r>
        <w:rPr>
          <w:rFonts w:hint="eastAsia" w:ascii="Times New Roman" w:hAnsi="Times New Roman" w:eastAsia="方正小标宋简体" w:cs="Times New Roman"/>
          <w:sz w:val="36"/>
          <w:szCs w:val="36"/>
          <w:lang w:eastAsia="zh-CN"/>
        </w:rPr>
        <w:t>理财产品风险揭示书</w:t>
      </w:r>
    </w:p>
    <w:p>
      <w:pPr>
        <w:jc w:val="center"/>
        <w:rPr>
          <w:rFonts w:ascii="Times New Roman" w:hAnsi="Times New Roman" w:eastAsia="黑体" w:cs="Times New Roman"/>
          <w:sz w:val="24"/>
          <w:szCs w:val="20"/>
          <w:lang w:eastAsia="zh-CN"/>
        </w:rPr>
      </w:pPr>
      <w:r>
        <w:rPr>
          <w:rFonts w:ascii="Times New Roman" w:hAnsi="黑体" w:eastAsia="黑体" w:cs="Times New Roman"/>
          <w:b/>
          <w:sz w:val="24"/>
          <w:szCs w:val="20"/>
          <w:lang w:eastAsia="zh-CN"/>
        </w:rPr>
        <w:t>理财非存款、产品有风险、投资须谨慎。</w:t>
      </w:r>
    </w:p>
    <w:p>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尊敬的客户：</w:t>
      </w:r>
    </w:p>
    <w:p>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理财产品管理运用过程，可能会面临多种风险因素。因此，根据相关监管规定的要求，贵阳农商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，请您充分认识投资风险，谨慎投资。本产品任何业绩比较基准、预计收益、测算收益或类似表述均属不具有法律约束力的</w:t>
      </w:r>
      <w:r>
        <w:rPr>
          <w:rFonts w:ascii="仿宋_GB2312" w:hAnsi="黑体" w:eastAsia="仿宋_GB2312" w:cs="Times New Roman"/>
          <w:sz w:val="20"/>
          <w:szCs w:val="20"/>
          <w:lang w:eastAsia="zh-CN"/>
        </w:rPr>
        <w:t>用语，不代表客户可能获得的实际收益，亦不构成贵阳农商银行对本产品的任何收益承诺。</w:t>
      </w:r>
    </w:p>
    <w:p>
      <w:pPr>
        <w:ind w:left="140" w:right="154" w:firstLine="400"/>
        <w:jc w:val="both"/>
        <w:rPr>
          <w:rFonts w:ascii="仿宋_GB2312" w:hAnsi="Times New Roman" w:eastAsia="仿宋_GB2312" w:cs="Times New Roman"/>
          <w:sz w:val="20"/>
          <w:szCs w:val="20"/>
          <w:lang w:eastAsia="zh-CN"/>
        </w:rPr>
      </w:pPr>
      <w:r>
        <w:rPr>
          <w:rFonts w:ascii="仿宋_GB2312" w:hAnsi="黑体" w:eastAsia="仿宋_GB2312" w:cs="Times New Roman"/>
          <w:sz w:val="20"/>
          <w:szCs w:val="20"/>
          <w:lang w:eastAsia="zh-CN"/>
        </w:rPr>
        <w:t>本期产品期限</w:t>
      </w:r>
      <w:r>
        <w:rPr>
          <w:rFonts w:hint="eastAsia" w:ascii="仿宋_GB2312" w:hAnsi="Times New Roman" w:eastAsia="仿宋_GB2312" w:cs="Times New Roman"/>
          <w:b/>
          <w:sz w:val="20"/>
          <w:szCs w:val="20"/>
          <w:u w:val="single"/>
          <w:lang w:val="en-US" w:eastAsia="zh-CN"/>
        </w:rPr>
        <w:t>1094</w:t>
      </w:r>
      <w:r>
        <w:rPr>
          <w:rFonts w:ascii="仿宋_GB2312" w:hAnsi="黑体" w:eastAsia="仿宋_GB2312" w:cs="Times New Roman"/>
          <w:b/>
          <w:spacing w:val="-3"/>
          <w:sz w:val="20"/>
          <w:szCs w:val="20"/>
          <w:u w:val="single"/>
          <w:lang w:eastAsia="zh-CN"/>
        </w:rPr>
        <w:t>天</w:t>
      </w:r>
      <w:r>
        <w:rPr>
          <w:rFonts w:ascii="仿宋_GB2312" w:hAnsi="黑体" w:eastAsia="仿宋_GB2312" w:cs="Times New Roman"/>
          <w:spacing w:val="-3"/>
          <w:sz w:val="20"/>
          <w:szCs w:val="20"/>
          <w:lang w:eastAsia="zh-CN"/>
        </w:rPr>
        <w:t>（贵阳农商银行有权对本期产品进行展期和提前终止），存续期内产品</w:t>
      </w:r>
      <w:r>
        <w:rPr>
          <w:rFonts w:ascii="仿宋_GB2312" w:hAnsi="黑体" w:eastAsia="仿宋_GB2312" w:cs="Times New Roman"/>
          <w:sz w:val="20"/>
          <w:szCs w:val="20"/>
          <w:lang w:eastAsia="zh-CN"/>
        </w:rPr>
        <w:t>不接受申购或赎回申请。</w:t>
      </w:r>
      <w:r>
        <w:rPr>
          <w:rFonts w:ascii="仿宋_GB2312" w:hAnsi="黑体" w:eastAsia="仿宋_GB2312" w:cs="Times New Roman"/>
          <w:spacing w:val="-2"/>
          <w:sz w:val="20"/>
          <w:szCs w:val="20"/>
          <w:lang w:eastAsia="zh-CN"/>
        </w:rPr>
        <w:t>程度属于较低风险，</w:t>
      </w:r>
    </w:p>
    <w:p>
      <w:pPr>
        <w:ind w:left="140" w:right="151" w:firstLine="400"/>
        <w:jc w:val="both"/>
        <w:rPr>
          <w:rFonts w:ascii="仿宋_GB2312" w:hAnsi="黑体" w:eastAsia="仿宋_GB2312" w:cs="Times New Roman"/>
          <w:spacing w:val="2"/>
          <w:sz w:val="20"/>
          <w:szCs w:val="20"/>
          <w:lang w:eastAsia="zh-CN"/>
        </w:rPr>
      </w:pPr>
      <w:r>
        <w:rPr>
          <w:rFonts w:ascii="仿宋_GB2312" w:hAnsi="黑体" w:eastAsia="仿宋_GB2312" w:cs="Times New Roman"/>
          <w:spacing w:val="-2"/>
          <w:sz w:val="20"/>
          <w:szCs w:val="20"/>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lang w:eastAsia="zh-CN"/>
        </w:rPr>
        <w:t>，风险适用于稳健型、平衡型、成长型和进取型客户。最不利情况下，</w:t>
      </w:r>
      <w:r>
        <w:rPr>
          <w:rFonts w:ascii="仿宋_GB2312" w:hAnsi="黑体" w:eastAsia="仿宋_GB2312" w:cs="Times New Roman"/>
          <w:spacing w:val="2"/>
          <w:sz w:val="20"/>
          <w:szCs w:val="20"/>
          <w:lang w:eastAsia="zh-CN"/>
        </w:rPr>
        <w:t>资产组合无法回收任何本金和净收益，客户将损失全部本金。投资者不得使用贷款、发行债券等筹集的非自有资金投资本产品。</w:t>
      </w:r>
    </w:p>
    <w:p>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示例：若投资者购买本理财产品，理财产品本金为10万元</w:t>
      </w:r>
      <w:r>
        <w:rPr>
          <w:rFonts w:ascii="仿宋_GB2312" w:hAnsi="黑体" w:eastAsia="仿宋_GB2312" w:cs="Times New Roman"/>
          <w:spacing w:val="-2"/>
          <w:sz w:val="20"/>
          <w:szCs w:val="20"/>
          <w:lang w:eastAsia="zh-CN"/>
        </w:rPr>
        <w:t>，如果产品正常运作到期，产品期限</w:t>
      </w:r>
      <w:r>
        <w:rPr>
          <w:rFonts w:hint="eastAsia" w:ascii="仿宋_GB2312" w:hAnsi="黑体" w:eastAsia="仿宋_GB2312" w:cs="Times New Roman"/>
          <w:spacing w:val="-2"/>
          <w:sz w:val="20"/>
          <w:szCs w:val="20"/>
          <w:lang w:eastAsia="zh-CN"/>
        </w:rPr>
        <w:t>365天</w:t>
      </w:r>
      <w:r>
        <w:rPr>
          <w:rFonts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eastAsia="zh-CN"/>
        </w:rPr>
        <w:t>到期</w:t>
      </w:r>
      <w:r>
        <w:rPr>
          <w:rFonts w:ascii="仿宋_GB2312" w:hAnsi="黑体" w:eastAsia="仿宋_GB2312" w:cs="Times New Roman"/>
          <w:spacing w:val="-2"/>
          <w:sz w:val="20"/>
          <w:szCs w:val="20"/>
          <w:lang w:eastAsia="zh-CN"/>
        </w:rPr>
        <w:t>单位净值为1.0600元/份，除本金外，到期收益为：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eastAsia="zh-CN"/>
        </w:rPr>
        <w:t>(1.0600-1)</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6000.00</w:t>
      </w:r>
      <w:r>
        <w:rPr>
          <w:rFonts w:ascii="仿宋_GB2312" w:hAnsi="黑体" w:eastAsia="仿宋_GB2312" w:cs="Times New Roman"/>
          <w:spacing w:val="-2"/>
          <w:sz w:val="20"/>
          <w:szCs w:val="20"/>
          <w:lang w:eastAsia="zh-CN"/>
        </w:rPr>
        <w:t>（元），产品收益计算过程中保留</w:t>
      </w:r>
      <w:r>
        <w:rPr>
          <w:rFonts w:hint="eastAsia" w:ascii="仿宋_GB2312" w:hAnsi="黑体" w:eastAsia="仿宋_GB2312" w:cs="Times New Roman"/>
          <w:spacing w:val="-2"/>
          <w:sz w:val="20"/>
          <w:szCs w:val="20"/>
          <w:lang w:eastAsia="zh-CN"/>
        </w:rPr>
        <w:t>2</w:t>
      </w:r>
      <w:r>
        <w:rPr>
          <w:rFonts w:ascii="仿宋_GB2312" w:hAnsi="黑体" w:eastAsia="仿宋_GB2312" w:cs="Times New Roman"/>
          <w:spacing w:val="-2"/>
          <w:sz w:val="20"/>
          <w:szCs w:val="20"/>
          <w:lang w:eastAsia="zh-CN"/>
        </w:rPr>
        <w:t>位小数点四舍五入,存在尾差可能。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，理财产品10万元本金和收益将全部损失。</w:t>
      </w:r>
    </w:p>
    <w:p>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如影响您风险承受能力的因素发生变化，请及时完成风险承受能力评估。</w:t>
      </w:r>
    </w:p>
    <w:p>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8"/>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风险评级</w:t>
            </w:r>
          </w:p>
        </w:tc>
        <w:tc>
          <w:tcPr>
            <w:tcW w:w="4833" w:type="dxa"/>
            <w:tcBorders>
              <w:top w:val="single" w:color="000000" w:sz="12" w:space="0"/>
            </w:tcBorders>
            <w:vAlign w:val="center"/>
          </w:tcPr>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评级说明</w:t>
            </w:r>
          </w:p>
        </w:tc>
        <w:tc>
          <w:tcPr>
            <w:tcW w:w="2646" w:type="dxa"/>
            <w:tcBorders>
              <w:top w:val="single" w:color="000000" w:sz="12" w:space="0"/>
              <w:right w:val="single" w:color="000000" w:sz="12" w:space="0"/>
            </w:tcBorders>
            <w:vAlign w:val="center"/>
          </w:tcPr>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适合投资者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低风险级别</w:t>
            </w:r>
          </w:p>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w:t>
            </w:r>
            <w:r>
              <w:rPr>
                <w:rFonts w:hint="eastAsia" w:ascii="Times New Roman" w:hAnsi="Times New Roman" w:eastAsia="仿宋_GB2312" w:cs="Times New Roman"/>
                <w:color w:val="000000"/>
                <w:sz w:val="20"/>
                <w:lang w:eastAsia="zh-CN"/>
              </w:rPr>
              <w:t>一级</w:t>
            </w:r>
            <w:r>
              <w:rPr>
                <w:rFonts w:hint="eastAsia" w:ascii="Times New Roman" w:hAnsi="Times New Roman" w:eastAsia="仿宋_GB2312" w:cs="Times New Roman"/>
                <w:color w:val="000000"/>
                <w:sz w:val="20"/>
              </w:rPr>
              <w:t>）</w:t>
            </w:r>
          </w:p>
        </w:tc>
        <w:tc>
          <w:tcPr>
            <w:tcW w:w="4833" w:type="dxa"/>
            <w:tcMar>
              <w:left w:w="170" w:type="dxa"/>
              <w:right w:w="170" w:type="dxa"/>
            </w:tcMar>
            <w:vAlign w:val="center"/>
          </w:tcPr>
          <w:p>
            <w:pPr>
              <w:snapToGrid w:val="0"/>
              <w:ind w:firstLine="400" w:firstLineChars="200"/>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保守型、稳健型、平衡型、成长型、进取型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较低风险级别</w:t>
            </w:r>
          </w:p>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（二级）</w:t>
            </w:r>
          </w:p>
        </w:tc>
        <w:tc>
          <w:tcPr>
            <w:tcW w:w="4833" w:type="dxa"/>
            <w:tcMar>
              <w:left w:w="170" w:type="dxa"/>
              <w:right w:w="170" w:type="dxa"/>
            </w:tcMar>
            <w:vAlign w:val="center"/>
          </w:tcPr>
          <w:p>
            <w:pPr>
              <w:snapToGrid w:val="0"/>
              <w:ind w:firstLine="400" w:firstLineChars="200"/>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中等风险级别</w:t>
            </w:r>
          </w:p>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（三级）</w:t>
            </w:r>
          </w:p>
        </w:tc>
        <w:tc>
          <w:tcPr>
            <w:tcW w:w="4833" w:type="dxa"/>
            <w:tcMar>
              <w:left w:w="170" w:type="dxa"/>
              <w:right w:w="170" w:type="dxa"/>
            </w:tcMar>
            <w:vAlign w:val="center"/>
          </w:tcPr>
          <w:p>
            <w:pPr>
              <w:snapToGrid w:val="0"/>
              <w:ind w:firstLine="400" w:firstLineChars="200"/>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较高风险级别</w:t>
            </w:r>
          </w:p>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（四级）</w:t>
            </w:r>
          </w:p>
        </w:tc>
        <w:tc>
          <w:tcPr>
            <w:tcW w:w="4833" w:type="dxa"/>
            <w:tcMar>
              <w:left w:w="170" w:type="dxa"/>
              <w:right w:w="170" w:type="dxa"/>
            </w:tcMar>
            <w:vAlign w:val="center"/>
          </w:tcPr>
          <w:p>
            <w:pPr>
              <w:snapToGrid w:val="0"/>
              <w:ind w:firstLine="400" w:firstLineChars="200"/>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tcBorders>
            <w:vAlign w:val="center"/>
          </w:tcPr>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高风险级别</w:t>
            </w:r>
          </w:p>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w:t>
            </w:r>
            <w:r>
              <w:rPr>
                <w:rFonts w:hint="eastAsia" w:ascii="Times New Roman" w:hAnsi="Times New Roman" w:eastAsia="仿宋_GB2312" w:cs="Times New Roman"/>
                <w:color w:val="000000"/>
                <w:sz w:val="20"/>
                <w:lang w:eastAsia="zh-CN"/>
              </w:rPr>
              <w:t>五级</w:t>
            </w:r>
            <w:r>
              <w:rPr>
                <w:rFonts w:hint="eastAsia" w:ascii="Times New Roman" w:hAnsi="Times New Roman" w:eastAsia="仿宋_GB2312" w:cs="Times New Roman"/>
                <w:color w:val="000000"/>
                <w:sz w:val="20"/>
              </w:rPr>
              <w:t>）</w:t>
            </w:r>
          </w:p>
        </w:tc>
        <w:tc>
          <w:tcPr>
            <w:tcW w:w="4833" w:type="dxa"/>
            <w:tcMar>
              <w:left w:w="170" w:type="dxa"/>
              <w:right w:w="170" w:type="dxa"/>
            </w:tcMar>
            <w:vAlign w:val="center"/>
          </w:tcPr>
          <w:p>
            <w:pPr>
              <w:snapToGrid w:val="0"/>
              <w:ind w:firstLine="400" w:firstLineChars="200"/>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产品不保障本金，风险因素可能对本金造成重大损失，产品结构较为复杂</w:t>
            </w:r>
          </w:p>
        </w:tc>
        <w:tc>
          <w:tcPr>
            <w:tcW w:w="2646" w:type="dxa"/>
            <w:tcBorders>
              <w:right w:val="single" w:color="000000" w:sz="12" w:space="0"/>
            </w:tcBorders>
            <w:tcMar>
              <w:left w:w="170" w:type="dxa"/>
              <w:right w:w="170" w:type="dxa"/>
            </w:tcMar>
            <w:vAlign w:val="center"/>
          </w:tcPr>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pPr>
              <w:snapToGrid w:val="0"/>
              <w:jc w:val="center"/>
              <w:rPr>
                <w:rFonts w:hint="eastAsia" w:ascii="Times New Roman" w:hAnsi="Times New Roman" w:eastAsia="仿宋_GB2312" w:cs="Times New Roman"/>
                <w:color w:val="000000"/>
                <w:sz w:val="20"/>
              </w:rPr>
            </w:pPr>
          </w:p>
        </w:tc>
        <w:tc>
          <w:tcPr>
            <w:tcW w:w="4833" w:type="dxa"/>
            <w:tcBorders>
              <w:bottom w:val="single" w:color="000000" w:sz="12" w:space="0"/>
            </w:tcBorders>
            <w:tcMar>
              <w:left w:w="170" w:type="dxa"/>
              <w:right w:w="170" w:type="dxa"/>
            </w:tcMar>
            <w:vAlign w:val="center"/>
          </w:tcPr>
          <w:p>
            <w:pPr>
              <w:snapToGrid w:val="0"/>
              <w:ind w:firstLine="400" w:firstLineChars="200"/>
              <w:rPr>
                <w:rFonts w:hint="eastAsia" w:ascii="Times New Roman" w:hAnsi="Times New Roman" w:eastAsia="仿宋_GB2312" w:cs="Times New Roman"/>
                <w:color w:val="000000"/>
                <w:sz w:val="20"/>
                <w:lang w:eastAsia="zh-CN"/>
              </w:rPr>
            </w:pPr>
          </w:p>
        </w:tc>
        <w:tc>
          <w:tcPr>
            <w:tcW w:w="2646" w:type="dxa"/>
            <w:tcBorders>
              <w:bottom w:val="single" w:color="000000" w:sz="12" w:space="0"/>
              <w:right w:val="single" w:color="000000" w:sz="12" w:space="0"/>
            </w:tcBorders>
            <w:tcMar>
              <w:left w:w="170" w:type="dxa"/>
              <w:right w:w="170" w:type="dxa"/>
            </w:tcMar>
            <w:vAlign w:val="center"/>
          </w:tcPr>
          <w:p>
            <w:pPr>
              <w:snapToGrid w:val="0"/>
              <w:jc w:val="center"/>
              <w:rPr>
                <w:rFonts w:hint="eastAsia" w:ascii="Times New Roman" w:hAnsi="Times New Roman" w:eastAsia="仿宋_GB2312" w:cs="Times New Roman"/>
                <w:color w:val="000000"/>
                <w:sz w:val="20"/>
              </w:rPr>
            </w:pPr>
          </w:p>
        </w:tc>
      </w:tr>
    </w:tbl>
    <w:p>
      <w:pPr>
        <w:ind w:left="538" w:right="271"/>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违反国家法律、法规或者其他合同的有关规定，进而导致本期产品被宣告无效、撤销、解除或提前</w:t>
      </w:r>
      <w:r>
        <w:rPr>
          <w:rFonts w:ascii="仿宋_GB2312" w:hAnsi="黑体" w:eastAsia="仿宋_GB2312" w:cs="Times New Roman"/>
          <w:sz w:val="20"/>
          <w:szCs w:val="20"/>
          <w:lang w:eastAsia="zh-CN"/>
        </w:rPr>
        <w:t>终止等。</w:t>
      </w:r>
    </w:p>
    <w:p>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定收益类资产项下义务人可能出现违约情形，将导致相关金融产品的市场价值下跌或收益低于业绩比较基准、到期本金无法足额按时偿还，从而使客户可能面临利益损失、本金部分损</w:t>
      </w:r>
      <w:r>
        <w:rPr>
          <w:rFonts w:ascii="仿宋_GB2312" w:hAnsi="黑体" w:eastAsia="仿宋_GB2312" w:cs="Times New Roman"/>
          <w:sz w:val="20"/>
          <w:szCs w:val="20"/>
          <w:lang w:eastAsia="zh-CN"/>
        </w:rPr>
        <w:t>失、甚至本金全部损失的风险。</w:t>
      </w:r>
    </w:p>
    <w:p>
      <w:pPr>
        <w:ind w:left="139" w:right="149"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3.</w:t>
      </w:r>
      <w:r>
        <w:rPr>
          <w:rFonts w:ascii="仿宋_GB2312" w:hAnsi="黑体" w:eastAsia="仿宋_GB2312" w:cs="Times New Roman"/>
          <w:b/>
          <w:sz w:val="20"/>
          <w:szCs w:val="20"/>
          <w:lang w:eastAsia="zh-CN"/>
        </w:rPr>
        <w:t>流动性风险：</w:t>
      </w:r>
      <w:r>
        <w:rPr>
          <w:rFonts w:ascii="仿宋_GB2312" w:hAnsi="黑体" w:eastAsia="仿宋_GB2312" w:cs="Times New Roman"/>
          <w:sz w:val="20"/>
          <w:szCs w:val="20"/>
          <w:lang w:eastAsia="zh-CN"/>
        </w:rPr>
        <w:t>产品存续期内，客户无提前终止权，不可赎回本期产品，可能导致客户需要资金时不能随时变现，并可能使客户丧失其他投资机会的风险。</w:t>
      </w:r>
    </w:p>
    <w:p>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定收益类资产价值受未来市场的不确定影响可能出现波动，从而导致客户收益波动、收益为</w:t>
      </w:r>
      <w:r>
        <w:rPr>
          <w:rFonts w:ascii="仿宋_GB2312" w:hAnsi="黑体" w:eastAsia="仿宋_GB2312" w:cs="Times New Roman"/>
          <w:sz w:val="20"/>
          <w:szCs w:val="20"/>
          <w:lang w:eastAsia="zh-CN"/>
        </w:rPr>
        <w:t>零甚至本产品单位净值跌破面值、本金损失的情况。</w:t>
      </w:r>
    </w:p>
    <w:p>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因管理人（包括本理财计划的投资管理人、所投资的信托计划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基金产品的受托人（如有）、相关投资顾问（如有）等，下同）受经验、技能等因素的限制，可能导致本理财计划项下的理财资金遭受损失。如因信托计划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基金产品的受托人和相关投资顾问违背相关协议约定、处理事务不当，可能导致本理财计划项下理财资金遭受损失。</w:t>
      </w:r>
    </w:p>
    <w:p>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可能低于通货膨胀率，从而导致客户实际收益为负的风险。</w:t>
      </w:r>
    </w:p>
    <w:p>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息披露。客户应根据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贵阳农商</w:t>
      </w:r>
      <w:r>
        <w:rPr>
          <w:rFonts w:ascii="仿宋_GB2312" w:hAnsi="黑体" w:eastAsia="仿宋_GB2312" w:cs="Times New Roman"/>
          <w:spacing w:val="-7"/>
          <w:sz w:val="20"/>
          <w:szCs w:val="20"/>
          <w:lang w:eastAsia="zh-CN"/>
        </w:rPr>
        <w:t>银行的有效联系方式发生变更，应及时到银行柜面申请变更，如客户未及时告知联系方式变更，</w:t>
      </w:r>
      <w:r>
        <w:rPr>
          <w:rFonts w:ascii="仿宋_GB2312" w:hAnsi="黑体" w:eastAsia="仿宋_GB2312" w:cs="Times New Roman"/>
          <w:spacing w:val="-4"/>
          <w:sz w:val="20"/>
          <w:szCs w:val="20"/>
          <w:lang w:eastAsia="zh-CN"/>
        </w:rPr>
        <w:t>贵阳农商银行将可能在其认为需要时无法及时联系到客户，并可能会由此影响客户的投资决</w:t>
      </w:r>
      <w:r>
        <w:rPr>
          <w:rFonts w:ascii="仿宋_GB2312" w:hAnsi="黑体" w:eastAsia="仿宋_GB2312" w:cs="Times New Roman"/>
          <w:sz w:val="20"/>
          <w:szCs w:val="20"/>
          <w:lang w:eastAsia="zh-CN"/>
        </w:rPr>
        <w:t>策，由此而产生的责任和风险由客户自行承担。</w:t>
      </w:r>
    </w:p>
    <w:p>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定），或市场发生剧烈波动，或发生本期产品难以成立的其他情况，经贵阳农商银行判断难以按照本期产品说明书规定向客户提供本期产品的，贵阳农商银行有权利但无义务宣布产品</w:t>
      </w:r>
      <w:r>
        <w:rPr>
          <w:rFonts w:ascii="仿宋_GB2312" w:hAnsi="黑体" w:eastAsia="仿宋_GB2312" w:cs="Times New Roman"/>
          <w:sz w:val="20"/>
          <w:szCs w:val="20"/>
          <w:lang w:eastAsia="zh-CN"/>
        </w:rPr>
        <w:t>不成立。</w:t>
      </w:r>
    </w:p>
    <w:p>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终止情形下，客户面临不能按预定期限取得本金及收益的风险。</w:t>
      </w:r>
    </w:p>
    <w:p>
      <w:pPr>
        <w:ind w:left="120"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期情形下，客户面临不能按预定期限取得本金及收益的风险。</w:t>
      </w:r>
    </w:p>
    <w:p>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11.</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乃至产品单位净值跌破面值。对于由于不可抗力及意外事件风险导致的任何损失，客户须自行承担，贵阳农商银行对此不承担任何责任。</w:t>
      </w:r>
    </w:p>
    <w:p>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客户权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4"/>
          <w:sz w:val="20"/>
          <w:szCs w:val="20"/>
          <w:lang w:eastAsia="zh-CN"/>
        </w:rPr>
        <w:t>、本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产品的其他相关信息，并自己独立做出是否购买本期产品的决定。</w:t>
      </w:r>
    </w:p>
    <w:p>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您签署本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客户权益须知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将共同构成贵我双方</w:t>
      </w:r>
      <w:r>
        <w:rPr>
          <w:rFonts w:ascii="仿宋_GB2312" w:hAnsi="黑体" w:eastAsia="仿宋_GB2312" w:cs="Times New Roman"/>
          <w:b/>
          <w:sz w:val="20"/>
          <w:szCs w:val="20"/>
          <w:lang w:eastAsia="zh-CN"/>
        </w:rPr>
        <w:t>理财合同的有效组成部分。</w:t>
      </w:r>
    </w:p>
    <w:p>
      <w:pPr>
        <w:ind w:right="211"/>
        <w:jc w:val="right"/>
        <w:rPr>
          <w:rFonts w:ascii="仿宋_GB2312" w:hAnsi="Times New Roman" w:eastAsia="仿宋_GB2312" w:cs="Times New Roman"/>
          <w:spacing w:val="-1"/>
          <w:sz w:val="20"/>
          <w:szCs w:val="20"/>
          <w:lang w:eastAsia="zh-CN"/>
        </w:rPr>
      </w:pPr>
    </w:p>
    <w:p>
      <w:pPr>
        <w:ind w:right="211"/>
        <w:jc w:val="right"/>
        <w:rPr>
          <w:rFonts w:ascii="仿宋_GB2312" w:hAnsi="Times New Roman" w:eastAsia="仿宋_GB2312" w:cs="Times New Roman"/>
          <w:b/>
          <w:spacing w:val="-1"/>
          <w:sz w:val="20"/>
          <w:szCs w:val="20"/>
          <w:lang w:eastAsia="zh-CN"/>
        </w:rPr>
      </w:pPr>
      <w:r>
        <w:rPr>
          <w:rFonts w:ascii="仿宋_GB2312" w:hAnsi="黑体" w:eastAsia="仿宋_GB2312" w:cs="Times New Roman"/>
          <w:b/>
          <w:spacing w:val="-1"/>
          <w:sz w:val="20"/>
          <w:szCs w:val="20"/>
          <w:lang w:eastAsia="zh-CN"/>
        </w:rPr>
        <w:t>风险揭示方：贵阳农商银行</w:t>
      </w:r>
    </w:p>
    <w:p>
      <w:pPr>
        <w:ind w:right="211"/>
        <w:jc w:val="right"/>
        <w:rPr>
          <w:rFonts w:ascii="仿宋_GB2312" w:hAnsi="Times New Roman" w:eastAsia="仿宋_GB2312" w:cs="Times New Roman"/>
          <w:spacing w:val="-1"/>
          <w:sz w:val="20"/>
          <w:szCs w:val="20"/>
          <w:lang w:eastAsia="zh-CN"/>
        </w:rPr>
      </w:pPr>
    </w:p>
    <w:p>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ascii="仿宋_GB2312" w:hAnsi="黑体" w:eastAsia="仿宋_GB2312" w:cs="Times New Roman"/>
          <w:b/>
          <w:sz w:val="20"/>
          <w:szCs w:val="20"/>
          <w:lang w:eastAsia="zh-CN"/>
        </w:rPr>
        <w:t>客户签字与签章见下一页</w:t>
      </w:r>
      <w:r>
        <w:rPr>
          <w:rFonts w:ascii="仿宋_GB2312" w:hAnsi="Times New Roman" w:eastAsia="仿宋_GB2312" w:cs="Times New Roman"/>
          <w:b/>
          <w:sz w:val="20"/>
          <w:szCs w:val="20"/>
          <w:lang w:eastAsia="zh-CN"/>
        </w:rPr>
        <w:t>)</w:t>
      </w:r>
    </w:p>
    <w:p>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个人客户请在下面填写您的风险承受能力评级、抄录风险揭示语句并签字：</w:t>
      </w:r>
    </w:p>
    <w:tbl>
      <w:tblPr>
        <w:tblStyle w:val="9"/>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pPr>
              <w:rPr>
                <w:rFonts w:ascii="仿宋_GB2312" w:hAnsi="宋体" w:eastAsia="仿宋_GB2312" w:cs="宋体"/>
                <w:sz w:val="21"/>
                <w:szCs w:val="21"/>
                <w:lang w:eastAsia="zh-CN"/>
              </w:rPr>
            </w:pPr>
          </w:p>
          <w:p>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客户</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u w:val="single"/>
                <w:lang w:eastAsia="zh-CN"/>
              </w:rPr>
              <w:tab/>
            </w:r>
            <w:r>
              <w:rPr>
                <w:rFonts w:hint="eastAsia" w:ascii="仿宋_GB2312" w:hAnsi="宋体" w:eastAsia="仿宋_GB2312" w:cs="宋体"/>
                <w:sz w:val="21"/>
                <w:szCs w:val="21"/>
                <w:u w:val="single"/>
                <w:lang w:val="en-US" w:eastAsia="zh-CN"/>
              </w:rPr>
              <w:t xml:space="preserve">               </w:t>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客户</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客</w:t>
            </w:r>
            <w:r>
              <w:rPr>
                <w:rFonts w:hint="eastAsia" w:ascii="仿宋_GB2312" w:hAnsi="宋体" w:eastAsia="仿宋_GB2312" w:cs="宋体"/>
                <w:sz w:val="21"/>
                <w:szCs w:val="21"/>
                <w:lang w:eastAsia="zh-CN"/>
              </w:rPr>
              <w:t>户</w:t>
            </w:r>
            <w:r>
              <w:rPr>
                <w:rFonts w:hint="eastAsia" w:ascii="仿宋_GB2312" w:hAnsi="宋体" w:eastAsia="仿宋_GB2312" w:cs="宋体"/>
                <w:spacing w:val="-3"/>
                <w:sz w:val="21"/>
                <w:szCs w:val="21"/>
                <w:lang w:eastAsia="zh-CN"/>
              </w:rPr>
              <w:t>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pPr>
              <w:rPr>
                <w:rFonts w:ascii="仿宋_GB2312" w:hAnsi="宋体" w:eastAsia="仿宋_GB2312" w:cs="宋体"/>
                <w:sz w:val="18"/>
                <w:szCs w:val="18"/>
                <w:lang w:eastAsia="zh-CN"/>
              </w:rPr>
            </w:pPr>
          </w:p>
          <w:p>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pPr>
              <w:rPr>
                <w:rFonts w:ascii="仿宋_GB2312" w:hAnsi="宋体" w:eastAsia="仿宋_GB2312" w:cs="宋体"/>
                <w:sz w:val="20"/>
                <w:szCs w:val="20"/>
                <w:lang w:eastAsia="zh-CN"/>
              </w:rPr>
            </w:pPr>
          </w:p>
          <w:p>
            <w:pPr>
              <w:rPr>
                <w:rFonts w:ascii="仿宋_GB2312" w:hAnsi="宋体" w:eastAsia="仿宋_GB2312" w:cs="宋体"/>
                <w:sz w:val="21"/>
                <w:szCs w:val="21"/>
                <w:u w:val="single"/>
                <w:lang w:eastAsia="zh-CN"/>
              </w:rPr>
            </w:pPr>
            <w:r>
              <w:rPr>
                <w:rFonts w:hint="eastAsia" w:ascii="仿宋_GB2312" w:hAnsi="宋体" w:eastAsia="仿宋_GB2312" w:cs="宋体"/>
                <w:sz w:val="21"/>
                <w:szCs w:val="21"/>
                <w:lang w:eastAsia="zh-CN"/>
              </w:rPr>
              <w:t>客户</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（客</w:t>
            </w:r>
            <w:r>
              <w:rPr>
                <w:rFonts w:hint="eastAsia" w:ascii="仿宋_GB2312" w:hAnsi="宋体" w:eastAsia="仿宋_GB2312" w:cs="宋体"/>
                <w:spacing w:val="-3"/>
                <w:sz w:val="21"/>
                <w:szCs w:val="21"/>
                <w:lang w:eastAsia="zh-CN"/>
              </w:rPr>
              <w:t>户</w:t>
            </w:r>
            <w:r>
              <w:rPr>
                <w:rFonts w:hint="eastAsia" w:ascii="仿宋_GB2312" w:hAnsi="宋体" w:eastAsia="仿宋_GB2312" w:cs="宋体"/>
                <w:sz w:val="21"/>
                <w:szCs w:val="21"/>
                <w:lang w:eastAsia="zh-CN"/>
              </w:rPr>
              <w:t>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w:t>
            </w:r>
            <w:r>
              <w:rPr>
                <w:rFonts w:hint="eastAsia" w:ascii="仿宋_GB2312" w:hAnsi="宋体" w:eastAsia="仿宋_GB2312" w:cs="宋体"/>
                <w:b/>
                <w:spacing w:val="2"/>
                <w:sz w:val="21"/>
                <w:szCs w:val="21"/>
                <w:u w:val="single"/>
                <w:lang w:eastAsia="zh-CN"/>
              </w:rPr>
              <w:t>《理财</w:t>
            </w:r>
            <w:r>
              <w:rPr>
                <w:rFonts w:hint="eastAsia" w:ascii="仿宋_GB2312" w:hAnsi="宋体" w:eastAsia="仿宋_GB2312" w:cs="宋体"/>
                <w:b/>
                <w:sz w:val="21"/>
                <w:szCs w:val="21"/>
                <w:u w:val="single"/>
                <w:lang w:eastAsia="zh-CN"/>
              </w:rPr>
              <w:t>产</w:t>
            </w:r>
            <w:r>
              <w:rPr>
                <w:rFonts w:hint="eastAsia" w:ascii="仿宋_GB2312" w:hAnsi="宋体" w:eastAsia="仿宋_GB2312" w:cs="宋体"/>
                <w:b/>
                <w:sz w:val="21"/>
                <w:szCs w:val="21"/>
                <w:u w:val="single" w:color="000000"/>
                <w:lang w:eastAsia="zh-CN"/>
              </w:rPr>
              <w:t>品协议》、《客户权</w:t>
            </w:r>
            <w:r>
              <w:rPr>
                <w:rFonts w:hint="eastAsia" w:ascii="仿宋_GB2312" w:hAnsi="宋体" w:eastAsia="仿宋_GB2312" w:cs="宋体"/>
                <w:b/>
                <w:spacing w:val="2"/>
                <w:sz w:val="21"/>
                <w:szCs w:val="21"/>
                <w:u w:val="single" w:color="000000"/>
                <w:lang w:eastAsia="zh-CN"/>
              </w:rPr>
              <w:t>益</w:t>
            </w:r>
            <w:r>
              <w:rPr>
                <w:rFonts w:hint="eastAsia" w:ascii="仿宋_GB2312" w:hAnsi="宋体" w:eastAsia="仿宋_GB2312" w:cs="宋体"/>
                <w:b/>
                <w:sz w:val="21"/>
                <w:szCs w:val="21"/>
                <w:u w:val="single" w:color="000000"/>
                <w:lang w:eastAsia="zh-CN"/>
              </w:rPr>
              <w:t>须知》、</w:t>
            </w:r>
            <w:r>
              <w:rPr>
                <w:rFonts w:hint="eastAsia" w:ascii="仿宋_GB2312" w:hAnsi="宋体" w:eastAsia="仿宋_GB2312" w:cs="宋体"/>
                <w:b/>
                <w:spacing w:val="-3"/>
                <w:sz w:val="21"/>
                <w:szCs w:val="21"/>
                <w:u w:val="single" w:color="000000"/>
                <w:lang w:eastAsia="zh-CN"/>
              </w:rPr>
              <w:t>本</w:t>
            </w:r>
            <w:r>
              <w:rPr>
                <w:rFonts w:hint="eastAsia" w:ascii="仿宋_GB2312" w:hAnsi="宋体" w:eastAsia="仿宋_GB2312" w:cs="宋体"/>
                <w:b/>
                <w:sz w:val="21"/>
                <w:szCs w:val="21"/>
                <w:u w:val="single" w:color="000000"/>
                <w:lang w:eastAsia="zh-CN"/>
              </w:rPr>
              <w:t>期</w:t>
            </w:r>
            <w:r>
              <w:rPr>
                <w:rFonts w:hint="eastAsia" w:ascii="仿宋_GB2312" w:hAnsi="宋体" w:eastAsia="仿宋_GB2312" w:cs="宋体"/>
                <w:b/>
                <w:spacing w:val="-3"/>
                <w:sz w:val="21"/>
                <w:szCs w:val="21"/>
                <w:u w:val="single" w:color="000000"/>
                <w:lang w:eastAsia="zh-CN"/>
              </w:rPr>
              <w:t>产</w:t>
            </w:r>
            <w:r>
              <w:rPr>
                <w:rFonts w:hint="eastAsia" w:ascii="仿宋_GB2312" w:hAnsi="宋体" w:eastAsia="仿宋_GB2312" w:cs="宋体"/>
                <w:b/>
                <w:sz w:val="21"/>
                <w:szCs w:val="21"/>
                <w:u w:val="single" w:color="000000"/>
                <w:lang w:eastAsia="zh-CN"/>
              </w:rPr>
              <w:t>品《</w:t>
            </w:r>
            <w:r>
              <w:rPr>
                <w:rFonts w:hint="eastAsia" w:ascii="仿宋_GB2312" w:hAnsi="宋体" w:eastAsia="仿宋_GB2312" w:cs="宋体"/>
                <w:b/>
                <w:spacing w:val="-3"/>
                <w:sz w:val="21"/>
                <w:szCs w:val="21"/>
                <w:u w:val="single" w:color="000000"/>
                <w:lang w:eastAsia="zh-CN"/>
              </w:rPr>
              <w:t>风</w:t>
            </w:r>
            <w:r>
              <w:rPr>
                <w:rFonts w:hint="eastAsia" w:ascii="仿宋_GB2312" w:hAnsi="宋体" w:eastAsia="仿宋_GB2312" w:cs="宋体"/>
                <w:b/>
                <w:sz w:val="21"/>
                <w:szCs w:val="21"/>
                <w:u w:val="single" w:color="000000"/>
                <w:lang w:eastAsia="zh-CN"/>
              </w:rPr>
              <w:t>险</w:t>
            </w:r>
            <w:r>
              <w:rPr>
                <w:rFonts w:hint="eastAsia" w:ascii="仿宋_GB2312" w:hAnsi="宋体" w:eastAsia="仿宋_GB2312" w:cs="宋体"/>
                <w:b/>
                <w:spacing w:val="-3"/>
                <w:sz w:val="21"/>
                <w:szCs w:val="21"/>
                <w:u w:val="single" w:color="000000"/>
                <w:lang w:eastAsia="zh-CN"/>
              </w:rPr>
              <w:t>揭</w:t>
            </w:r>
            <w:r>
              <w:rPr>
                <w:rFonts w:hint="eastAsia" w:ascii="仿宋_GB2312" w:hAnsi="宋体" w:eastAsia="仿宋_GB2312" w:cs="宋体"/>
                <w:b/>
                <w:sz w:val="21"/>
                <w:szCs w:val="21"/>
                <w:u w:val="single" w:color="000000"/>
                <w:lang w:eastAsia="zh-CN"/>
              </w:rPr>
              <w:t>示</w:t>
            </w:r>
            <w:r>
              <w:rPr>
                <w:rFonts w:hint="eastAsia" w:ascii="仿宋_GB2312" w:hAnsi="宋体" w:eastAsia="仿宋_GB2312" w:cs="宋体"/>
                <w:b/>
                <w:spacing w:val="-3"/>
                <w:sz w:val="21"/>
                <w:szCs w:val="21"/>
                <w:u w:val="single" w:color="000000"/>
                <w:lang w:eastAsia="zh-CN"/>
              </w:rPr>
              <w:t>书</w:t>
            </w:r>
            <w:r>
              <w:rPr>
                <w:rFonts w:hint="eastAsia" w:ascii="仿宋_GB2312" w:hAnsi="宋体" w:eastAsia="仿宋_GB2312" w:cs="宋体"/>
                <w:b/>
                <w:sz w:val="21"/>
                <w:szCs w:val="21"/>
                <w:u w:val="single" w:color="000000"/>
                <w:lang w:eastAsia="zh-CN"/>
              </w:rPr>
              <w:t>》及《产</w:t>
            </w:r>
            <w:r>
              <w:rPr>
                <w:rFonts w:hint="eastAsia" w:ascii="仿宋_GB2312" w:hAnsi="宋体" w:eastAsia="仿宋_GB2312" w:cs="宋体"/>
                <w:b/>
                <w:spacing w:val="-3"/>
                <w:sz w:val="21"/>
                <w:szCs w:val="21"/>
                <w:u w:val="single" w:color="000000"/>
                <w:lang w:eastAsia="zh-CN"/>
              </w:rPr>
              <w:t>品</w:t>
            </w:r>
            <w:r>
              <w:rPr>
                <w:rFonts w:hint="eastAsia" w:ascii="仿宋_GB2312" w:hAnsi="宋体" w:eastAsia="仿宋_GB2312" w:cs="宋体"/>
                <w:b/>
                <w:sz w:val="21"/>
                <w:szCs w:val="21"/>
                <w:u w:val="single" w:color="000000"/>
                <w:lang w:eastAsia="zh-CN"/>
              </w:rPr>
              <w:t>说</w:t>
            </w:r>
            <w:r>
              <w:rPr>
                <w:rFonts w:hint="eastAsia" w:ascii="仿宋_GB2312" w:hAnsi="宋体" w:eastAsia="仿宋_GB2312" w:cs="宋体"/>
                <w:b/>
                <w:spacing w:val="-3"/>
                <w:sz w:val="21"/>
                <w:szCs w:val="21"/>
                <w:u w:val="single" w:color="000000"/>
                <w:lang w:eastAsia="zh-CN"/>
              </w:rPr>
              <w:t>明</w:t>
            </w:r>
            <w:r>
              <w:rPr>
                <w:rFonts w:hint="eastAsia" w:ascii="仿宋_GB2312" w:hAnsi="宋体" w:eastAsia="仿宋_GB2312" w:cs="宋体"/>
                <w:b/>
                <w:sz w:val="21"/>
                <w:szCs w:val="21"/>
                <w:u w:val="single" w:color="000000"/>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pPr>
              <w:rPr>
                <w:rFonts w:ascii="仿宋_GB2312" w:hAnsi="宋体" w:eastAsia="仿宋_GB2312" w:cs="宋体"/>
                <w:sz w:val="21"/>
                <w:szCs w:val="21"/>
                <w:lang w:eastAsia="zh-CN"/>
              </w:rPr>
            </w:pPr>
          </w:p>
          <w:p>
            <w:pPr>
              <w:rPr>
                <w:rFonts w:ascii="仿宋_GB2312" w:hAnsi="宋体" w:eastAsia="仿宋_GB2312" w:cs="宋体"/>
                <w:spacing w:val="-20"/>
                <w:sz w:val="21"/>
                <w:szCs w:val="21"/>
                <w:lang w:eastAsia="zh-CN"/>
              </w:rPr>
            </w:pPr>
            <w:r>
              <w:rPr>
                <w:rFonts w:hint="eastAsia" w:ascii="仿宋_GB2312" w:hAnsi="宋体" w:eastAsia="仿宋_GB2312" w:cs="宋体"/>
                <w:sz w:val="21"/>
                <w:szCs w:val="21"/>
                <w:lang w:eastAsia="zh-CN"/>
              </w:rPr>
              <w:t>客户</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pPr>
        <w:ind w:right="131"/>
        <w:jc w:val="right"/>
        <w:rPr>
          <w:rFonts w:ascii="仿宋_GB2312" w:hAnsi="宋体" w:eastAsia="仿宋_GB2312" w:cs="Times New Roman"/>
          <w:sz w:val="21"/>
          <w:szCs w:val="24"/>
          <w:lang w:eastAsia="zh-CN"/>
        </w:rPr>
      </w:pPr>
      <w:r>
        <w:rPr>
          <w:rFonts w:hint="eastAsia" w:ascii="仿宋_GB2312" w:hAnsi="宋体" w:eastAsia="仿宋_GB2312" w:cs="Times New Roman"/>
          <w:sz w:val="21"/>
          <w:szCs w:val="24"/>
          <w:lang w:eastAsia="zh-CN"/>
        </w:rPr>
        <w:t>（加盖销售网点业务专用章）</w:t>
      </w:r>
    </w:p>
    <w:p>
      <w:pPr>
        <w:ind w:right="131"/>
        <w:rPr>
          <w:rFonts w:ascii="Times New Roman" w:hAnsi="宋体" w:eastAsia="宋体" w:cs="Times New Roman"/>
          <w:sz w:val="24"/>
          <w:szCs w:val="24"/>
          <w:lang w:eastAsia="zh-CN"/>
        </w:rPr>
      </w:pPr>
    </w:p>
    <w:p>
      <w:pPr>
        <w:ind w:right="131"/>
        <w:rPr>
          <w:rFonts w:ascii="Times New Roman" w:hAnsi="宋体" w:eastAsia="宋体" w:cs="Times New Roman"/>
          <w:sz w:val="24"/>
          <w:szCs w:val="24"/>
          <w:lang w:eastAsia="zh-CN"/>
        </w:rPr>
      </w:pPr>
    </w:p>
    <w:p>
      <w:pPr>
        <w:ind w:left="139" w:right="1502"/>
        <w:rPr>
          <w:rFonts w:ascii="Times New Roman" w:hAnsi="宋体" w:eastAsia="宋体" w:cs="Times New Roman"/>
          <w:spacing w:val="-2"/>
          <w:sz w:val="21"/>
          <w:szCs w:val="21"/>
          <w:lang w:eastAsia="zh-CN"/>
        </w:rPr>
      </w:pPr>
    </w:p>
    <w:p>
      <w:pPr>
        <w:pStyle w:val="3"/>
        <w:spacing w:before="0"/>
        <w:ind w:left="0" w:right="151"/>
        <w:jc w:val="both"/>
        <w:rPr>
          <w:rFonts w:ascii="Times New Roman" w:hAnsi="Times New Roman" w:cs="Times New Roman" w:eastAsiaTheme="minorEastAsia"/>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20205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6033"/>
    </w:sdtPr>
    <w:sdtContent>
      <w:p>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13</w:t>
    </w:r>
    <w:r>
      <w:rPr>
        <w:lang w:val="zh-CN"/>
      </w:rPr>
      <w:fldChar w:fldCharType="end"/>
    </w:r>
  </w:p>
  <w:p>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ZE8N/+Xrzae/9gt9A2/2ovyLpco=" w:salt="fO6zlvGvwTU5ON39f178RA=="/>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A58"/>
    <w:rsid w:val="000102E1"/>
    <w:rsid w:val="000109F5"/>
    <w:rsid w:val="00015CC5"/>
    <w:rsid w:val="00022C60"/>
    <w:rsid w:val="0005009C"/>
    <w:rsid w:val="00052DC5"/>
    <w:rsid w:val="000535B1"/>
    <w:rsid w:val="0006192F"/>
    <w:rsid w:val="00065238"/>
    <w:rsid w:val="00066E28"/>
    <w:rsid w:val="00071ECB"/>
    <w:rsid w:val="000763CB"/>
    <w:rsid w:val="00091F33"/>
    <w:rsid w:val="000977D1"/>
    <w:rsid w:val="000A7D6C"/>
    <w:rsid w:val="000A7F62"/>
    <w:rsid w:val="000D1810"/>
    <w:rsid w:val="000D5DCB"/>
    <w:rsid w:val="000E34E8"/>
    <w:rsid w:val="000F56FC"/>
    <w:rsid w:val="000F5DBB"/>
    <w:rsid w:val="001075F9"/>
    <w:rsid w:val="001107E4"/>
    <w:rsid w:val="00127820"/>
    <w:rsid w:val="00131A96"/>
    <w:rsid w:val="00137CC8"/>
    <w:rsid w:val="00146DE9"/>
    <w:rsid w:val="001557F8"/>
    <w:rsid w:val="0015672F"/>
    <w:rsid w:val="00162E1F"/>
    <w:rsid w:val="00174204"/>
    <w:rsid w:val="00175C76"/>
    <w:rsid w:val="00190A22"/>
    <w:rsid w:val="00197CA5"/>
    <w:rsid w:val="001A34A1"/>
    <w:rsid w:val="001A5C2E"/>
    <w:rsid w:val="001B3F35"/>
    <w:rsid w:val="001B4A3E"/>
    <w:rsid w:val="001C3108"/>
    <w:rsid w:val="001F739C"/>
    <w:rsid w:val="00204932"/>
    <w:rsid w:val="00205009"/>
    <w:rsid w:val="00205A72"/>
    <w:rsid w:val="00223C18"/>
    <w:rsid w:val="002309BB"/>
    <w:rsid w:val="00234A37"/>
    <w:rsid w:val="00251420"/>
    <w:rsid w:val="00257160"/>
    <w:rsid w:val="002844B3"/>
    <w:rsid w:val="00291263"/>
    <w:rsid w:val="0029398A"/>
    <w:rsid w:val="002B1EB3"/>
    <w:rsid w:val="002B496C"/>
    <w:rsid w:val="002E7A1E"/>
    <w:rsid w:val="002F3793"/>
    <w:rsid w:val="003020DA"/>
    <w:rsid w:val="00315F43"/>
    <w:rsid w:val="00324DC8"/>
    <w:rsid w:val="003272DD"/>
    <w:rsid w:val="00353269"/>
    <w:rsid w:val="003559FD"/>
    <w:rsid w:val="0036338F"/>
    <w:rsid w:val="0036384E"/>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5E93"/>
    <w:rsid w:val="0044131F"/>
    <w:rsid w:val="00442DED"/>
    <w:rsid w:val="004430CE"/>
    <w:rsid w:val="00456BFF"/>
    <w:rsid w:val="00456EB7"/>
    <w:rsid w:val="00462BFE"/>
    <w:rsid w:val="00484768"/>
    <w:rsid w:val="004A30F4"/>
    <w:rsid w:val="004B1BE1"/>
    <w:rsid w:val="004B30CB"/>
    <w:rsid w:val="004C2F29"/>
    <w:rsid w:val="004D0AE4"/>
    <w:rsid w:val="004D40A4"/>
    <w:rsid w:val="004E3E79"/>
    <w:rsid w:val="005101E2"/>
    <w:rsid w:val="00522B03"/>
    <w:rsid w:val="00523E6B"/>
    <w:rsid w:val="00537BF5"/>
    <w:rsid w:val="00552044"/>
    <w:rsid w:val="00593A58"/>
    <w:rsid w:val="00594D22"/>
    <w:rsid w:val="00596799"/>
    <w:rsid w:val="005A27F8"/>
    <w:rsid w:val="005C62E1"/>
    <w:rsid w:val="005E181C"/>
    <w:rsid w:val="005F3D85"/>
    <w:rsid w:val="0060732A"/>
    <w:rsid w:val="0060751F"/>
    <w:rsid w:val="006365EA"/>
    <w:rsid w:val="00660E97"/>
    <w:rsid w:val="00675DF9"/>
    <w:rsid w:val="00685334"/>
    <w:rsid w:val="00693BF4"/>
    <w:rsid w:val="006A264D"/>
    <w:rsid w:val="006A62B8"/>
    <w:rsid w:val="006A78B6"/>
    <w:rsid w:val="006D486C"/>
    <w:rsid w:val="006E4071"/>
    <w:rsid w:val="006E7276"/>
    <w:rsid w:val="007067E4"/>
    <w:rsid w:val="007155BD"/>
    <w:rsid w:val="00716B2A"/>
    <w:rsid w:val="007210B2"/>
    <w:rsid w:val="00730180"/>
    <w:rsid w:val="007370C3"/>
    <w:rsid w:val="0075214C"/>
    <w:rsid w:val="00754908"/>
    <w:rsid w:val="00771D46"/>
    <w:rsid w:val="0078067A"/>
    <w:rsid w:val="007837F7"/>
    <w:rsid w:val="00783A0A"/>
    <w:rsid w:val="00790A04"/>
    <w:rsid w:val="00793A88"/>
    <w:rsid w:val="007949FB"/>
    <w:rsid w:val="007A1136"/>
    <w:rsid w:val="007B04D8"/>
    <w:rsid w:val="007B339E"/>
    <w:rsid w:val="007C2FF4"/>
    <w:rsid w:val="007C6BA9"/>
    <w:rsid w:val="007E5DE2"/>
    <w:rsid w:val="007E758D"/>
    <w:rsid w:val="007F10E7"/>
    <w:rsid w:val="00816E45"/>
    <w:rsid w:val="00823DDA"/>
    <w:rsid w:val="00826BF8"/>
    <w:rsid w:val="00830ADD"/>
    <w:rsid w:val="00854709"/>
    <w:rsid w:val="008563FD"/>
    <w:rsid w:val="00856D73"/>
    <w:rsid w:val="008611AC"/>
    <w:rsid w:val="00862584"/>
    <w:rsid w:val="00863E8A"/>
    <w:rsid w:val="0088026E"/>
    <w:rsid w:val="00880623"/>
    <w:rsid w:val="0088325A"/>
    <w:rsid w:val="008876D8"/>
    <w:rsid w:val="008939BF"/>
    <w:rsid w:val="008B168A"/>
    <w:rsid w:val="008C5987"/>
    <w:rsid w:val="008F53C8"/>
    <w:rsid w:val="008F6FA6"/>
    <w:rsid w:val="0090066E"/>
    <w:rsid w:val="0090577E"/>
    <w:rsid w:val="00905A10"/>
    <w:rsid w:val="009200F1"/>
    <w:rsid w:val="00922399"/>
    <w:rsid w:val="00924BB1"/>
    <w:rsid w:val="00927181"/>
    <w:rsid w:val="009332D3"/>
    <w:rsid w:val="00956448"/>
    <w:rsid w:val="009649FA"/>
    <w:rsid w:val="009854E0"/>
    <w:rsid w:val="009A1C63"/>
    <w:rsid w:val="009B4ABE"/>
    <w:rsid w:val="009B5A07"/>
    <w:rsid w:val="009D3A99"/>
    <w:rsid w:val="009E374A"/>
    <w:rsid w:val="009F4100"/>
    <w:rsid w:val="00A0390A"/>
    <w:rsid w:val="00A04431"/>
    <w:rsid w:val="00A20EA9"/>
    <w:rsid w:val="00A221D0"/>
    <w:rsid w:val="00A2331F"/>
    <w:rsid w:val="00A3351C"/>
    <w:rsid w:val="00A6374C"/>
    <w:rsid w:val="00A70BB5"/>
    <w:rsid w:val="00A72EF3"/>
    <w:rsid w:val="00AA3389"/>
    <w:rsid w:val="00AB5AE7"/>
    <w:rsid w:val="00AC0C86"/>
    <w:rsid w:val="00AC2406"/>
    <w:rsid w:val="00AC6540"/>
    <w:rsid w:val="00AD1087"/>
    <w:rsid w:val="00AE283E"/>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14D54"/>
    <w:rsid w:val="00C460D8"/>
    <w:rsid w:val="00C51990"/>
    <w:rsid w:val="00C613DD"/>
    <w:rsid w:val="00C62E04"/>
    <w:rsid w:val="00C70879"/>
    <w:rsid w:val="00C82F15"/>
    <w:rsid w:val="00CA5573"/>
    <w:rsid w:val="00CB207E"/>
    <w:rsid w:val="00CE35D1"/>
    <w:rsid w:val="00CF74EF"/>
    <w:rsid w:val="00D13CA5"/>
    <w:rsid w:val="00D16FED"/>
    <w:rsid w:val="00D17632"/>
    <w:rsid w:val="00D17672"/>
    <w:rsid w:val="00D33A9A"/>
    <w:rsid w:val="00D37A84"/>
    <w:rsid w:val="00D4715D"/>
    <w:rsid w:val="00D64A4D"/>
    <w:rsid w:val="00D72824"/>
    <w:rsid w:val="00D72D6B"/>
    <w:rsid w:val="00D920AD"/>
    <w:rsid w:val="00DA59FD"/>
    <w:rsid w:val="00DC5466"/>
    <w:rsid w:val="00DD1E69"/>
    <w:rsid w:val="00DD51A7"/>
    <w:rsid w:val="00DE36DB"/>
    <w:rsid w:val="00DF382B"/>
    <w:rsid w:val="00E12927"/>
    <w:rsid w:val="00E17EFB"/>
    <w:rsid w:val="00E469B7"/>
    <w:rsid w:val="00E509FB"/>
    <w:rsid w:val="00E654F6"/>
    <w:rsid w:val="00E707C4"/>
    <w:rsid w:val="00E72BA3"/>
    <w:rsid w:val="00E84E29"/>
    <w:rsid w:val="00EB4674"/>
    <w:rsid w:val="00ED01CC"/>
    <w:rsid w:val="00ED17A7"/>
    <w:rsid w:val="00ED67F7"/>
    <w:rsid w:val="00F029C4"/>
    <w:rsid w:val="00F56716"/>
    <w:rsid w:val="00F646FB"/>
    <w:rsid w:val="00F651D2"/>
    <w:rsid w:val="00F91800"/>
    <w:rsid w:val="00F95DEE"/>
    <w:rsid w:val="00FB0299"/>
    <w:rsid w:val="00FB192D"/>
    <w:rsid w:val="00FC5B4B"/>
    <w:rsid w:val="00FD5520"/>
    <w:rsid w:val="00FD6032"/>
    <w:rsid w:val="00FE24DB"/>
    <w:rsid w:val="00FE33A0"/>
    <w:rsid w:val="00FE58A7"/>
    <w:rsid w:val="00FF4B4D"/>
    <w:rsid w:val="01C303ED"/>
    <w:rsid w:val="030D7C35"/>
    <w:rsid w:val="03193E88"/>
    <w:rsid w:val="037B5C03"/>
    <w:rsid w:val="039376F6"/>
    <w:rsid w:val="03FB529E"/>
    <w:rsid w:val="048C2F61"/>
    <w:rsid w:val="04D25032"/>
    <w:rsid w:val="058C20F2"/>
    <w:rsid w:val="05947B80"/>
    <w:rsid w:val="05EC7342"/>
    <w:rsid w:val="069C362A"/>
    <w:rsid w:val="075E308C"/>
    <w:rsid w:val="07626904"/>
    <w:rsid w:val="0A2F48BB"/>
    <w:rsid w:val="0A6F34C6"/>
    <w:rsid w:val="0AA01C07"/>
    <w:rsid w:val="0B4237BD"/>
    <w:rsid w:val="0BD52987"/>
    <w:rsid w:val="0BDE4085"/>
    <w:rsid w:val="0E9B0236"/>
    <w:rsid w:val="0EB53C42"/>
    <w:rsid w:val="0F382885"/>
    <w:rsid w:val="0F810C56"/>
    <w:rsid w:val="112453DC"/>
    <w:rsid w:val="1130271F"/>
    <w:rsid w:val="11C03FC2"/>
    <w:rsid w:val="11C805DB"/>
    <w:rsid w:val="127D4523"/>
    <w:rsid w:val="16C974ED"/>
    <w:rsid w:val="17517DCD"/>
    <w:rsid w:val="17B32E8B"/>
    <w:rsid w:val="17BA2EE0"/>
    <w:rsid w:val="17FC490D"/>
    <w:rsid w:val="188E7186"/>
    <w:rsid w:val="19196448"/>
    <w:rsid w:val="194845EC"/>
    <w:rsid w:val="199E06BE"/>
    <w:rsid w:val="1AAF1662"/>
    <w:rsid w:val="1ADD4893"/>
    <w:rsid w:val="1B564ADE"/>
    <w:rsid w:val="1D5338BF"/>
    <w:rsid w:val="1E4E7B5F"/>
    <w:rsid w:val="1F0372A9"/>
    <w:rsid w:val="1FDFB680"/>
    <w:rsid w:val="21044246"/>
    <w:rsid w:val="21055E91"/>
    <w:rsid w:val="21903E69"/>
    <w:rsid w:val="2214368F"/>
    <w:rsid w:val="23A62DEA"/>
    <w:rsid w:val="24584D07"/>
    <w:rsid w:val="260B223A"/>
    <w:rsid w:val="26366D75"/>
    <w:rsid w:val="27AD6B38"/>
    <w:rsid w:val="286B0B26"/>
    <w:rsid w:val="28C0305D"/>
    <w:rsid w:val="298E75FA"/>
    <w:rsid w:val="2A3B779F"/>
    <w:rsid w:val="2B4C1502"/>
    <w:rsid w:val="2C1A550B"/>
    <w:rsid w:val="2C3C60F2"/>
    <w:rsid w:val="2CB7246A"/>
    <w:rsid w:val="2CF7A85E"/>
    <w:rsid w:val="2DEB1F68"/>
    <w:rsid w:val="2EFF75CB"/>
    <w:rsid w:val="2F1B72F8"/>
    <w:rsid w:val="2FD81A74"/>
    <w:rsid w:val="313F2A54"/>
    <w:rsid w:val="33070EF7"/>
    <w:rsid w:val="33847311"/>
    <w:rsid w:val="344E705C"/>
    <w:rsid w:val="34AD34D5"/>
    <w:rsid w:val="34D0039C"/>
    <w:rsid w:val="35915BB8"/>
    <w:rsid w:val="35F22304"/>
    <w:rsid w:val="35FE218C"/>
    <w:rsid w:val="363A721E"/>
    <w:rsid w:val="36F06FA0"/>
    <w:rsid w:val="37C847EC"/>
    <w:rsid w:val="39533BFC"/>
    <w:rsid w:val="39D9027B"/>
    <w:rsid w:val="3BDD17CA"/>
    <w:rsid w:val="3C9B356C"/>
    <w:rsid w:val="3D122038"/>
    <w:rsid w:val="3D4A6601"/>
    <w:rsid w:val="3DD11EBE"/>
    <w:rsid w:val="3DEF4DCE"/>
    <w:rsid w:val="3DFE3A36"/>
    <w:rsid w:val="3F0246A0"/>
    <w:rsid w:val="3F0E5FE1"/>
    <w:rsid w:val="3FBF7596"/>
    <w:rsid w:val="3FE67A24"/>
    <w:rsid w:val="409D6470"/>
    <w:rsid w:val="41F979B9"/>
    <w:rsid w:val="428E560E"/>
    <w:rsid w:val="43E413DC"/>
    <w:rsid w:val="43E84AF1"/>
    <w:rsid w:val="458D1B26"/>
    <w:rsid w:val="47121447"/>
    <w:rsid w:val="4878573D"/>
    <w:rsid w:val="48E501A3"/>
    <w:rsid w:val="48FC63B8"/>
    <w:rsid w:val="49B852D6"/>
    <w:rsid w:val="4AE04D4E"/>
    <w:rsid w:val="4B3A2D1C"/>
    <w:rsid w:val="4B9C7038"/>
    <w:rsid w:val="4CAE7FFA"/>
    <w:rsid w:val="4D8A72EA"/>
    <w:rsid w:val="4EC925D0"/>
    <w:rsid w:val="4F081AC8"/>
    <w:rsid w:val="4FB0396D"/>
    <w:rsid w:val="500630BF"/>
    <w:rsid w:val="506A7B35"/>
    <w:rsid w:val="51430639"/>
    <w:rsid w:val="539D69D5"/>
    <w:rsid w:val="562C07C8"/>
    <w:rsid w:val="56C85849"/>
    <w:rsid w:val="572B08B3"/>
    <w:rsid w:val="57BC03CB"/>
    <w:rsid w:val="57D01630"/>
    <w:rsid w:val="5BC76A3E"/>
    <w:rsid w:val="5C7D6313"/>
    <w:rsid w:val="5D7302AA"/>
    <w:rsid w:val="5DB612BC"/>
    <w:rsid w:val="5E857146"/>
    <w:rsid w:val="5EAF02B6"/>
    <w:rsid w:val="5EFC7815"/>
    <w:rsid w:val="5F622F49"/>
    <w:rsid w:val="60CF459F"/>
    <w:rsid w:val="614D1F85"/>
    <w:rsid w:val="61C3144A"/>
    <w:rsid w:val="643F1421"/>
    <w:rsid w:val="64A61A86"/>
    <w:rsid w:val="65CA1FFA"/>
    <w:rsid w:val="65D91EA2"/>
    <w:rsid w:val="66991548"/>
    <w:rsid w:val="674321D8"/>
    <w:rsid w:val="6929078C"/>
    <w:rsid w:val="699448A8"/>
    <w:rsid w:val="6C755DD2"/>
    <w:rsid w:val="6CE56ECE"/>
    <w:rsid w:val="6EF72E01"/>
    <w:rsid w:val="6EFB7F51"/>
    <w:rsid w:val="6F2149DA"/>
    <w:rsid w:val="6FF5FF90"/>
    <w:rsid w:val="700E08F9"/>
    <w:rsid w:val="71BD289A"/>
    <w:rsid w:val="71C26DEB"/>
    <w:rsid w:val="71ED6243"/>
    <w:rsid w:val="73235D4D"/>
    <w:rsid w:val="73BB5314"/>
    <w:rsid w:val="749860E2"/>
    <w:rsid w:val="76D91AA8"/>
    <w:rsid w:val="79A87030"/>
    <w:rsid w:val="7A0D51A5"/>
    <w:rsid w:val="7AF842C4"/>
    <w:rsid w:val="7CB4165F"/>
    <w:rsid w:val="7D562463"/>
    <w:rsid w:val="7D852E89"/>
    <w:rsid w:val="7FBBB9A7"/>
    <w:rsid w:val="FCE7C3F4"/>
    <w:rsid w:val="FE9FE6A7"/>
    <w:rsid w:val="FFFB4E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ody Text"/>
    <w:basedOn w:val="1"/>
    <w:link w:val="22"/>
    <w:qFormat/>
    <w:uiPriority w:val="1"/>
    <w:pPr>
      <w:spacing w:before="19"/>
      <w:ind w:left="479"/>
    </w:pPr>
    <w:rPr>
      <w:rFonts w:ascii="宋体" w:hAnsi="宋体" w:eastAsia="宋体"/>
      <w:sz w:val="18"/>
      <w:szCs w:val="18"/>
    </w:rPr>
  </w:style>
  <w:style w:type="paragraph" w:styleId="4">
    <w:name w:val="Balloon Text"/>
    <w:basedOn w:val="1"/>
    <w:link w:val="18"/>
    <w:semiHidden/>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annotation reference"/>
    <w:basedOn w:val="10"/>
    <w:semiHidden/>
    <w:unhideWhenUsed/>
    <w:qFormat/>
    <w:uiPriority w:val="99"/>
    <w:rPr>
      <w:sz w:val="21"/>
      <w:szCs w:val="21"/>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customStyle="1" w:styleId="14">
    <w:name w:val="标题 11"/>
    <w:basedOn w:val="1"/>
    <w:qFormat/>
    <w:uiPriority w:val="1"/>
    <w:pPr>
      <w:ind w:left="214"/>
      <w:outlineLvl w:val="1"/>
    </w:pPr>
    <w:rPr>
      <w:rFonts w:ascii="MingLiU_HKSCS" w:hAnsi="MingLiU_HKSCS" w:eastAsia="MingLiU_HKSCS"/>
      <w:sz w:val="30"/>
      <w:szCs w:val="30"/>
    </w:rPr>
  </w:style>
  <w:style w:type="paragraph" w:customStyle="1" w:styleId="15">
    <w:name w:val="标题 21"/>
    <w:basedOn w:val="1"/>
    <w:qFormat/>
    <w:uiPriority w:val="1"/>
    <w:pPr>
      <w:ind w:left="602"/>
      <w:outlineLvl w:val="2"/>
    </w:pPr>
    <w:rPr>
      <w:rFonts w:ascii="宋体" w:hAnsi="宋体" w:eastAsia="宋体"/>
      <w:sz w:val="24"/>
      <w:szCs w:val="24"/>
    </w:rPr>
  </w:style>
  <w:style w:type="paragraph" w:styleId="16">
    <w:name w:val="List Paragraph"/>
    <w:basedOn w:val="1"/>
    <w:qFormat/>
    <w:uiPriority w:val="1"/>
  </w:style>
  <w:style w:type="paragraph" w:customStyle="1" w:styleId="17">
    <w:name w:val="Table Paragraph"/>
    <w:basedOn w:val="1"/>
    <w:qFormat/>
    <w:uiPriority w:val="1"/>
  </w:style>
  <w:style w:type="character" w:customStyle="1" w:styleId="18">
    <w:name w:val="批注框文本 Char"/>
    <w:basedOn w:val="10"/>
    <w:link w:val="4"/>
    <w:semiHidden/>
    <w:qFormat/>
    <w:uiPriority w:val="99"/>
    <w:rPr>
      <w:sz w:val="18"/>
      <w:szCs w:val="18"/>
    </w:rPr>
  </w:style>
  <w:style w:type="character" w:customStyle="1" w:styleId="19">
    <w:name w:val="页眉 Char"/>
    <w:basedOn w:val="10"/>
    <w:link w:val="6"/>
    <w:qFormat/>
    <w:uiPriority w:val="99"/>
    <w:rPr>
      <w:sz w:val="18"/>
      <w:szCs w:val="18"/>
    </w:rPr>
  </w:style>
  <w:style w:type="character" w:customStyle="1" w:styleId="20">
    <w:name w:val="页脚 Char"/>
    <w:basedOn w:val="10"/>
    <w:link w:val="5"/>
    <w:qFormat/>
    <w:uiPriority w:val="99"/>
    <w:rPr>
      <w:sz w:val="18"/>
      <w:szCs w:val="18"/>
    </w:rPr>
  </w:style>
  <w:style w:type="paragraph" w:customStyle="1" w:styleId="21">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2">
    <w:name w:val="正文文本 Char"/>
    <w:basedOn w:val="10"/>
    <w:link w:val="3"/>
    <w:qFormat/>
    <w:uiPriority w:val="1"/>
    <w:rPr>
      <w:rFonts w:ascii="宋体" w:hAnsi="宋体" w:eastAsia="宋体"/>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2009</Words>
  <Characters>11455</Characters>
  <Lines>95</Lines>
  <Paragraphs>26</Paragraphs>
  <TotalTime>0</TotalTime>
  <ScaleCrop>false</ScaleCrop>
  <LinksUpToDate>false</LinksUpToDate>
  <CharactersWithSpaces>13438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2021-02-12T02:39:00Z</dcterms:created>
  <dc:creator>grcb</dc:creator>
  <cp:keywords>()</cp:keywords>
  <cp:lastModifiedBy>Lenovo</cp:lastModifiedBy>
  <cp:lastPrinted>2021-03-04T01:36:00Z</cp:lastPrinted>
  <dcterms:modified xsi:type="dcterms:W3CDTF">2023-07-13T09:47:28Z</dcterms:modified>
  <dc:title>产品说明书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2052-11.8.2.9067</vt:lpwstr>
  </property>
  <property fmtid="{D5CDD505-2E9C-101B-9397-08002B2CF9AE}" pid="6" name="ICV">
    <vt:lpwstr>B5C487DB3F5E46878475617749842C00</vt:lpwstr>
  </property>
</Properties>
</file>