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1年254期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超值宝1年254期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GRCB01202601</w:t>
            </w:r>
            <w:r>
              <w:rPr>
                <w:rFonts w:hint="eastAsia" w:ascii="仿宋_GB2312" w:hAnsi="Times New Roman" w:eastAsia="仿宋_GB2312" w:cs="Times New Roman"/>
                <w:sz w:val="20"/>
                <w:highlight w:val="none"/>
                <w:lang w:val="en-US" w:eastAsia="zh-CN"/>
              </w:rPr>
              <w:t>2</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3C3AC30C">
            <w:pPr>
              <w:widowControl/>
              <w:kinsoku w:val="0"/>
              <w:autoSpaceDE w:val="0"/>
              <w:autoSpaceDN w:val="0"/>
              <w:adjustRightInd w:val="0"/>
              <w:snapToGrid w:val="0"/>
              <w:spacing w:line="240" w:lineRule="auto"/>
              <w:jc w:val="center"/>
              <w:textAlignment w:val="baseline"/>
              <w:rPr>
                <w:rFonts w:hint="default" w:ascii="仿宋_GB2312" w:hAnsi="Times New Roman" w:eastAsia="仿宋_GB2312" w:cs="Times New Roman"/>
                <w:sz w:val="20"/>
                <w:szCs w:val="22"/>
                <w:highlight w:val="none"/>
                <w:lang w:val="en-US" w:eastAsia="zh-CN" w:bidi="ar-SA"/>
              </w:rPr>
            </w:pPr>
            <w:bookmarkStart w:id="0" w:name="_GoBack"/>
            <w:r>
              <w:rPr>
                <w:rFonts w:hint="eastAsia" w:ascii="仿宋_GB2312" w:hAnsi="Times New Roman" w:eastAsia="仿宋_GB2312" w:cs="Times New Roman"/>
                <w:sz w:val="20"/>
                <w:szCs w:val="22"/>
                <w:highlight w:val="none"/>
                <w:lang w:val="en-US" w:eastAsia="en-US" w:bidi="ar-SA"/>
              </w:rPr>
              <w:t>C11883260000</w:t>
            </w:r>
            <w:r>
              <w:rPr>
                <w:rFonts w:hint="eastAsia" w:ascii="仿宋_GB2312" w:hAnsi="Times New Roman" w:eastAsia="仿宋_GB2312" w:cs="Times New Roman"/>
                <w:sz w:val="20"/>
                <w:szCs w:val="22"/>
                <w:highlight w:val="none"/>
                <w:lang w:val="en-US" w:eastAsia="zh-CN" w:bidi="ar-SA"/>
              </w:rPr>
              <w:t>11</w:t>
            </w:r>
          </w:p>
          <w:bookmarkEnd w:id="0"/>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2026年3月24日9:00至2026年3月30日16:59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2026年3月31日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2027年3月31日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E3097A8">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ybn0TNRv7fLhp1EmcyXQ9WzF21A=" w:salt="kAsJIugsWECNappHNTvT/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06B22"/>
    <w:rsid w:val="058C20F2"/>
    <w:rsid w:val="05EC7342"/>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521CAA"/>
    <w:rsid w:val="10541AEB"/>
    <w:rsid w:val="1063025D"/>
    <w:rsid w:val="108D17B0"/>
    <w:rsid w:val="10924304"/>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C165C2F"/>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1074B0E"/>
    <w:rsid w:val="411F724B"/>
    <w:rsid w:val="41F979B9"/>
    <w:rsid w:val="428E560E"/>
    <w:rsid w:val="42972AA2"/>
    <w:rsid w:val="430E475E"/>
    <w:rsid w:val="43E413DC"/>
    <w:rsid w:val="43E84AF1"/>
    <w:rsid w:val="44773462"/>
    <w:rsid w:val="44CC3BAD"/>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267971"/>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0</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2026-03-04T07:48:17Z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