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43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1FC985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债权清单</w:t>
      </w:r>
    </w:p>
    <w:bookmarkEnd w:id="0"/>
    <w:p w14:paraId="4E2130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5"/>
        <w:tblW w:w="11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247"/>
        <w:gridCol w:w="637"/>
        <w:gridCol w:w="1137"/>
        <w:gridCol w:w="1119"/>
        <w:gridCol w:w="1040"/>
        <w:gridCol w:w="1363"/>
        <w:gridCol w:w="1330"/>
        <w:gridCol w:w="2199"/>
        <w:gridCol w:w="897"/>
      </w:tblGrid>
      <w:tr w14:paraId="06D66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债务人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5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本金余额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A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欠付利息（元）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欠息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罚息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实现债权的费用（律师费、诉讼费等）（元）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9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</w:t>
            </w:r>
          </w:p>
        </w:tc>
        <w:tc>
          <w:tcPr>
            <w:tcW w:w="21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0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保证人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B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抵质押物</w:t>
            </w:r>
          </w:p>
        </w:tc>
      </w:tr>
      <w:tr w14:paraId="5D04B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E0F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1F7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F01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6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(元)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F5E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6E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976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基准日</w:t>
            </w:r>
          </w:p>
        </w:tc>
        <w:tc>
          <w:tcPr>
            <w:tcW w:w="21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9F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7BC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ACB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C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贵州瑰丽朵研贸易有限公司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贵州省龙里县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4,820,000.00 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1,534,556,05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F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398，881.78 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具体以实际为准 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EA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上海珲湖资产管理有限公司、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贵州云龙旅游发展有限责任公司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、陈明勇、龙建佑、李峰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</w:tbl>
    <w:p w14:paraId="14DB0B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注：1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本公告清单仅列示截至基准日的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贷款本金、利罚息余额、违约金及相关费用，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债务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人和担保人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实际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应支付的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贷款本金、利罚息余额、违约金及相关费用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等按照相关合同协议计算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至债务全部清偿完毕之日止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。</w:t>
      </w:r>
    </w:p>
    <w:p w14:paraId="58DDDF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上述债权金额及担保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仅为一般性描述，如有错漏，以债务人、保证人等原已签署的交易合同、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相关法律规定为准，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本公司不承担瑕疵担保责任。</w:t>
      </w:r>
    </w:p>
    <w:p w14:paraId="10E8B1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以上内容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中国中信金融资产管理股份有限公司贵州省分公司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拥有最终解释权。</w:t>
      </w:r>
    </w:p>
    <w:p w14:paraId="0EDF7CC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21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7CCF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7CCF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D5336"/>
    <w:rsid w:val="164F5664"/>
    <w:rsid w:val="17284158"/>
    <w:rsid w:val="2DAD5336"/>
    <w:rsid w:val="395316CE"/>
    <w:rsid w:val="471C191C"/>
    <w:rsid w:val="6A22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2026-05-18T07:26:00Z</dcterms:created>
  <dc:creator>124639-熊炼青</dc:creator>
  <cp:lastModifiedBy>124639-熊炼青</cp:lastModifiedBy>
  <dcterms:modified xsi:type="dcterms:W3CDTF">2026-05-18T07:27:01Z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BA63C588EA584981B47051005C710E6D_11</vt:lpwstr>
  </property>
</Properties>
</file>