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62F2C">
      <w:pPr>
        <w:ind w:right="-26" w:rightChars="-12"/>
        <w:jc w:val="center"/>
        <w:rPr>
          <w:rFonts w:hint="eastAsia" w:ascii="方正小标宋_GBK" w:hAnsi="方正小标宋_GBK" w:eastAsia="方正小标宋_GBK" w:cs="方正小标宋_GBK"/>
          <w:color w:val="auto"/>
          <w:w w:val="105"/>
          <w:sz w:val="36"/>
          <w:szCs w:val="30"/>
          <w:highlight w:val="none"/>
          <w:u w:val="singl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1"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color w:val="auto"/>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7"/>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color w:val="auto"/>
          <w:w w:val="105"/>
          <w:sz w:val="36"/>
          <w:szCs w:val="30"/>
          <w:highlight w:val="none"/>
          <w:lang w:eastAsia="zh-CN"/>
        </w:rPr>
        <w:t>贵阳农商银行超值宝</w:t>
      </w:r>
      <w:r>
        <w:rPr>
          <w:rFonts w:hint="eastAsia" w:ascii="方正小标宋_GBK" w:hAnsi="方正小标宋_GBK" w:eastAsia="方正小标宋_GBK" w:cs="方正小标宋_GBK"/>
          <w:color w:val="auto"/>
          <w:w w:val="105"/>
          <w:sz w:val="36"/>
          <w:szCs w:val="30"/>
          <w:highlight w:val="none"/>
          <w:lang w:val="en-US" w:eastAsia="zh-CN"/>
        </w:rPr>
        <w:t>活期</w:t>
      </w:r>
    </w:p>
    <w:p w14:paraId="05457D1B">
      <w:pPr>
        <w:ind w:right="-26" w:rightChars="-12"/>
        <w:jc w:val="center"/>
        <w:rPr>
          <w:rFonts w:hint="eastAsia" w:ascii="方正小标宋_GBK" w:hAnsi="方正小标宋_GBK" w:eastAsia="方正小标宋_GBK" w:cs="方正小标宋_GBK"/>
          <w:color w:val="auto"/>
          <w:w w:val="105"/>
          <w:sz w:val="36"/>
          <w:szCs w:val="30"/>
          <w:highlight w:val="none"/>
          <w:lang w:eastAsia="zh-CN"/>
        </w:rPr>
      </w:pPr>
      <w:r>
        <w:rPr>
          <w:rFonts w:hint="eastAsia" w:ascii="方正小标宋_GBK" w:hAnsi="方正小标宋_GBK" w:eastAsia="方正小标宋_GBK" w:cs="方正小标宋_GBK"/>
          <w:color w:val="auto"/>
          <w:w w:val="105"/>
          <w:sz w:val="36"/>
          <w:szCs w:val="30"/>
          <w:highlight w:val="none"/>
          <w:lang w:eastAsia="zh-CN"/>
        </w:rPr>
        <w:t>理财产品说明书</w:t>
      </w:r>
    </w:p>
    <w:p w14:paraId="08F5E9FD">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仿宋_GB2312" w:hAnsi="Times New Roman" w:eastAsia="仿宋_GB2312" w:cs="Times New Roman"/>
          <w:color w:val="auto"/>
          <w:w w:val="100"/>
          <w:sz w:val="20"/>
          <w:szCs w:val="22"/>
          <w:highlight w:val="none"/>
          <w:lang w:val="en-US" w:eastAsia="zh-CN"/>
        </w:rPr>
        <w:t>版本号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V1.1-2025.11</w:t>
      </w:r>
    </w:p>
    <w:p w14:paraId="7DE4DC64">
      <w:pPr>
        <w:ind w:right="-6519" w:rightChars="-2963" w:firstLine="480" w:firstLineChars="200"/>
        <w:rPr>
          <w:rFonts w:ascii="Times New Roman" w:hAnsi="黑体" w:eastAsia="黑体" w:cs="Times New Roman"/>
          <w:color w:val="auto"/>
          <w:sz w:val="24"/>
          <w:szCs w:val="24"/>
          <w:highlight w:val="none"/>
          <w:lang w:eastAsia="zh-CN"/>
        </w:rPr>
      </w:pPr>
    </w:p>
    <w:p w14:paraId="68C0C7C2">
      <w:pPr>
        <w:pStyle w:val="18"/>
        <w:ind w:left="10" w:firstLine="400" w:firstLineChars="200"/>
        <w:rPr>
          <w:rFonts w:ascii="仿宋_GB2312" w:hAnsi="Times New Roman" w:eastAsia="仿宋_GB2312" w:cs="Times New Roman"/>
          <w:b/>
          <w:bCs/>
          <w:color w:val="auto"/>
          <w:sz w:val="20"/>
          <w:highlight w:val="none"/>
          <w:lang w:eastAsia="zh-CN"/>
        </w:rPr>
      </w:pPr>
      <w:r>
        <w:rPr>
          <w:rFonts w:hint="eastAsia" w:ascii="仿宋_GB2312" w:hAnsi="Times New Roman" w:eastAsia="仿宋_GB2312" w:cs="Times New Roman"/>
          <w:color w:val="auto"/>
          <w:sz w:val="20"/>
          <w:highlight w:val="none"/>
          <w:lang w:eastAsia="zh-CN"/>
        </w:rPr>
        <w:t>尊敬的投资者，感谢您选择</w:t>
      </w:r>
      <w:r>
        <w:rPr>
          <w:rFonts w:hint="eastAsia" w:ascii="仿宋_GB2312" w:hAnsi="Times New Roman" w:eastAsia="仿宋_GB2312" w:cs="Times New Roman"/>
          <w:color w:val="auto"/>
          <w:sz w:val="20"/>
          <w:highlight w:val="none"/>
          <w:lang w:val="en-US" w:eastAsia="zh-CN"/>
        </w:rPr>
        <w:t>贵阳农村商业银行股份有限公司（以下简称“</w:t>
      </w:r>
      <w:r>
        <w:rPr>
          <w:rFonts w:hint="eastAsia" w:ascii="仿宋_GB2312" w:hAnsi="Times New Roman" w:eastAsia="仿宋_GB2312" w:cs="Times New Roman"/>
          <w:color w:val="auto"/>
          <w:sz w:val="20"/>
          <w:highlight w:val="none"/>
          <w:lang w:eastAsia="zh-CN"/>
        </w:rPr>
        <w:t>贵阳农商银行”）理财产品！您购买</w:t>
      </w:r>
      <w:r>
        <w:rPr>
          <w:rFonts w:hint="eastAsia" w:ascii="仿宋_GB2312" w:hAnsi="Times New Roman" w:eastAsia="仿宋_GB2312" w:cs="Times New Roman"/>
          <w:color w:val="auto"/>
          <w:sz w:val="20"/>
          <w:highlight w:val="none"/>
          <w:lang w:val="en-US" w:eastAsia="zh-CN"/>
        </w:rPr>
        <w:t>的</w:t>
      </w:r>
      <w:r>
        <w:rPr>
          <w:rFonts w:hint="eastAsia" w:ascii="仿宋_GB2312" w:hAnsi="Times New Roman" w:eastAsia="仿宋_GB2312" w:cs="Times New Roman"/>
          <w:color w:val="auto"/>
          <w:sz w:val="20"/>
          <w:highlight w:val="none"/>
          <w:lang w:eastAsia="zh-CN"/>
        </w:rPr>
        <w:t>本款产品是由贵阳农商银行自主设计、投资、运作的理财产品。</w:t>
      </w:r>
      <w:r>
        <w:rPr>
          <w:rFonts w:hint="eastAsia" w:ascii="仿宋_GB2312" w:hAnsi="Times New Roman" w:eastAsia="仿宋_GB2312" w:cs="Times New Roman"/>
          <w:b/>
          <w:bCs/>
          <w:color w:val="auto"/>
          <w:sz w:val="20"/>
          <w:highlight w:val="none"/>
          <w:lang w:eastAsia="zh-CN"/>
        </w:rPr>
        <w:t>为保障您的合法权益，请您在进行金融投资时，警惕任何</w:t>
      </w:r>
      <w:r>
        <w:rPr>
          <w:rFonts w:hint="eastAsia" w:ascii="仿宋_GB2312" w:hAnsi="Times New Roman" w:eastAsia="仿宋_GB2312" w:cs="Times New Roman"/>
          <w:b/>
          <w:bCs/>
          <w:color w:val="auto"/>
          <w:sz w:val="20"/>
          <w:highlight w:val="none"/>
          <w:lang w:val="en-US" w:eastAsia="zh-CN"/>
        </w:rPr>
        <w:t>个</w:t>
      </w:r>
      <w:r>
        <w:rPr>
          <w:rFonts w:hint="eastAsia" w:ascii="仿宋_GB2312" w:hAnsi="Times New Roman" w:eastAsia="仿宋_GB2312" w:cs="Times New Roman"/>
          <w:b/>
          <w:bCs/>
          <w:color w:val="auto"/>
          <w:sz w:val="20"/>
          <w:highlight w:val="none"/>
          <w:lang w:eastAsia="zh-CN"/>
        </w:rPr>
        <w:t>人与机构假借我行理财产品之名推介、推销其他类型产品。</w:t>
      </w:r>
    </w:p>
    <w:p w14:paraId="7533B79F">
      <w:pPr>
        <w:numPr>
          <w:ilvl w:val="0"/>
          <w:numId w:val="0"/>
        </w:numPr>
        <w:ind w:leftChars="200" w:right="-6519" w:rightChars="-2963"/>
        <w:rPr>
          <w:rFonts w:ascii="仿宋_GB2312" w:hAnsi="Times New Roman" w:eastAsia="仿宋_GB2312" w:cs="Times New Roman"/>
          <w:b/>
          <w:bCs/>
          <w:color w:val="auto"/>
          <w:sz w:val="20"/>
          <w:highlight w:val="none"/>
          <w:lang w:eastAsia="zh-CN"/>
        </w:rPr>
      </w:pPr>
      <w:r>
        <w:rPr>
          <w:rFonts w:hint="eastAsia" w:ascii="Times New Roman" w:hAnsi="黑体" w:eastAsia="黑体" w:cs="Times New Roman"/>
          <w:color w:val="auto"/>
          <w:sz w:val="24"/>
          <w:szCs w:val="24"/>
          <w:highlight w:val="none"/>
          <w:lang w:val="en-US" w:eastAsia="zh-CN"/>
        </w:rPr>
        <w:t>一、</w:t>
      </w:r>
      <w:r>
        <w:rPr>
          <w:rFonts w:hint="eastAsia" w:ascii="Times New Roman" w:hAnsi="黑体" w:eastAsia="黑体" w:cs="Times New Roman"/>
          <w:color w:val="auto"/>
          <w:sz w:val="24"/>
          <w:szCs w:val="24"/>
          <w:highlight w:val="none"/>
          <w:lang w:eastAsia="zh-CN"/>
        </w:rPr>
        <w:t>重要须知</w:t>
      </w:r>
    </w:p>
    <w:p w14:paraId="681D21B7">
      <w:pPr>
        <w:pStyle w:val="18"/>
        <w:ind w:left="10" w:firstLine="402" w:firstLineChars="200"/>
        <w:rPr>
          <w:rFonts w:hint="default" w:ascii="仿宋_GB2312" w:hAnsi="Times New Roman" w:eastAsia="仿宋_GB2312" w:cs="Times New Roman"/>
          <w:b/>
          <w:bCs/>
          <w:color w:val="auto"/>
          <w:sz w:val="20"/>
          <w:szCs w:val="20"/>
          <w:highlight w:val="none"/>
          <w:lang w:val="en-US" w:eastAsia="zh-CN"/>
        </w:rPr>
      </w:pPr>
      <w:r>
        <w:rPr>
          <w:rFonts w:hint="eastAsia" w:ascii="仿宋_GB2312" w:hAnsi="Times New Roman" w:eastAsia="仿宋_GB2312" w:cs="Times New Roman"/>
          <w:b/>
          <w:bCs/>
          <w:sz w:val="20"/>
          <w:szCs w:val="20"/>
          <w:highlight w:val="none"/>
          <w:lang w:eastAsia="zh-CN"/>
        </w:rPr>
        <w:t>（</w:t>
      </w:r>
      <w:r>
        <w:rPr>
          <w:rFonts w:hint="eastAsia" w:ascii="仿宋_GB2312" w:hAnsi="Times New Roman" w:eastAsia="仿宋_GB2312" w:cs="Times New Roman"/>
          <w:b/>
          <w:bCs/>
          <w:sz w:val="20"/>
          <w:szCs w:val="20"/>
          <w:highlight w:val="none"/>
          <w:lang w:val="en-US" w:eastAsia="zh-CN"/>
        </w:rPr>
        <w:t>一</w:t>
      </w:r>
      <w:r>
        <w:rPr>
          <w:rFonts w:hint="eastAsia" w:ascii="仿宋_GB2312" w:hAnsi="Times New Roman" w:eastAsia="仿宋_GB2312" w:cs="Times New Roman"/>
          <w:b/>
          <w:bCs/>
          <w:sz w:val="20"/>
          <w:szCs w:val="20"/>
          <w:highlight w:val="none"/>
          <w:lang w:eastAsia="zh-CN"/>
        </w:rPr>
        <w:t>）</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789D15D0">
      <w:pPr>
        <w:pStyle w:val="18"/>
        <w:ind w:left="10" w:firstLine="402" w:firstLineChars="200"/>
        <w:jc w:val="both"/>
        <w:rPr>
          <w:rFonts w:ascii="仿宋_GB2312" w:hAnsi="Times New Roman" w:eastAsia="仿宋_GB2312" w:cs="Times New Roman"/>
          <w:b/>
          <w:bCs/>
          <w:color w:val="auto"/>
          <w:sz w:val="20"/>
          <w:szCs w:val="20"/>
          <w:highlight w:val="none"/>
          <w:lang w:eastAsia="zh-CN"/>
        </w:rPr>
      </w:pPr>
      <w:r>
        <w:rPr>
          <w:rFonts w:hint="eastAsia" w:ascii="仿宋_GB2312" w:hAnsi="Times New Roman" w:eastAsia="仿宋_GB2312" w:cs="Times New Roman"/>
          <w:b/>
          <w:bCs/>
          <w:sz w:val="20"/>
          <w:szCs w:val="20"/>
          <w:highlight w:val="none"/>
          <w:lang w:val="en-US" w:eastAsia="zh-CN"/>
        </w:rPr>
        <w:t>（二）</w:t>
      </w:r>
      <w:r>
        <w:rPr>
          <w:rFonts w:ascii="仿宋_GB2312" w:hAnsi="Times New Roman" w:eastAsia="仿宋_GB2312" w:cs="Times New Roman"/>
          <w:b/>
          <w:bCs/>
          <w:color w:val="auto"/>
          <w:sz w:val="20"/>
          <w:szCs w:val="20"/>
          <w:highlight w:val="none"/>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color w:val="auto"/>
          <w:sz w:val="20"/>
          <w:szCs w:val="20"/>
          <w:highlight w:val="none"/>
          <w:lang w:val="en-US" w:eastAsia="zh-CN"/>
        </w:rPr>
        <w:t>本</w:t>
      </w:r>
      <w:r>
        <w:rPr>
          <w:rFonts w:ascii="仿宋_GB2312" w:hAnsi="Times New Roman" w:eastAsia="仿宋_GB2312" w:cs="Times New Roman"/>
          <w:b/>
          <w:bCs/>
          <w:color w:val="auto"/>
          <w:sz w:val="20"/>
          <w:szCs w:val="20"/>
          <w:highlight w:val="none"/>
          <w:lang w:eastAsia="zh-CN"/>
        </w:rPr>
        <w:t>理财产品的信息披露情况，及时获取相关信息。</w:t>
      </w:r>
    </w:p>
    <w:p w14:paraId="66E9E326">
      <w:pPr>
        <w:pStyle w:val="18"/>
        <w:ind w:left="10" w:firstLine="402" w:firstLineChars="200"/>
        <w:jc w:val="both"/>
        <w:rPr>
          <w:rFonts w:hint="default" w:eastAsiaTheme="minorEastAsia"/>
          <w:color w:val="auto"/>
          <w:sz w:val="20"/>
          <w:szCs w:val="20"/>
          <w:highlight w:val="none"/>
          <w:lang w:val="en-US" w:eastAsia="zh-CN"/>
        </w:rPr>
      </w:pPr>
      <w:r>
        <w:rPr>
          <w:rFonts w:hint="eastAsia" w:ascii="仿宋_GB2312" w:hAnsi="Times New Roman" w:eastAsia="仿宋_GB2312" w:cs="Times New Roman"/>
          <w:b/>
          <w:bCs/>
          <w:sz w:val="20"/>
          <w:szCs w:val="20"/>
          <w:highlight w:val="none"/>
          <w:lang w:val="en-US" w:eastAsia="zh-CN"/>
        </w:rPr>
        <w:t>（三）</w:t>
      </w:r>
      <w:r>
        <w:rPr>
          <w:rFonts w:hint="eastAsia" w:ascii="仿宋_GB2312" w:hAnsi="Times New Roman" w:eastAsia="仿宋_GB2312" w:cs="Times New Roman"/>
          <w:b/>
          <w:bCs/>
          <w:color w:val="auto"/>
          <w:sz w:val="20"/>
          <w:szCs w:val="20"/>
          <w:highlight w:val="none"/>
          <w:lang w:val="en-US" w:eastAsia="zh-CN"/>
        </w:rPr>
        <w:t>无论您是否签署，如您购买本理财产品，即视为您已阅读、理解理财产品销售文件，并同意接受理财产品销售文件所有内容的约束。</w:t>
      </w:r>
    </w:p>
    <w:p w14:paraId="44663564">
      <w:pPr>
        <w:pStyle w:val="18"/>
        <w:ind w:left="10" w:firstLine="402" w:firstLineChars="200"/>
        <w:rPr>
          <w:rFonts w:ascii="仿宋_GB2312" w:hAnsi="Times New Roman" w:eastAsia="仿宋_GB2312" w:cs="Times New Roman"/>
          <w:b/>
          <w:bCs/>
          <w:color w:val="auto"/>
          <w:sz w:val="20"/>
          <w:szCs w:val="20"/>
          <w:highlight w:val="none"/>
          <w:lang w:eastAsia="zh-CN"/>
        </w:rPr>
      </w:pPr>
      <w:r>
        <w:rPr>
          <w:rFonts w:hint="eastAsia" w:ascii="仿宋_GB2312" w:hAnsi="Times New Roman" w:eastAsia="仿宋_GB2312" w:cs="Times New Roman"/>
          <w:b/>
          <w:bCs/>
          <w:sz w:val="20"/>
          <w:szCs w:val="20"/>
          <w:highlight w:val="none"/>
          <w:lang w:val="en-US" w:eastAsia="zh-CN"/>
        </w:rPr>
        <w:t>（四）</w:t>
      </w:r>
      <w:r>
        <w:rPr>
          <w:rFonts w:ascii="仿宋_GB2312" w:hAnsi="Times New Roman" w:eastAsia="仿宋_GB2312" w:cs="Times New Roman"/>
          <w:b/>
          <w:bCs/>
          <w:color w:val="auto"/>
          <w:sz w:val="20"/>
          <w:szCs w:val="20"/>
          <w:highlight w:val="none"/>
          <w:lang w:eastAsia="zh-CN"/>
        </w:rPr>
        <w:t>理财非存款、产品有风险、投资须谨慎。</w:t>
      </w:r>
    </w:p>
    <w:p w14:paraId="58E2CAB1">
      <w:pPr>
        <w:pStyle w:val="18"/>
        <w:ind w:left="10" w:firstLine="402" w:firstLineChars="200"/>
        <w:rPr>
          <w:rFonts w:ascii="仿宋_GB2312" w:hAnsi="Times New Roman" w:eastAsia="仿宋_GB2312" w:cs="Times New Roman"/>
          <w:b/>
          <w:bCs/>
          <w:color w:val="auto"/>
          <w:sz w:val="20"/>
          <w:szCs w:val="20"/>
          <w:highlight w:val="none"/>
          <w:lang w:eastAsia="zh-CN"/>
        </w:rPr>
      </w:pPr>
      <w:r>
        <w:rPr>
          <w:rFonts w:hint="eastAsia" w:ascii="仿宋_GB2312" w:hAnsi="Times New Roman" w:eastAsia="仿宋_GB2312" w:cs="Times New Roman"/>
          <w:b/>
          <w:bCs/>
          <w:sz w:val="20"/>
          <w:szCs w:val="20"/>
          <w:highlight w:val="none"/>
          <w:lang w:val="en-US" w:eastAsia="zh-CN"/>
        </w:rPr>
        <w:t>（五）</w:t>
      </w:r>
      <w:r>
        <w:rPr>
          <w:rFonts w:ascii="仿宋_GB2312" w:hAnsi="Times New Roman" w:eastAsia="仿宋_GB2312" w:cs="Times New Roman"/>
          <w:b/>
          <w:bCs/>
          <w:color w:val="auto"/>
          <w:sz w:val="20"/>
          <w:szCs w:val="20"/>
          <w:highlight w:val="none"/>
          <w:lang w:eastAsia="zh-CN"/>
        </w:rPr>
        <w:t>理财产品过往业绩</w:t>
      </w:r>
      <w:r>
        <w:rPr>
          <w:rFonts w:hint="eastAsia" w:ascii="仿宋_GB2312" w:hAnsi="Times New Roman" w:eastAsia="仿宋_GB2312" w:cs="Times New Roman"/>
          <w:b/>
          <w:bCs/>
          <w:color w:val="auto"/>
          <w:sz w:val="20"/>
          <w:szCs w:val="20"/>
          <w:highlight w:val="none"/>
          <w:lang w:eastAsia="zh-CN"/>
        </w:rPr>
        <w:t>、</w:t>
      </w:r>
      <w:r>
        <w:rPr>
          <w:rFonts w:hint="eastAsia" w:ascii="仿宋_GB2312" w:hAnsi="Times New Roman" w:eastAsia="仿宋_GB2312" w:cs="Times New Roman"/>
          <w:b/>
          <w:bCs/>
          <w:color w:val="auto"/>
          <w:sz w:val="20"/>
          <w:szCs w:val="20"/>
          <w:highlight w:val="none"/>
          <w:lang w:val="en-US" w:eastAsia="zh-CN"/>
        </w:rPr>
        <w:t>业绩比较基准</w:t>
      </w:r>
      <w:r>
        <w:rPr>
          <w:rFonts w:ascii="仿宋_GB2312" w:hAnsi="Times New Roman" w:eastAsia="仿宋_GB2312" w:cs="Times New Roman"/>
          <w:b/>
          <w:bCs/>
          <w:color w:val="auto"/>
          <w:sz w:val="20"/>
          <w:szCs w:val="20"/>
          <w:highlight w:val="none"/>
          <w:lang w:eastAsia="zh-CN"/>
        </w:rPr>
        <w:t>不代表其未来表现，不等于理财产品实际收益</w:t>
      </w:r>
      <w:r>
        <w:rPr>
          <w:rFonts w:hint="eastAsia" w:ascii="仿宋_GB2312" w:hAnsi="Times New Roman" w:eastAsia="仿宋_GB2312" w:cs="Times New Roman"/>
          <w:b/>
          <w:bCs/>
          <w:color w:val="auto"/>
          <w:sz w:val="20"/>
          <w:szCs w:val="20"/>
          <w:highlight w:val="none"/>
          <w:lang w:eastAsia="zh-CN"/>
        </w:rPr>
        <w:t>，</w:t>
      </w:r>
      <w:r>
        <w:rPr>
          <w:rFonts w:hint="eastAsia" w:ascii="仿宋_GB2312" w:hAnsi="Times New Roman" w:eastAsia="仿宋_GB2312" w:cs="Times New Roman"/>
          <w:b/>
          <w:bCs/>
          <w:color w:val="auto"/>
          <w:sz w:val="20"/>
          <w:szCs w:val="20"/>
          <w:highlight w:val="none"/>
          <w:lang w:val="en-US" w:eastAsia="zh-CN"/>
        </w:rPr>
        <w:t>投资须谨慎</w:t>
      </w:r>
      <w:r>
        <w:rPr>
          <w:rFonts w:ascii="仿宋_GB2312" w:hAnsi="Times New Roman" w:eastAsia="仿宋_GB2312" w:cs="Times New Roman"/>
          <w:b/>
          <w:bCs/>
          <w:color w:val="auto"/>
          <w:sz w:val="20"/>
          <w:szCs w:val="20"/>
          <w:highlight w:val="none"/>
          <w:lang w:eastAsia="zh-CN"/>
        </w:rPr>
        <w:t>。</w:t>
      </w:r>
    </w:p>
    <w:p w14:paraId="5D58DF6A">
      <w:pPr>
        <w:ind w:right="-6519" w:rightChars="-2963" w:firstLine="480" w:firstLineChars="200"/>
        <w:rPr>
          <w:rFonts w:hint="eastAsia" w:ascii="Times New Roman" w:hAnsi="黑体" w:eastAsia="黑体" w:cs="Times New Roman"/>
          <w:color w:val="auto"/>
          <w:sz w:val="24"/>
          <w:szCs w:val="24"/>
          <w:highlight w:val="none"/>
          <w:lang w:val="en-US" w:eastAsia="zh-CN"/>
        </w:rPr>
      </w:pPr>
      <w:r>
        <w:rPr>
          <w:rFonts w:hint="eastAsia" w:ascii="Times New Roman" w:hAnsi="黑体" w:eastAsia="黑体" w:cs="Times New Roman"/>
          <w:color w:val="auto"/>
          <w:sz w:val="24"/>
          <w:szCs w:val="24"/>
          <w:highlight w:val="none"/>
          <w:lang w:val="en-US" w:eastAsia="zh-CN"/>
        </w:rPr>
        <w:t>二、释义</w:t>
      </w:r>
    </w:p>
    <w:p w14:paraId="1D53238E">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w:t>
      </w:r>
      <w:r>
        <w:rPr>
          <w:rFonts w:hint="eastAsia" w:ascii="仿宋_GB2312" w:hAnsi="仿宋_GB2312" w:eastAsia="仿宋_GB2312" w:cs="仿宋_GB2312"/>
          <w:color w:val="auto"/>
          <w:sz w:val="20"/>
          <w:szCs w:val="20"/>
          <w:highlight w:val="none"/>
          <w:lang w:val="en-US" w:eastAsia="zh-CN" w:bidi="ar-SA"/>
        </w:rPr>
        <w:t>含义</w:t>
      </w:r>
      <w:r>
        <w:rPr>
          <w:rFonts w:hint="eastAsia" w:ascii="仿宋_GB2312" w:hAnsi="Times New Roman" w:eastAsia="仿宋_GB2312" w:cs="Times New Roman"/>
          <w:color w:val="auto"/>
          <w:sz w:val="20"/>
          <w:szCs w:val="22"/>
          <w:highlight w:val="none"/>
          <w:lang w:val="en-US" w:eastAsia="zh-CN" w:bidi="ar-SA"/>
        </w:rPr>
        <w:t>如下：</w:t>
      </w:r>
    </w:p>
    <w:p w14:paraId="30A47382">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33E4471">
      <w:pPr>
        <w:keepNext w:val="0"/>
        <w:keepLines w:val="0"/>
        <w:widowControl/>
        <w:suppressLineNumbers w:val="0"/>
        <w:ind w:firstLine="402" w:firstLineChars="200"/>
        <w:jc w:val="both"/>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指贵阳农村商业银行股份有限公司，官方网站为（https://www.gznxbank.com/html/2010000/index.html）。</w:t>
      </w:r>
      <w:bookmarkStart w:id="0" w:name="_GoBack"/>
      <w:bookmarkEnd w:id="0"/>
    </w:p>
    <w:p w14:paraId="2057A3CC">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49CBE20">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B357BF6">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C652B7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5B5EE4B7">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091B768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1499F4A6">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w:t>
      </w:r>
      <w:r>
        <w:rPr>
          <w:rFonts w:hint="eastAsia" w:ascii="仿宋_GB2312" w:hAnsi="仿宋_GB2312" w:eastAsia="仿宋_GB2312" w:cs="仿宋_GB2312"/>
          <w:b w:val="0"/>
          <w:bCs w:val="0"/>
          <w:color w:val="auto"/>
          <w:kern w:val="0"/>
          <w:sz w:val="20"/>
          <w:szCs w:val="20"/>
          <w:highlight w:val="none"/>
          <w:lang w:val="en-US" w:eastAsia="zh-CN" w:bidi="ar"/>
        </w:rPr>
        <w:t>本理财产品存续期内，每日为理财产品的开放期，投资者可在开放期提交申购/赎回申请，但管理人仅在开放日对申购/赎回申请进行确认，具体确认日期以申购/赎回确认日规则为准</w:t>
      </w:r>
      <w:r>
        <w:rPr>
          <w:rFonts w:hint="eastAsia" w:ascii="仿宋_GB2312" w:hAnsi="仿宋_GB2312" w:eastAsia="仿宋_GB2312" w:cs="仿宋_GB2312"/>
          <w:color w:val="auto"/>
          <w:kern w:val="0"/>
          <w:sz w:val="20"/>
          <w:szCs w:val="20"/>
          <w:highlight w:val="none"/>
          <w:lang w:val="en-US" w:eastAsia="zh-CN" w:bidi="ar"/>
        </w:rPr>
        <w:t>。</w:t>
      </w:r>
    </w:p>
    <w:p w14:paraId="1068D17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仿宋_GB2312" w:eastAsia="仿宋_GB2312" w:cs="仿宋_GB2312"/>
          <w:b w:val="0"/>
          <w:bCs w:val="0"/>
          <w:color w:val="auto"/>
          <w:kern w:val="0"/>
          <w:sz w:val="20"/>
          <w:szCs w:val="20"/>
          <w:highlight w:val="none"/>
          <w:lang w:val="en-US" w:eastAsia="zh-CN" w:bidi="ar"/>
        </w:rPr>
        <w:t>本理财产品存续期内，仅每个工作日为开放日。</w:t>
      </w:r>
    </w:p>
    <w:p w14:paraId="573EF7CE">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23725F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7CCDA7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指理财产品实际终止之日，但</w:t>
      </w:r>
      <w:r>
        <w:rPr>
          <w:rFonts w:hint="eastAsia" w:ascii="仿宋_GB2312" w:hAnsi="仿宋_GB2312" w:eastAsia="仿宋_GB2312" w:cs="仿宋_GB2312"/>
          <w:color w:val="auto"/>
          <w:sz w:val="20"/>
          <w:szCs w:val="20"/>
          <w:highlight w:val="none"/>
          <w:lang w:val="en-US" w:eastAsia="zh-CN" w:bidi="ar"/>
        </w:rPr>
        <w:t>无固定期限理财的</w:t>
      </w:r>
      <w:r>
        <w:rPr>
          <w:rFonts w:hint="eastAsia" w:ascii="仿宋_GB2312" w:hAnsi="仿宋_GB2312" w:eastAsia="仿宋_GB2312" w:cs="仿宋_GB2312"/>
          <w:color w:val="auto"/>
          <w:kern w:val="0"/>
          <w:sz w:val="20"/>
          <w:szCs w:val="20"/>
          <w:highlight w:val="none"/>
          <w:lang w:val="en-US" w:eastAsia="zh-CN" w:bidi="ar"/>
        </w:rPr>
        <w:t>实际终止之日受制于提前终止条款的发生。</w:t>
      </w:r>
    </w:p>
    <w:p w14:paraId="5FD8DFDF">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超值宝活期理财产品</w:t>
      </w:r>
      <w:r>
        <w:rPr>
          <w:rFonts w:hint="eastAsia" w:ascii="仿宋_GB2312" w:hAnsi="仿宋_GB2312" w:eastAsia="仿宋_GB2312" w:cs="仿宋_GB2312"/>
          <w:color w:val="auto"/>
          <w:kern w:val="0"/>
          <w:sz w:val="20"/>
          <w:szCs w:val="20"/>
          <w:highlight w:val="none"/>
          <w:lang w:val="en-US" w:eastAsia="zh-CN" w:bidi="ar"/>
        </w:rPr>
        <w:t>。</w:t>
      </w:r>
    </w:p>
    <w:p w14:paraId="5A596801">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0F47A0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7367ED85">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27C4B36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0EBC596D">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4F069F56">
      <w:pPr>
        <w:keepNext w:val="0"/>
        <w:keepLines w:val="0"/>
        <w:widowControl/>
        <w:suppressLineNumbers w:val="0"/>
        <w:ind w:firstLine="402" w:firstLineChars="2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kern w:val="0"/>
          <w:sz w:val="20"/>
          <w:szCs w:val="20"/>
          <w:highlight w:val="none"/>
          <w:lang w:val="en-US" w:eastAsia="zh-CN" w:bidi="ar"/>
        </w:rPr>
        <w:t>20.一般赎回：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产品开放期内全部存续投资者单个开放日净赎回申请（赎回申请份额总数扣除申购申请份额总数）未超过该产品上一工作日日终份额的10%的情形。</w:t>
      </w:r>
    </w:p>
    <w:p w14:paraId="70D11B9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0BDECD66">
      <w:pPr>
        <w:keepNext w:val="0"/>
        <w:keepLines w:val="0"/>
        <w:widowControl/>
        <w:suppressLineNumbers w:val="0"/>
        <w:ind w:firstLine="402" w:firstLineChars="200"/>
        <w:jc w:val="both"/>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1BD29021">
      <w:pPr>
        <w:keepNext w:val="0"/>
        <w:keepLines w:val="0"/>
        <w:widowControl/>
        <w:suppressLineNumbers w:val="0"/>
        <w:ind w:firstLine="402" w:firstLineChars="2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kern w:val="0"/>
          <w:sz w:val="20"/>
          <w:szCs w:val="20"/>
          <w:highlight w:val="none"/>
          <w:lang w:val="en-US" w:eastAsia="zh-CN" w:bidi="ar"/>
        </w:rPr>
        <w:t>23.红利再投：</w:t>
      </w:r>
      <w:r>
        <w:rPr>
          <w:rFonts w:hint="eastAsia" w:ascii="仿宋_GB2312" w:hAnsi="仿宋_GB2312" w:eastAsia="仿宋_GB2312" w:cs="仿宋_GB2312"/>
          <w:color w:val="auto"/>
          <w:kern w:val="0"/>
          <w:sz w:val="20"/>
          <w:szCs w:val="20"/>
          <w:highlight w:val="none"/>
          <w:lang w:val="en-US" w:eastAsia="zh-CN" w:bidi="ar"/>
        </w:rPr>
        <w:t>系统自动将分配的红利转入投资账户进行再投资的方式。</w:t>
      </w:r>
    </w:p>
    <w:p w14:paraId="44595FD5">
      <w:pPr>
        <w:keepNext w:val="0"/>
        <w:keepLines w:val="0"/>
        <w:widowControl/>
        <w:suppressLineNumbers w:val="0"/>
        <w:ind w:firstLine="402" w:firstLineChars="2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kern w:val="0"/>
          <w:sz w:val="20"/>
          <w:szCs w:val="20"/>
          <w:highlight w:val="none"/>
          <w:lang w:val="en-US" w:eastAsia="zh-CN" w:bidi="ar"/>
        </w:rPr>
        <w:t>24.七日年化收益率：</w:t>
      </w:r>
      <w:r>
        <w:rPr>
          <w:rFonts w:hint="eastAsia" w:ascii="仿宋_GB2312" w:hAnsi="仿宋_GB2312" w:eastAsia="仿宋_GB2312" w:cs="仿宋_GB2312"/>
          <w:color w:val="auto"/>
          <w:kern w:val="0"/>
          <w:sz w:val="20"/>
          <w:szCs w:val="20"/>
          <w:highlight w:val="none"/>
          <w:lang w:val="en-US" w:eastAsia="zh-CN" w:bidi="ar"/>
        </w:rPr>
        <w:t>是该理财产品最近7个自然日的收益所折算的年化收益率。</w:t>
      </w:r>
    </w:p>
    <w:p w14:paraId="065DE13B">
      <w:pPr>
        <w:keepNext w:val="0"/>
        <w:keepLines w:val="0"/>
        <w:widowControl/>
        <w:suppressLineNumbers w:val="0"/>
        <w:ind w:firstLine="402" w:firstLineChars="2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kern w:val="0"/>
          <w:sz w:val="20"/>
          <w:szCs w:val="20"/>
          <w:highlight w:val="none"/>
          <w:lang w:val="en-US" w:eastAsia="zh-CN" w:bidi="ar"/>
        </w:rPr>
        <w:t>25.七日年化收益率计算公式：</w:t>
      </w:r>
      <w:r>
        <w:rPr>
          <w:rFonts w:hint="eastAsia" w:ascii="仿宋_GB2312" w:hAnsi="仿宋_GB2312" w:eastAsia="仿宋_GB2312" w:cs="仿宋_GB2312"/>
          <w:color w:val="auto"/>
          <w:kern w:val="0"/>
          <w:sz w:val="20"/>
          <w:szCs w:val="20"/>
          <w:highlight w:val="none"/>
          <w:lang w:val="en-US" w:eastAsia="zh-CN" w:bidi="ar"/>
        </w:rPr>
        <w:t>{[π（1+Ri/10000）]^（365/7）-1}×100%</w:t>
      </w:r>
    </w:p>
    <w:p w14:paraId="2B5E3782">
      <w:pPr>
        <w:keepNext w:val="0"/>
        <w:keepLines w:val="0"/>
        <w:widowControl/>
        <w:suppressLineNumbers w:val="0"/>
        <w:ind w:firstLine="400"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π表示连乘，i=1…7，其中，Ri为最近第i自然日（i=1,2…7）的每万份收益，七日年化收益率采取四舍五入方式保留小数点后4位。</w:t>
      </w:r>
    </w:p>
    <w:p w14:paraId="1A5CFDFB">
      <w:pPr>
        <w:keepNext w:val="0"/>
        <w:keepLines w:val="0"/>
        <w:widowControl/>
        <w:numPr>
          <w:ilvl w:val="-1"/>
          <w:numId w:val="0"/>
        </w:numPr>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26.影子定价：</w:t>
      </w:r>
      <w:r>
        <w:rPr>
          <w:rFonts w:hint="eastAsia" w:ascii="仿宋_GB2312" w:hAnsi="仿宋_GB2312" w:eastAsia="仿宋_GB2312" w:cs="仿宋_GB2312"/>
          <w:color w:val="auto"/>
          <w:kern w:val="0"/>
          <w:sz w:val="20"/>
          <w:szCs w:val="20"/>
          <w:highlight w:val="none"/>
          <w:lang w:val="en-US" w:eastAsia="zh-CN" w:bidi="ar"/>
        </w:rPr>
        <w:t>指为消除或减少因理财产品资产净值的背离导致理财产品投资者权益的稀释或其他不公平的结果，在实际操作中，管理人与托管人将采用估值技术，对理财产品持有的估值对象进行重新评估。</w:t>
      </w:r>
    </w:p>
    <w:p w14:paraId="17E378B3">
      <w:pPr>
        <w:keepNext w:val="0"/>
        <w:keepLines w:val="0"/>
        <w:widowControl/>
        <w:numPr>
          <w:ilvl w:val="-1"/>
          <w:numId w:val="0"/>
        </w:numPr>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27.每万元收益：</w:t>
      </w:r>
      <w:r>
        <w:rPr>
          <w:rFonts w:hint="eastAsia" w:ascii="仿宋_GB2312" w:hAnsi="仿宋_GB2312" w:eastAsia="仿宋_GB2312" w:cs="仿宋_GB2312"/>
          <w:color w:val="auto"/>
          <w:kern w:val="0"/>
          <w:sz w:val="20"/>
          <w:szCs w:val="20"/>
          <w:highlight w:val="none"/>
          <w:lang w:val="en-US" w:eastAsia="zh-CN" w:bidi="ar"/>
        </w:rPr>
        <w:t>指管理人所披露的该自然日产品每万元投资的净收益。</w:t>
      </w:r>
    </w:p>
    <w:p w14:paraId="5AA5264C">
      <w:pPr>
        <w:keepNext w:val="0"/>
        <w:keepLines w:val="0"/>
        <w:widowControl/>
        <w:suppressLineNumbers w:val="0"/>
        <w:ind w:firstLine="402" w:firstLineChars="200"/>
        <w:jc w:val="both"/>
        <w:rPr>
          <w:rFonts w:hint="eastAsia" w:ascii="仿宋_GB2312" w:hAnsi="仿宋_GB2312" w:eastAsia="仿宋_GB2312" w:cs="仿宋_GB2312"/>
          <w:color w:val="auto"/>
          <w:sz w:val="20"/>
          <w:szCs w:val="20"/>
          <w:highlight w:val="none"/>
          <w:lang w:eastAsia="zh-CN" w:bidi="ar"/>
        </w:rPr>
      </w:pPr>
      <w:r>
        <w:rPr>
          <w:rFonts w:hint="eastAsia" w:ascii="仿宋_GB2312" w:hAnsi="仿宋_GB2312" w:eastAsia="仿宋_GB2312" w:cs="仿宋_GB2312"/>
          <w:b/>
          <w:bCs/>
          <w:color w:val="auto"/>
          <w:kern w:val="0"/>
          <w:sz w:val="20"/>
          <w:szCs w:val="20"/>
          <w:highlight w:val="none"/>
          <w:lang w:val="en-US" w:eastAsia="zh-CN" w:bidi="ar"/>
        </w:rPr>
        <w:t>28.</w:t>
      </w:r>
      <w:r>
        <w:rPr>
          <w:rFonts w:hint="eastAsia" w:ascii="仿宋_GB2312" w:hAnsi="仿宋_GB2312" w:eastAsia="仿宋_GB2312" w:cs="仿宋_GB2312"/>
          <w:b/>
          <w:bCs/>
          <w:color w:val="auto"/>
          <w:sz w:val="20"/>
          <w:szCs w:val="20"/>
          <w:highlight w:val="none"/>
          <w:lang w:eastAsia="zh-CN" w:bidi="ar"/>
        </w:rPr>
        <w:t>流动性受限资产：</w:t>
      </w:r>
      <w:r>
        <w:rPr>
          <w:rFonts w:hint="eastAsia" w:ascii="仿宋_GB2312" w:hAnsi="仿宋_GB2312" w:eastAsia="仿宋_GB2312" w:cs="仿宋_GB2312"/>
          <w:color w:val="auto"/>
          <w:kern w:val="0"/>
          <w:sz w:val="20"/>
          <w:szCs w:val="20"/>
          <w:highlight w:val="none"/>
          <w:lang w:val="en-US" w:eastAsia="zh-CN" w:bidi="ar"/>
        </w:rPr>
        <w:t>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法律法规或监管机构另有规定的，从其规定。</w:t>
      </w:r>
    </w:p>
    <w:p w14:paraId="730D9CDA">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sz w:val="20"/>
          <w:szCs w:val="20"/>
          <w:highlight w:val="none"/>
          <w:lang w:val="en-US" w:eastAsia="zh-CN" w:bidi="ar"/>
        </w:rPr>
        <w:t>29.</w:t>
      </w:r>
      <w:r>
        <w:rPr>
          <w:rFonts w:hint="eastAsia" w:ascii="仿宋_GB2312" w:hAnsi="仿宋_GB2312" w:eastAsia="仿宋_GB2312" w:cs="仿宋_GB2312"/>
          <w:b/>
          <w:bCs/>
          <w:color w:val="auto"/>
          <w:sz w:val="20"/>
          <w:szCs w:val="20"/>
          <w:highlight w:val="none"/>
          <w:lang w:eastAsia="zh-CN" w:bidi="ar"/>
        </w:rPr>
        <w:t>7个工作日可变现资产：</w:t>
      </w:r>
      <w:r>
        <w:rPr>
          <w:rFonts w:hint="eastAsia" w:ascii="仿宋_GB2312" w:hAnsi="仿宋_GB2312" w:eastAsia="仿宋_GB2312" w:cs="仿宋_GB2312"/>
          <w:color w:val="auto"/>
          <w:sz w:val="20"/>
          <w:szCs w:val="20"/>
          <w:highlight w:val="none"/>
          <w:lang w:eastAsia="zh-CN" w:bidi="ar"/>
        </w:rPr>
        <w:t>包括可在交易所、银行间市场正常交易的股票、债券、非金融企业债务融资工具、期货及期权合约以及同业存单，7个工作日内到期或可支取的买入返售、银行存款，7个工作日内能够确认收到的各类应收款项等。</w:t>
      </w:r>
    </w:p>
    <w:p w14:paraId="26EB428F">
      <w:pPr>
        <w:ind w:right="-6519" w:rightChars="-2963" w:firstLine="480" w:firstLineChars="200"/>
        <w:rPr>
          <w:rFonts w:ascii="Times New Roman" w:hAnsi="Times New Roman" w:eastAsia="黑体" w:cs="Times New Roman"/>
          <w:color w:val="auto"/>
          <w:sz w:val="24"/>
          <w:szCs w:val="24"/>
          <w:highlight w:val="none"/>
          <w:lang w:eastAsia="zh-CN"/>
        </w:rPr>
      </w:pPr>
      <w:r>
        <w:rPr>
          <w:rFonts w:hint="eastAsia" w:ascii="Times New Roman" w:hAnsi="黑体" w:eastAsia="黑体" w:cs="Times New Roman"/>
          <w:color w:val="auto"/>
          <w:sz w:val="24"/>
          <w:szCs w:val="24"/>
          <w:highlight w:val="none"/>
          <w:lang w:val="en-US" w:eastAsia="zh-CN"/>
        </w:rPr>
        <w:t>三、</w:t>
      </w:r>
      <w:r>
        <w:rPr>
          <w:rFonts w:ascii="Times New Roman" w:hAnsi="黑体" w:eastAsia="黑体" w:cs="Times New Roman"/>
          <w:color w:val="auto"/>
          <w:sz w:val="24"/>
          <w:szCs w:val="24"/>
          <w:highlight w:val="none"/>
          <w:lang w:eastAsia="zh-CN"/>
        </w:rPr>
        <w:t>产品要素</w:t>
      </w:r>
    </w:p>
    <w:tbl>
      <w:tblPr>
        <w:tblStyle w:val="14"/>
        <w:tblW w:w="8699" w:type="dxa"/>
        <w:tblInd w:w="108" w:type="dxa"/>
        <w:tblLayout w:type="fixed"/>
        <w:tblCellMar>
          <w:top w:w="0" w:type="dxa"/>
          <w:left w:w="0" w:type="dxa"/>
          <w:bottom w:w="0" w:type="dxa"/>
          <w:right w:w="0" w:type="dxa"/>
        </w:tblCellMar>
      </w:tblPr>
      <w:tblGrid>
        <w:gridCol w:w="1753"/>
        <w:gridCol w:w="6946"/>
      </w:tblGrid>
      <w:tr w14:paraId="57125666">
        <w:tblPrEx>
          <w:tblCellMar>
            <w:top w:w="0" w:type="dxa"/>
            <w:left w:w="0" w:type="dxa"/>
            <w:bottom w:w="0" w:type="dxa"/>
            <w:right w:w="0" w:type="dxa"/>
          </w:tblCellMar>
        </w:tblPrEx>
        <w:trPr>
          <w:trHeight w:val="397"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6161C834">
            <w:pPr>
              <w:pStyle w:val="18"/>
              <w:jc w:val="center"/>
              <w:rPr>
                <w:rFonts w:ascii="仿宋_GB2312" w:hAnsi="Times New Roman" w:eastAsia="仿宋_GB2312" w:cs="Times New Roman"/>
                <w:color w:val="auto"/>
                <w:sz w:val="20"/>
                <w:szCs w:val="18"/>
                <w:highlight w:val="none"/>
              </w:rPr>
            </w:pPr>
            <w:r>
              <w:rPr>
                <w:rFonts w:hint="eastAsia" w:ascii="仿宋_GB2312" w:eastAsia="仿宋_GB2312" w:cs="Times New Roman" w:hAnsiTheme="minorEastAsia"/>
                <w:color w:val="auto"/>
                <w:sz w:val="20"/>
                <w:szCs w:val="18"/>
                <w:highlight w:val="none"/>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19695CBD">
            <w:pPr>
              <w:pStyle w:val="18"/>
              <w:jc w:val="center"/>
              <w:rPr>
                <w:rFonts w:ascii="仿宋_GB2312" w:hAnsi="Times New Roman" w:eastAsia="仿宋_GB2312" w:cs="Times New Roman"/>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eastAsia="zh-CN"/>
              </w:rPr>
              <w:t>超值宝</w:t>
            </w:r>
            <w:r>
              <w:rPr>
                <w:rFonts w:hint="eastAsia" w:ascii="仿宋_GB2312" w:eastAsia="仿宋_GB2312" w:cs="Times New Roman" w:hAnsiTheme="minorEastAsia"/>
                <w:b/>
                <w:bCs/>
                <w:color w:val="auto"/>
                <w:sz w:val="20"/>
                <w:szCs w:val="18"/>
                <w:highlight w:val="none"/>
                <w:lang w:val="en-US" w:eastAsia="zh-CN"/>
              </w:rPr>
              <w:t>活期</w:t>
            </w:r>
            <w:r>
              <w:rPr>
                <w:rFonts w:hint="eastAsia" w:ascii="仿宋_GB2312" w:eastAsia="仿宋_GB2312" w:cs="Times New Roman" w:hAnsiTheme="minorEastAsia"/>
                <w:b/>
                <w:bCs/>
                <w:color w:val="auto"/>
                <w:sz w:val="20"/>
                <w:szCs w:val="18"/>
                <w:highlight w:val="none"/>
                <w:lang w:eastAsia="zh-CN"/>
              </w:rPr>
              <w:t>理财产品</w:t>
            </w:r>
          </w:p>
        </w:tc>
      </w:tr>
      <w:tr w14:paraId="0156804B">
        <w:tblPrEx>
          <w:tblCellMar>
            <w:top w:w="0" w:type="dxa"/>
            <w:left w:w="0" w:type="dxa"/>
            <w:bottom w:w="0" w:type="dxa"/>
            <w:right w:w="0" w:type="dxa"/>
          </w:tblCellMar>
        </w:tblPrEx>
        <w:trPr>
          <w:trHeight w:val="3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2E4FCD">
            <w:pPr>
              <w:pStyle w:val="18"/>
              <w:jc w:val="center"/>
              <w:rPr>
                <w:rFonts w:hint="eastAsia" w:ascii="仿宋_GB2312" w:hAnsi="Times New Roman" w:eastAsia="仿宋_GB2312" w:cs="Times New Roman"/>
                <w:color w:val="auto"/>
                <w:sz w:val="20"/>
                <w:szCs w:val="18"/>
                <w:highlight w:val="none"/>
                <w:lang w:eastAsia="zh-CN"/>
              </w:rPr>
            </w:pPr>
            <w:r>
              <w:rPr>
                <w:rFonts w:hint="eastAsia" w:ascii="仿宋_GB2312" w:eastAsia="仿宋_GB2312" w:cs="Times New Roman" w:hAnsiTheme="minorEastAsia"/>
                <w:color w:val="auto"/>
                <w:sz w:val="20"/>
                <w:szCs w:val="18"/>
                <w:highlight w:val="none"/>
              </w:rPr>
              <w:t>产品</w:t>
            </w:r>
            <w:r>
              <w:rPr>
                <w:rFonts w:hint="eastAsia" w:ascii="仿宋_GB2312" w:eastAsia="仿宋_GB2312" w:cs="Times New Roman" w:hAnsiTheme="minorEastAsia"/>
                <w:color w:val="auto"/>
                <w:sz w:val="20"/>
                <w:szCs w:val="18"/>
                <w:highlight w:val="none"/>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6A082">
            <w:pPr>
              <w:pStyle w:val="18"/>
              <w:ind w:left="10"/>
              <w:jc w:val="center"/>
              <w:rPr>
                <w:rFonts w:hint="default" w:ascii="仿宋_GB2312" w:hAnsi="Times New Roman" w:eastAsia="仿宋_GB2312" w:cs="Times New Roman"/>
                <w:color w:val="auto"/>
                <w:sz w:val="20"/>
                <w:highlight w:val="none"/>
                <w:u w:val="single"/>
                <w:lang w:val="en-US" w:eastAsia="zh-CN"/>
              </w:rPr>
            </w:pPr>
            <w:r>
              <w:rPr>
                <w:rFonts w:hint="default" w:ascii="仿宋_GB2312" w:hAnsi="Times New Roman" w:eastAsia="仿宋_GB2312" w:cs="Times New Roman"/>
                <w:color w:val="auto"/>
                <w:sz w:val="20"/>
                <w:highlight w:val="none"/>
                <w:u w:val="none"/>
                <w:lang w:val="en-US" w:eastAsia="zh-CN"/>
              </w:rPr>
              <w:t>GRCB03202</w:t>
            </w:r>
            <w:r>
              <w:rPr>
                <w:rFonts w:hint="eastAsia" w:ascii="仿宋_GB2312" w:hAnsi="Times New Roman" w:eastAsia="仿宋_GB2312" w:cs="Times New Roman"/>
                <w:color w:val="auto"/>
                <w:sz w:val="20"/>
                <w:highlight w:val="none"/>
                <w:u w:val="none"/>
                <w:lang w:val="en-US" w:eastAsia="zh-CN"/>
              </w:rPr>
              <w:t>5</w:t>
            </w:r>
            <w:r>
              <w:rPr>
                <w:rFonts w:hint="default" w:ascii="仿宋_GB2312" w:hAnsi="Times New Roman" w:eastAsia="仿宋_GB2312" w:cs="Times New Roman"/>
                <w:color w:val="auto"/>
                <w:sz w:val="20"/>
                <w:highlight w:val="none"/>
                <w:u w:val="none"/>
                <w:lang w:val="en-US" w:eastAsia="zh-CN"/>
              </w:rPr>
              <w:t>001</w:t>
            </w:r>
          </w:p>
        </w:tc>
      </w:tr>
      <w:tr w14:paraId="2A0D28BD">
        <w:tblPrEx>
          <w:tblCellMar>
            <w:top w:w="0" w:type="dxa"/>
            <w:left w:w="0" w:type="dxa"/>
            <w:bottom w:w="0" w:type="dxa"/>
            <w:right w:w="0" w:type="dxa"/>
          </w:tblCellMar>
        </w:tblPrEx>
        <w:trPr>
          <w:trHeight w:val="96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87FB8AD">
            <w:pPr>
              <w:pStyle w:val="18"/>
              <w:ind w:left="10"/>
              <w:jc w:val="center"/>
              <w:rPr>
                <w:rFonts w:ascii="仿宋_GB2312" w:hAnsi="Times New Roman" w:eastAsia="仿宋_GB2312" w:cs="Times New Roman"/>
                <w:color w:val="auto"/>
                <w:sz w:val="20"/>
                <w:highlight w:val="none"/>
                <w:lang w:eastAsia="zh-CN"/>
              </w:rPr>
            </w:pPr>
            <w:r>
              <w:rPr>
                <w:rFonts w:hint="eastAsia" w:ascii="仿宋_GB2312" w:hAnsi="Times New Roman" w:eastAsia="仿宋_GB2312" w:cs="Times New Roman"/>
                <w:color w:val="auto"/>
                <w:sz w:val="20"/>
                <w:highlight w:val="none"/>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0019AEC">
            <w:pPr>
              <w:pStyle w:val="18"/>
              <w:ind w:left="10"/>
              <w:jc w:val="center"/>
              <w:rPr>
                <w:rFonts w:hint="eastAsia" w:ascii="仿宋_GB2312" w:hAnsi="Times New Roman" w:eastAsia="仿宋_GB2312" w:cs="Times New Roman"/>
                <w:color w:val="auto"/>
                <w:sz w:val="20"/>
                <w:highlight w:val="none"/>
                <w:lang w:val="en-US" w:eastAsia="zh-CN"/>
              </w:rPr>
            </w:pPr>
            <w:r>
              <w:rPr>
                <w:rFonts w:hint="eastAsia" w:ascii="仿宋_GB2312" w:hAnsi="Times New Roman" w:eastAsia="仿宋_GB2312" w:cs="Times New Roman"/>
                <w:color w:val="auto"/>
                <w:sz w:val="20"/>
                <w:highlight w:val="none"/>
                <w:lang w:val="en-US" w:eastAsia="zh-CN"/>
              </w:rPr>
              <w:t>C1188325000001</w:t>
            </w:r>
          </w:p>
          <w:p w14:paraId="030FEB12">
            <w:pPr>
              <w:pStyle w:val="18"/>
              <w:ind w:left="10"/>
              <w:jc w:val="left"/>
              <w:rPr>
                <w:rFonts w:ascii="仿宋_GB2312" w:hAnsi="Times New Roman" w:eastAsia="仿宋_GB2312" w:cs="Times New Roman"/>
                <w:color w:val="auto"/>
                <w:sz w:val="20"/>
                <w:highlight w:val="none"/>
                <w:lang w:eastAsia="zh-CN"/>
              </w:rPr>
            </w:pPr>
            <w:r>
              <w:rPr>
                <w:rFonts w:hint="eastAsia" w:ascii="仿宋_GB2312" w:hAnsi="Times New Roman" w:eastAsia="仿宋_GB2312" w:cs="Times New Roman"/>
                <w:color w:val="auto"/>
                <w:sz w:val="20"/>
                <w:highlight w:val="none"/>
                <w:lang w:val="en-US" w:eastAsia="zh-CN"/>
              </w:rPr>
              <w:t>投资者</w:t>
            </w:r>
            <w:r>
              <w:rPr>
                <w:rFonts w:hint="eastAsia" w:ascii="仿宋_GB2312" w:hAnsi="Times New Roman" w:eastAsia="仿宋_GB2312" w:cs="Times New Roman"/>
                <w:color w:val="auto"/>
                <w:sz w:val="20"/>
                <w:highlight w:val="none"/>
                <w:lang w:eastAsia="zh-CN"/>
              </w:rPr>
              <w:fldChar w:fldCharType="begin"/>
            </w:r>
            <w:r>
              <w:rPr>
                <w:rFonts w:hint="eastAsia" w:ascii="仿宋_GB2312" w:hAnsi="Times New Roman" w:eastAsia="仿宋_GB2312" w:cs="Times New Roman"/>
                <w:color w:val="auto"/>
                <w:sz w:val="20"/>
                <w:highlight w:val="none"/>
                <w:lang w:eastAsia="zh-CN"/>
              </w:rPr>
              <w:instrText xml:space="preserve"> HYPERLINK "http://www.chinawealth.com.cn/" \h </w:instrText>
            </w:r>
            <w:r>
              <w:rPr>
                <w:rFonts w:hint="eastAsia" w:ascii="仿宋_GB2312" w:hAnsi="Times New Roman" w:eastAsia="仿宋_GB2312" w:cs="Times New Roman"/>
                <w:color w:val="auto"/>
                <w:sz w:val="20"/>
                <w:highlight w:val="none"/>
                <w:lang w:eastAsia="zh-CN"/>
              </w:rPr>
              <w:fldChar w:fldCharType="separate"/>
            </w:r>
            <w:r>
              <w:rPr>
                <w:rFonts w:hint="eastAsia" w:ascii="仿宋_GB2312" w:hAnsi="Times New Roman" w:eastAsia="仿宋_GB2312" w:cs="Times New Roman"/>
                <w:color w:val="auto"/>
                <w:sz w:val="20"/>
                <w:highlight w:val="none"/>
                <w:lang w:eastAsia="zh-CN"/>
              </w:rPr>
              <w:t>可依据该</w:t>
            </w:r>
            <w:r>
              <w:rPr>
                <w:rFonts w:hint="eastAsia" w:ascii="仿宋_GB2312" w:hAnsi="Times New Roman" w:eastAsia="仿宋_GB2312" w:cs="Times New Roman"/>
                <w:color w:val="auto"/>
                <w:sz w:val="20"/>
                <w:highlight w:val="none"/>
                <w:lang w:val="en-US" w:eastAsia="zh-CN"/>
              </w:rPr>
              <w:t>登记</w:t>
            </w:r>
            <w:r>
              <w:rPr>
                <w:rFonts w:hint="eastAsia" w:ascii="仿宋_GB2312" w:hAnsi="Times New Roman" w:eastAsia="仿宋_GB2312" w:cs="Times New Roman"/>
                <w:color w:val="auto"/>
                <w:sz w:val="20"/>
                <w:highlight w:val="none"/>
                <w:lang w:eastAsia="zh-CN"/>
              </w:rPr>
              <w:t>编码在中国理财网（www.chinawealth.com.cn</w:t>
            </w:r>
            <w:r>
              <w:rPr>
                <w:rFonts w:hint="eastAsia" w:ascii="仿宋_GB2312" w:hAnsi="Times New Roman" w:eastAsia="仿宋_GB2312" w:cs="Times New Roman"/>
                <w:color w:val="auto"/>
                <w:sz w:val="20"/>
                <w:highlight w:val="none"/>
                <w:lang w:eastAsia="zh-CN"/>
              </w:rPr>
              <w:fldChar w:fldCharType="end"/>
            </w:r>
            <w:r>
              <w:rPr>
                <w:rFonts w:hint="eastAsia" w:ascii="仿宋_GB2312" w:hAnsi="Times New Roman" w:eastAsia="仿宋_GB2312" w:cs="Times New Roman"/>
                <w:color w:val="auto"/>
                <w:sz w:val="20"/>
                <w:highlight w:val="none"/>
                <w:lang w:eastAsia="zh-CN"/>
              </w:rPr>
              <w:t>）</w:t>
            </w:r>
            <w:r>
              <w:rPr>
                <w:rFonts w:hint="eastAsia" w:ascii="仿宋_GB2312" w:hAnsi="Times New Roman" w:eastAsia="仿宋_GB2312" w:cs="Times New Roman"/>
                <w:color w:val="auto"/>
                <w:sz w:val="20"/>
                <w:highlight w:val="none"/>
                <w:lang w:val="en-US" w:eastAsia="zh-CN"/>
              </w:rPr>
              <w:t>上</w:t>
            </w:r>
            <w:r>
              <w:rPr>
                <w:rFonts w:hint="eastAsia" w:ascii="仿宋_GB2312" w:hAnsi="Times New Roman" w:eastAsia="仿宋_GB2312" w:cs="Times New Roman"/>
                <w:color w:val="auto"/>
                <w:sz w:val="20"/>
                <w:highlight w:val="none"/>
                <w:lang w:eastAsia="zh-CN"/>
              </w:rPr>
              <w:t>查询产品信息。</w:t>
            </w:r>
          </w:p>
        </w:tc>
      </w:tr>
      <w:tr w14:paraId="209A45F2">
        <w:tblPrEx>
          <w:tblCellMar>
            <w:top w:w="0" w:type="dxa"/>
            <w:left w:w="0" w:type="dxa"/>
            <w:bottom w:w="0" w:type="dxa"/>
            <w:right w:w="0" w:type="dxa"/>
          </w:tblCellMar>
        </w:tblPrEx>
        <w:trPr>
          <w:trHeight w:val="3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A05818">
            <w:pPr>
              <w:pStyle w:val="18"/>
              <w:jc w:val="center"/>
              <w:rPr>
                <w:rFonts w:hint="default"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791CAE">
            <w:pPr>
              <w:pStyle w:val="18"/>
              <w:jc w:val="center"/>
              <w:rPr>
                <w:rFonts w:hint="default" w:ascii="仿宋_GB2312" w:hAnsi="Times New Roman" w:eastAsia="仿宋_GB2312" w:cs="Times New Roman"/>
                <w:b/>
                <w:color w:val="auto"/>
                <w:sz w:val="20"/>
                <w:szCs w:val="18"/>
                <w:highlight w:val="none"/>
                <w:lang w:val="en-US"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4B3D3AB4">
        <w:tblPrEx>
          <w:tblCellMar>
            <w:top w:w="0" w:type="dxa"/>
            <w:left w:w="0" w:type="dxa"/>
            <w:bottom w:w="0" w:type="dxa"/>
            <w:right w:w="0" w:type="dxa"/>
          </w:tblCellMar>
        </w:tblPrEx>
        <w:trPr>
          <w:trHeight w:val="3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7B55C43">
            <w:pPr>
              <w:pStyle w:val="18"/>
              <w:jc w:val="center"/>
              <w:rPr>
                <w:rFonts w:ascii="仿宋_GB2312" w:hAnsi="Times New Roman" w:eastAsia="仿宋_GB2312" w:cs="Times New Roman"/>
                <w:color w:val="auto"/>
                <w:sz w:val="20"/>
                <w:szCs w:val="18"/>
                <w:highlight w:val="none"/>
              </w:rPr>
            </w:pPr>
            <w:r>
              <w:rPr>
                <w:rFonts w:hint="eastAsia" w:ascii="仿宋_GB2312" w:eastAsia="仿宋_GB2312" w:cs="Times New Roman" w:hAnsiTheme="minorEastAsia"/>
                <w:color w:val="auto"/>
                <w:sz w:val="20"/>
                <w:szCs w:val="18"/>
                <w:highlight w:val="none"/>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E39F5FB">
            <w:pPr>
              <w:pStyle w:val="18"/>
              <w:jc w:val="center"/>
              <w:rPr>
                <w:rFonts w:hint="default" w:ascii="仿宋_GB2312" w:hAnsi="Times New Roman" w:eastAsia="仿宋_GB2312" w:cs="Times New Roman"/>
                <w:b/>
                <w:color w:val="auto"/>
                <w:sz w:val="20"/>
                <w:szCs w:val="18"/>
                <w:highlight w:val="none"/>
                <w:lang w:val="en-US" w:eastAsia="zh-CN"/>
              </w:rPr>
            </w:pPr>
            <w:r>
              <w:rPr>
                <w:rFonts w:hint="eastAsia" w:ascii="仿宋_GB2312" w:hAnsi="Times New Roman" w:eastAsia="仿宋_GB2312" w:cs="Times New Roman"/>
                <w:b/>
                <w:color w:val="auto"/>
                <w:sz w:val="20"/>
                <w:szCs w:val="18"/>
                <w:highlight w:val="none"/>
                <w:lang w:val="en-US" w:eastAsia="zh-CN"/>
              </w:rPr>
              <w:t>非保本浮动收益型理财产品</w:t>
            </w:r>
          </w:p>
        </w:tc>
      </w:tr>
      <w:tr w14:paraId="31ED3875">
        <w:tblPrEx>
          <w:tblCellMar>
            <w:top w:w="0" w:type="dxa"/>
            <w:left w:w="0" w:type="dxa"/>
            <w:bottom w:w="0" w:type="dxa"/>
            <w:right w:w="0" w:type="dxa"/>
          </w:tblCellMar>
        </w:tblPrEx>
        <w:trPr>
          <w:trHeight w:val="3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F3F51E5">
            <w:pPr>
              <w:pStyle w:val="18"/>
              <w:jc w:val="center"/>
              <w:rPr>
                <w:rFonts w:hint="default"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91B5AD">
            <w:pPr>
              <w:pStyle w:val="18"/>
              <w:jc w:val="center"/>
              <w:rPr>
                <w:rFonts w:hint="default" w:ascii="仿宋_GB2312" w:hAnsi="Times New Roman" w:eastAsia="仿宋_GB2312" w:cs="Times New Roman"/>
                <w:b/>
                <w:color w:val="auto"/>
                <w:sz w:val="20"/>
                <w:szCs w:val="18"/>
                <w:highlight w:val="none"/>
                <w:lang w:val="en-US" w:eastAsia="zh-CN"/>
              </w:rPr>
            </w:pPr>
            <w:r>
              <w:rPr>
                <w:rFonts w:hint="eastAsia" w:ascii="仿宋_GB2312" w:hAnsi="Times New Roman" w:eastAsia="仿宋_GB2312" w:cs="Times New Roman"/>
                <w:b/>
                <w:color w:val="auto"/>
                <w:sz w:val="20"/>
                <w:szCs w:val="18"/>
                <w:highlight w:val="none"/>
                <w:lang w:val="en-US" w:eastAsia="zh-CN"/>
              </w:rPr>
              <w:t>固定收益类产品</w:t>
            </w:r>
          </w:p>
        </w:tc>
      </w:tr>
      <w:tr w14:paraId="1C722AFC">
        <w:tblPrEx>
          <w:tblCellMar>
            <w:top w:w="0" w:type="dxa"/>
            <w:left w:w="0" w:type="dxa"/>
            <w:bottom w:w="0" w:type="dxa"/>
            <w:right w:w="0" w:type="dxa"/>
          </w:tblCellMar>
        </w:tblPrEx>
        <w:trPr>
          <w:trHeight w:val="3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025E6">
            <w:pPr>
              <w:pStyle w:val="18"/>
              <w:jc w:val="center"/>
              <w:rPr>
                <w:rFonts w:ascii="仿宋_GB2312" w:eastAsia="仿宋_GB2312" w:cs="Times New Roman" w:hAnsiTheme="minorEastAsia"/>
                <w:color w:val="auto"/>
                <w:sz w:val="20"/>
                <w:szCs w:val="18"/>
                <w:highlight w:val="none"/>
              </w:rPr>
            </w:pPr>
            <w:r>
              <w:rPr>
                <w:rFonts w:hint="eastAsia" w:ascii="仿宋_GB2312" w:eastAsia="仿宋_GB2312" w:cs="Times New Roman" w:hAnsiTheme="minorEastAsia"/>
                <w:color w:val="auto"/>
                <w:sz w:val="20"/>
                <w:szCs w:val="18"/>
                <w:highlight w:val="none"/>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924095A">
            <w:pPr>
              <w:pStyle w:val="18"/>
              <w:jc w:val="center"/>
              <w:rPr>
                <w:rFonts w:hint="default" w:ascii="仿宋_GB2312" w:eastAsia="仿宋_GB2312" w:cs="Times New Roman" w:hAnsiTheme="minorEastAsia"/>
                <w:b/>
                <w:color w:val="auto"/>
                <w:sz w:val="20"/>
                <w:szCs w:val="18"/>
                <w:highlight w:val="none"/>
                <w:lang w:val="en-US" w:eastAsia="zh-CN"/>
              </w:rPr>
            </w:pPr>
            <w:r>
              <w:rPr>
                <w:rFonts w:hint="eastAsia" w:ascii="仿宋_GB2312" w:eastAsia="仿宋_GB2312" w:cs="Times New Roman" w:hAnsiTheme="minorEastAsia"/>
                <w:b/>
                <w:color w:val="auto"/>
                <w:sz w:val="20"/>
                <w:szCs w:val="18"/>
                <w:highlight w:val="none"/>
                <w:lang w:eastAsia="zh-CN"/>
              </w:rPr>
              <w:t>公募</w:t>
            </w:r>
            <w:r>
              <w:rPr>
                <w:rFonts w:hint="eastAsia" w:ascii="仿宋_GB2312" w:eastAsia="仿宋_GB2312" w:cs="Times New Roman" w:hAnsiTheme="minorEastAsia"/>
                <w:b/>
                <w:color w:val="auto"/>
                <w:sz w:val="20"/>
                <w:szCs w:val="18"/>
                <w:highlight w:val="none"/>
                <w:lang w:val="en-US" w:eastAsia="zh-CN"/>
              </w:rPr>
              <w:t>发行</w:t>
            </w:r>
          </w:p>
        </w:tc>
      </w:tr>
      <w:tr w14:paraId="2D29B165">
        <w:tblPrEx>
          <w:tblCellMar>
            <w:top w:w="0" w:type="dxa"/>
            <w:left w:w="0" w:type="dxa"/>
            <w:bottom w:w="0" w:type="dxa"/>
            <w:right w:w="0" w:type="dxa"/>
          </w:tblCellMar>
        </w:tblPrEx>
        <w:trPr>
          <w:trHeight w:val="3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413681F">
            <w:pPr>
              <w:pStyle w:val="18"/>
              <w:jc w:val="center"/>
              <w:rPr>
                <w:rFonts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eastAsia="zh-CN"/>
              </w:rPr>
              <w:t>运作</w:t>
            </w:r>
            <w:r>
              <w:rPr>
                <w:rFonts w:hint="eastAsia" w:ascii="仿宋_GB2312" w:eastAsia="仿宋_GB2312" w:cs="Times New Roman" w:hAnsiTheme="minorEastAsia"/>
                <w:color w:val="auto"/>
                <w:sz w:val="20"/>
                <w:szCs w:val="18"/>
                <w:highlight w:val="none"/>
                <w:lang w:val="en-US" w:eastAsia="zh-CN"/>
              </w:rPr>
              <w:t>模式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3EA0CF1">
            <w:pPr>
              <w:pStyle w:val="18"/>
              <w:ind w:right="84"/>
              <w:jc w:val="center"/>
              <w:rPr>
                <w:rFonts w:hint="default" w:ascii="仿宋_GB2312" w:hAnsi="Times New Roman" w:eastAsia="仿宋_GB2312" w:cs="Times New Roman"/>
                <w:color w:val="auto"/>
                <w:sz w:val="20"/>
                <w:szCs w:val="18"/>
                <w:highlight w:val="none"/>
                <w:lang w:val="en-US" w:eastAsia="zh-CN"/>
              </w:rPr>
            </w:pPr>
            <w:r>
              <w:rPr>
                <w:rFonts w:hint="eastAsia" w:ascii="仿宋_GB2312" w:eastAsia="仿宋_GB2312" w:cs="Times New Roman" w:hAnsiTheme="minorEastAsia"/>
                <w:b/>
                <w:color w:val="auto"/>
                <w:sz w:val="20"/>
                <w:szCs w:val="18"/>
                <w:highlight w:val="none"/>
                <w:lang w:eastAsia="zh-CN"/>
              </w:rPr>
              <w:t>开放式</w:t>
            </w:r>
            <w:r>
              <w:rPr>
                <w:rFonts w:hint="eastAsia" w:ascii="仿宋_GB2312" w:eastAsia="仿宋_GB2312" w:cs="Times New Roman" w:hAnsiTheme="minorEastAsia"/>
                <w:b/>
                <w:color w:val="auto"/>
                <w:sz w:val="20"/>
                <w:szCs w:val="18"/>
                <w:highlight w:val="none"/>
                <w:lang w:val="en-US" w:eastAsia="zh-CN"/>
              </w:rPr>
              <w:t>净值型产品</w:t>
            </w:r>
          </w:p>
        </w:tc>
      </w:tr>
      <w:tr w14:paraId="6E123C7D">
        <w:tblPrEx>
          <w:tblCellMar>
            <w:top w:w="0" w:type="dxa"/>
            <w:left w:w="0" w:type="dxa"/>
            <w:bottom w:w="0" w:type="dxa"/>
            <w:right w:w="0" w:type="dxa"/>
          </w:tblCellMar>
        </w:tblPrEx>
        <w:trPr>
          <w:trHeight w:val="96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DC02B7">
            <w:pPr>
              <w:pStyle w:val="18"/>
              <w:jc w:val="center"/>
              <w:rPr>
                <w:rFonts w:ascii="仿宋_GB2312" w:hAnsi="Times New Roman" w:eastAsia="仿宋_GB2312" w:cs="Times New Roman"/>
                <w:color w:val="auto"/>
                <w:sz w:val="20"/>
                <w:szCs w:val="18"/>
                <w:highlight w:val="none"/>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2A21C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一</w:t>
            </w:r>
            <w:r>
              <w:rPr>
                <w:rFonts w:hint="eastAsia" w:ascii="仿宋_GB2312" w:eastAsia="仿宋_GB2312" w:cs="Times New Roman" w:hAnsiTheme="minorEastAsia"/>
                <w:b/>
                <w:bCs/>
                <w:color w:val="auto"/>
                <w:sz w:val="20"/>
                <w:szCs w:val="18"/>
                <w:highlight w:val="none"/>
                <w:lang w:eastAsia="zh-CN"/>
              </w:rPr>
              <w:t>级（低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6F32D199">
            <w:pPr>
              <w:pStyle w:val="18"/>
              <w:jc w:val="both"/>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eastAsia="zh-CN"/>
              </w:rPr>
              <w:t>（本风险评级为贵阳农商银行内部评级结果，该评级仅供参考，不具备法律效力。）</w:t>
            </w:r>
          </w:p>
        </w:tc>
      </w:tr>
      <w:tr w14:paraId="2395C210">
        <w:tblPrEx>
          <w:tblCellMar>
            <w:top w:w="0" w:type="dxa"/>
            <w:left w:w="0" w:type="dxa"/>
            <w:bottom w:w="0" w:type="dxa"/>
            <w:right w:w="0" w:type="dxa"/>
          </w:tblCellMar>
        </w:tblPrEx>
        <w:trPr>
          <w:trHeight w:val="68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9EA44E">
            <w:pPr>
              <w:pStyle w:val="18"/>
              <w:jc w:val="center"/>
              <w:rPr>
                <w:rFonts w:hint="eastAsia" w:ascii="仿宋_GB2312" w:eastAsia="仿宋_GB2312" w:cs="Times New Roman" w:hAnsiTheme="minorEastAsia"/>
                <w:color w:val="auto"/>
                <w:sz w:val="20"/>
                <w:szCs w:val="18"/>
                <w:highlight w:val="none"/>
              </w:rPr>
            </w:pPr>
            <w:r>
              <w:rPr>
                <w:rFonts w:hint="eastAsia" w:ascii="仿宋_GB2312" w:eastAsia="仿宋_GB2312" w:cs="Times New Roman" w:hAnsiTheme="minorEastAsia"/>
                <w:color w:val="auto"/>
                <w:sz w:val="20"/>
                <w:szCs w:val="18"/>
                <w:highlight w:val="none"/>
                <w:lang w:val="en-US" w:eastAsia="zh-CN"/>
              </w:rPr>
              <w:t>适合</w:t>
            </w:r>
            <w:r>
              <w:rPr>
                <w:rFonts w:hint="eastAsia" w:ascii="仿宋_GB2312" w:eastAsia="仿宋_GB2312" w:cs="Times New Roman" w:hAnsiTheme="minorEastAsia"/>
                <w:color w:val="auto"/>
                <w:sz w:val="20"/>
                <w:szCs w:val="18"/>
                <w:highlight w:val="none"/>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438FACCC">
            <w:pPr>
              <w:widowControl/>
              <w:jc w:val="center"/>
              <w:rPr>
                <w:rFonts w:hint="eastAsia" w:ascii="仿宋_GB2312" w:hAnsi="Times New Roman" w:eastAsia="仿宋_GB2312" w:cs="Times New Roman"/>
                <w:b/>
                <w:bCs/>
                <w:color w:val="auto"/>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经贵阳农商银行评估为</w:t>
            </w:r>
            <w:r>
              <w:rPr>
                <w:rFonts w:hint="eastAsia" w:ascii="仿宋_GB2312" w:eastAsia="仿宋_GB2312" w:cs="Times New Roman" w:hAnsiTheme="minorEastAsia"/>
                <w:b/>
                <w:bCs/>
                <w:color w:val="auto"/>
                <w:kern w:val="0"/>
                <w:sz w:val="20"/>
                <w:szCs w:val="18"/>
                <w:highlight w:val="none"/>
                <w:lang w:val="en-US" w:eastAsia="zh-CN" w:bidi="ar-SA"/>
              </w:rPr>
              <w:t>保守型</w:t>
            </w:r>
            <w:r>
              <w:rPr>
                <w:rFonts w:hint="eastAsia" w:ascii="仿宋_GB2312" w:eastAsia="仿宋_GB2312" w:cs="Times New Roman" w:hAnsiTheme="minorEastAsia"/>
                <w:b w:val="0"/>
                <w:bCs w:val="0"/>
                <w:color w:val="auto"/>
                <w:kern w:val="0"/>
                <w:sz w:val="20"/>
                <w:szCs w:val="18"/>
                <w:highlight w:val="none"/>
                <w:lang w:val="en-US" w:eastAsia="zh-CN" w:bidi="ar-SA"/>
              </w:rPr>
              <w:t>、</w:t>
            </w:r>
            <w:r>
              <w:rPr>
                <w:rFonts w:hint="eastAsia" w:ascii="仿宋_GB2312" w:eastAsia="仿宋_GB2312" w:cs="Times New Roman" w:hAnsiTheme="minorEastAsia"/>
                <w:b/>
                <w:bCs/>
                <w:color w:val="auto"/>
                <w:sz w:val="20"/>
                <w:szCs w:val="18"/>
                <w:highlight w:val="none"/>
                <w:lang w:eastAsia="zh-CN"/>
              </w:rPr>
              <w:t>稳健型</w:t>
            </w:r>
            <w:r>
              <w:rPr>
                <w:rFonts w:hint="eastAsia" w:ascii="仿宋_GB2312" w:eastAsia="仿宋_GB2312" w:cs="Times New Roman" w:hAnsiTheme="minorEastAsia"/>
                <w:b w:val="0"/>
                <w:bCs w:val="0"/>
                <w:color w:val="auto"/>
                <w:sz w:val="20"/>
                <w:szCs w:val="18"/>
                <w:highlight w:val="none"/>
                <w:lang w:eastAsia="zh-CN"/>
              </w:rPr>
              <w:t>、</w:t>
            </w:r>
            <w:r>
              <w:rPr>
                <w:rFonts w:hint="eastAsia" w:ascii="仿宋_GB2312" w:eastAsia="仿宋_GB2312" w:cs="Times New Roman" w:hAnsiTheme="minorEastAsia"/>
                <w:b/>
                <w:bCs/>
                <w:color w:val="auto"/>
                <w:sz w:val="20"/>
                <w:szCs w:val="18"/>
                <w:highlight w:val="none"/>
                <w:lang w:eastAsia="zh-CN"/>
              </w:rPr>
              <w:t>平衡型</w:t>
            </w:r>
            <w:r>
              <w:rPr>
                <w:rFonts w:hint="eastAsia" w:ascii="仿宋_GB2312" w:eastAsia="仿宋_GB2312" w:cs="Times New Roman" w:hAnsiTheme="minorEastAsia"/>
                <w:b w:val="0"/>
                <w:bCs w:val="0"/>
                <w:color w:val="auto"/>
                <w:sz w:val="20"/>
                <w:szCs w:val="18"/>
                <w:highlight w:val="none"/>
                <w:lang w:eastAsia="zh-CN"/>
              </w:rPr>
              <w:t>、</w:t>
            </w:r>
            <w:r>
              <w:rPr>
                <w:rFonts w:hint="eastAsia" w:ascii="仿宋_GB2312" w:eastAsia="仿宋_GB2312" w:cs="Times New Roman" w:hAnsiTheme="minorEastAsia"/>
                <w:b/>
                <w:bCs/>
                <w:color w:val="auto"/>
                <w:sz w:val="20"/>
                <w:szCs w:val="18"/>
                <w:highlight w:val="none"/>
                <w:lang w:eastAsia="zh-CN"/>
              </w:rPr>
              <w:t>成长型</w:t>
            </w:r>
            <w:r>
              <w:rPr>
                <w:rFonts w:hint="eastAsia" w:ascii="仿宋_GB2312" w:eastAsia="仿宋_GB2312" w:cs="Times New Roman" w:hAnsiTheme="minorEastAsia"/>
                <w:b w:val="0"/>
                <w:bCs w:val="0"/>
                <w:color w:val="auto"/>
                <w:sz w:val="20"/>
                <w:szCs w:val="18"/>
                <w:highlight w:val="none"/>
                <w:lang w:eastAsia="zh-CN"/>
              </w:rPr>
              <w:t>、</w:t>
            </w:r>
            <w:r>
              <w:rPr>
                <w:rFonts w:hint="eastAsia" w:ascii="仿宋_GB2312" w:eastAsia="仿宋_GB2312" w:cs="Times New Roman" w:hAnsiTheme="minorEastAsia"/>
                <w:b/>
                <w:bCs/>
                <w:color w:val="auto"/>
                <w:sz w:val="20"/>
                <w:szCs w:val="18"/>
                <w:highlight w:val="none"/>
                <w:lang w:eastAsia="zh-CN"/>
              </w:rPr>
              <w:t>进取型</w:t>
            </w:r>
            <w:r>
              <w:rPr>
                <w:rFonts w:hint="eastAsia" w:ascii="仿宋_GB2312" w:eastAsia="仿宋_GB2312" w:cs="Times New Roman" w:hAnsiTheme="minorEastAsia"/>
                <w:color w:val="auto"/>
                <w:sz w:val="20"/>
                <w:szCs w:val="18"/>
                <w:highlight w:val="none"/>
                <w:lang w:eastAsia="zh-CN"/>
              </w:rPr>
              <w:t>的</w:t>
            </w:r>
            <w:r>
              <w:rPr>
                <w:rFonts w:hint="eastAsia" w:ascii="仿宋_GB2312" w:eastAsia="仿宋_GB2312" w:cs="Times New Roman" w:hAnsiTheme="minorEastAsia"/>
                <w:color w:val="auto"/>
                <w:sz w:val="20"/>
                <w:szCs w:val="18"/>
                <w:highlight w:val="none"/>
                <w:u w:val="single"/>
                <w:lang w:val="en-US" w:eastAsia="zh-CN"/>
              </w:rPr>
              <w:t>个人</w:t>
            </w:r>
            <w:r>
              <w:rPr>
                <w:rFonts w:hint="eastAsia" w:ascii="仿宋_GB2312" w:eastAsia="仿宋_GB2312" w:cs="Times New Roman" w:hAnsiTheme="minorEastAsia"/>
                <w:color w:val="auto"/>
                <w:sz w:val="20"/>
                <w:szCs w:val="18"/>
                <w:highlight w:val="none"/>
                <w:lang w:eastAsia="zh-CN"/>
              </w:rPr>
              <w:t>投资者</w:t>
            </w:r>
          </w:p>
        </w:tc>
      </w:tr>
      <w:tr w14:paraId="5DDF105F">
        <w:tblPrEx>
          <w:tblCellMar>
            <w:top w:w="0" w:type="dxa"/>
            <w:left w:w="0" w:type="dxa"/>
            <w:bottom w:w="0" w:type="dxa"/>
            <w:right w:w="0" w:type="dxa"/>
          </w:tblCellMar>
        </w:tblPrEx>
        <w:trPr>
          <w:trHeight w:val="3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F681A5F">
            <w:pPr>
              <w:pStyle w:val="18"/>
              <w:jc w:val="center"/>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eastAsia="zh-CN"/>
              </w:rPr>
              <w:t>销售</w:t>
            </w:r>
            <w:r>
              <w:rPr>
                <w:rFonts w:hint="eastAsia" w:ascii="仿宋_GB2312" w:eastAsia="仿宋_GB2312" w:cs="Times New Roman" w:hAnsiTheme="minorEastAsia"/>
                <w:color w:val="auto"/>
                <w:sz w:val="20"/>
                <w:szCs w:val="18"/>
                <w:highlight w:val="none"/>
                <w:lang w:val="en-US" w:eastAsia="zh-CN"/>
              </w:rPr>
              <w:t>/服务</w:t>
            </w:r>
            <w:r>
              <w:rPr>
                <w:rFonts w:hint="eastAsia" w:ascii="仿宋_GB2312" w:eastAsia="仿宋_GB2312" w:cs="Times New Roman" w:hAnsiTheme="minorEastAsia"/>
                <w:color w:val="auto"/>
                <w:sz w:val="20"/>
                <w:szCs w:val="18"/>
                <w:highlight w:val="none"/>
                <w:lang w:eastAsia="zh-CN"/>
              </w:rPr>
              <w:t>渠道</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1AA0C9">
            <w:pPr>
              <w:pStyle w:val="18"/>
              <w:ind w:left="11" w:leftChars="0"/>
              <w:jc w:val="center"/>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u w:val="none"/>
                <w:lang w:val="en-US" w:eastAsia="zh-CN"/>
              </w:rPr>
              <w:t>手机银行</w:t>
            </w:r>
          </w:p>
        </w:tc>
      </w:tr>
      <w:tr w14:paraId="335648B5">
        <w:tblPrEx>
          <w:tblCellMar>
            <w:top w:w="0" w:type="dxa"/>
            <w:left w:w="0" w:type="dxa"/>
            <w:bottom w:w="0" w:type="dxa"/>
            <w:right w:w="0" w:type="dxa"/>
          </w:tblCellMar>
        </w:tblPrEx>
        <w:trPr>
          <w:trHeight w:val="3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AB141A5">
            <w:pPr>
              <w:pStyle w:val="18"/>
              <w:jc w:val="center"/>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销售/服务地域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AB3A6B">
            <w:pPr>
              <w:pStyle w:val="18"/>
              <w:ind w:left="2123" w:leftChars="0" w:right="41" w:rightChars="0" w:hanging="2069" w:firstLineChars="0"/>
              <w:jc w:val="center"/>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贵州省</w:t>
            </w:r>
          </w:p>
        </w:tc>
      </w:tr>
      <w:tr w14:paraId="061F9238">
        <w:tblPrEx>
          <w:tblCellMar>
            <w:top w:w="0" w:type="dxa"/>
            <w:left w:w="0" w:type="dxa"/>
            <w:bottom w:w="0" w:type="dxa"/>
            <w:right w:w="0" w:type="dxa"/>
          </w:tblCellMar>
        </w:tblPrEx>
        <w:trPr>
          <w:trHeight w:val="3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17BE57">
            <w:pPr>
              <w:pStyle w:val="18"/>
              <w:jc w:val="center"/>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rPr>
              <w:t>本金及收益币种</w:t>
            </w:r>
          </w:p>
        </w:tc>
        <w:tc>
          <w:tcPr>
            <w:tcW w:w="6946" w:type="dxa"/>
            <w:tcBorders>
              <w:top w:val="single" w:color="000000" w:sz="4" w:space="0"/>
              <w:left w:val="single" w:color="000000" w:sz="4" w:space="0"/>
              <w:bottom w:val="single" w:color="000000" w:sz="4" w:space="0"/>
              <w:right w:val="single" w:color="000000" w:sz="12" w:space="0"/>
            </w:tcBorders>
            <w:vAlign w:val="center"/>
          </w:tcPr>
          <w:p w14:paraId="0435A031">
            <w:pPr>
              <w:pStyle w:val="18"/>
              <w:ind w:left="11" w:leftChars="0"/>
              <w:jc w:val="center"/>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rPr>
              <w:t>人民币</w:t>
            </w:r>
          </w:p>
        </w:tc>
      </w:tr>
      <w:tr w14:paraId="3F1F0282">
        <w:tblPrEx>
          <w:tblCellMar>
            <w:top w:w="0" w:type="dxa"/>
            <w:left w:w="0" w:type="dxa"/>
            <w:bottom w:w="0" w:type="dxa"/>
            <w:right w:w="0" w:type="dxa"/>
          </w:tblCellMar>
        </w:tblPrEx>
        <w:trPr>
          <w:trHeight w:val="96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A83504">
            <w:pPr>
              <w:pStyle w:val="18"/>
              <w:jc w:val="center"/>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rPr>
              <w:t>产品规模</w:t>
            </w:r>
          </w:p>
        </w:tc>
        <w:tc>
          <w:tcPr>
            <w:tcW w:w="6946" w:type="dxa"/>
            <w:tcBorders>
              <w:top w:val="single" w:color="000000" w:sz="4" w:space="0"/>
              <w:left w:val="single" w:color="000000" w:sz="4" w:space="0"/>
              <w:bottom w:val="single" w:color="000000" w:sz="4" w:space="0"/>
              <w:right w:val="single" w:color="000000" w:sz="12" w:space="0"/>
            </w:tcBorders>
            <w:vAlign w:val="center"/>
          </w:tcPr>
          <w:p w14:paraId="181614FB">
            <w:pPr>
              <w:pStyle w:val="18"/>
              <w:ind w:left="43" w:leftChars="0" w:right="29" w:rightChars="0"/>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eastAsia="zh-CN"/>
              </w:rPr>
              <w:t>产品募集上限为</w:t>
            </w:r>
            <w:r>
              <w:rPr>
                <w:rFonts w:hint="eastAsia" w:ascii="仿宋_GB2312" w:eastAsia="仿宋_GB2312" w:cs="Times New Roman" w:hAnsiTheme="minorEastAsia"/>
                <w:b/>
                <w:bCs/>
                <w:color w:val="auto"/>
                <w:sz w:val="20"/>
                <w:highlight w:val="none"/>
                <w:u w:val="single"/>
                <w:lang w:val="en-US" w:eastAsia="zh-CN"/>
              </w:rPr>
              <w:t>450000</w:t>
            </w:r>
            <w:r>
              <w:rPr>
                <w:rFonts w:hint="eastAsia" w:ascii="仿宋_GB2312" w:eastAsia="仿宋_GB2312" w:cs="Times New Roman" w:hAnsiTheme="minorEastAsia"/>
                <w:b w:val="0"/>
                <w:bCs w:val="0"/>
                <w:color w:val="auto"/>
                <w:sz w:val="20"/>
                <w:highlight w:val="none"/>
                <w:u w:val="none"/>
                <w:lang w:val="en-US" w:eastAsia="zh-CN"/>
              </w:rPr>
              <w:t>万</w:t>
            </w:r>
            <w:r>
              <w:rPr>
                <w:rFonts w:hint="eastAsia" w:ascii="仿宋_GB2312" w:eastAsia="仿宋_GB2312" w:cs="Times New Roman" w:hAnsiTheme="minorEastAsia"/>
                <w:color w:val="auto"/>
                <w:sz w:val="20"/>
                <w:szCs w:val="18"/>
                <w:highlight w:val="none"/>
                <w:lang w:eastAsia="zh-CN"/>
              </w:rPr>
              <w:t>元，下限为</w:t>
            </w:r>
            <w:r>
              <w:rPr>
                <w:rFonts w:hint="eastAsia" w:ascii="仿宋_GB2312" w:eastAsia="仿宋_GB2312" w:cs="Times New Roman" w:hAnsiTheme="minorEastAsia"/>
                <w:b/>
                <w:bCs/>
                <w:color w:val="auto"/>
                <w:sz w:val="20"/>
                <w:highlight w:val="none"/>
                <w:u w:val="single"/>
                <w:lang w:val="en-US" w:eastAsia="zh-CN"/>
              </w:rPr>
              <w:t>100</w:t>
            </w:r>
            <w:r>
              <w:rPr>
                <w:rFonts w:hint="eastAsia" w:ascii="仿宋_GB2312" w:eastAsia="仿宋_GB2312" w:cs="Times New Roman" w:hAnsiTheme="minorEastAsia"/>
                <w:color w:val="auto"/>
                <w:sz w:val="20"/>
                <w:szCs w:val="18"/>
                <w:highlight w:val="none"/>
                <w:lang w:eastAsia="zh-CN"/>
              </w:rPr>
              <w:t>万元。</w:t>
            </w:r>
          </w:p>
          <w:p w14:paraId="51CC1FE6">
            <w:pPr>
              <w:pStyle w:val="18"/>
              <w:ind w:left="43" w:leftChars="0" w:right="29" w:rightChars="0"/>
              <w:jc w:val="center"/>
              <w:rPr>
                <w:rFonts w:hint="eastAsia" w:ascii="仿宋_GB2312" w:eastAsia="仿宋_GB2312" w:cs="Times New Roman" w:hAnsiTheme="minorEastAsia"/>
                <w:color w:val="auto"/>
                <w:sz w:val="20"/>
                <w:szCs w:val="18"/>
                <w:highlight w:val="none"/>
                <w:lang w:val="en-US" w:eastAsia="zh-CN"/>
              </w:rPr>
            </w:pPr>
            <w:r>
              <w:rPr>
                <w:rFonts w:hint="eastAsia" w:ascii="仿宋_GB2312" w:hAnsi="仿宋_GB2312" w:eastAsia="仿宋_GB2312" w:cs="仿宋_GB2312"/>
                <w:sz w:val="20"/>
                <w:szCs w:val="18"/>
                <w:highlight w:val="none"/>
                <w:lang w:eastAsia="zh-CN"/>
              </w:rPr>
              <w:t>贵阳农商银行可根据市场情况等调整产品规模上下限。</w:t>
            </w:r>
          </w:p>
        </w:tc>
      </w:tr>
      <w:tr w14:paraId="68EEBA61">
        <w:tblPrEx>
          <w:tblCellMar>
            <w:top w:w="0" w:type="dxa"/>
            <w:left w:w="0" w:type="dxa"/>
            <w:bottom w:w="0" w:type="dxa"/>
            <w:right w:w="0" w:type="dxa"/>
          </w:tblCellMar>
        </w:tblPrEx>
        <w:trPr>
          <w:trHeight w:val="323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0D04A9">
            <w:pPr>
              <w:pStyle w:val="18"/>
              <w:jc w:val="center"/>
              <w:rPr>
                <w:rFonts w:hint="eastAsia" w:ascii="仿宋_GB2312" w:eastAsia="仿宋_GB2312" w:cs="Times New Roman" w:hAnsiTheme="minorEastAsia"/>
                <w:color w:val="auto"/>
                <w:sz w:val="20"/>
                <w:szCs w:val="18"/>
                <w:highlight w:val="none"/>
              </w:rPr>
            </w:pPr>
            <w:r>
              <w:rPr>
                <w:rFonts w:hint="eastAsia" w:ascii="仿宋_GB2312" w:eastAsia="仿宋_GB2312" w:cs="Times New Roman" w:hAnsiTheme="minorEastAsia"/>
                <w:color w:val="auto"/>
                <w:sz w:val="20"/>
                <w:szCs w:val="18"/>
                <w:highlight w:val="none"/>
              </w:rPr>
              <w:t>业绩比较基准</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1B257A">
            <w:pPr>
              <w:widowControl/>
              <w:numPr>
                <w:ilvl w:val="-1"/>
                <w:numId w:val="0"/>
              </w:numPr>
              <w:ind w:firstLine="0" w:firstLineChars="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1.本产品</w:t>
            </w:r>
            <w:r>
              <w:rPr>
                <w:rFonts w:hint="eastAsia" w:ascii="仿宋_GB2312" w:hAnsi="仿宋_GB2312" w:eastAsia="仿宋_GB2312" w:cs="仿宋_GB2312"/>
                <w:b/>
                <w:bCs/>
                <w:color w:val="auto"/>
                <w:kern w:val="0"/>
                <w:sz w:val="20"/>
                <w:szCs w:val="20"/>
                <w:highlight w:val="none"/>
                <w:lang w:val="en-US" w:eastAsia="zh-CN" w:bidi="ar"/>
              </w:rPr>
              <w:t>以中国人民银行公布的</w:t>
            </w:r>
            <w:r>
              <w:rPr>
                <w:rFonts w:hint="eastAsia" w:ascii="仿宋_GB2312" w:hAnsi="仿宋_GB2312" w:eastAsia="仿宋_GB2312" w:cs="仿宋_GB2312"/>
                <w:b/>
                <w:bCs/>
                <w:color w:val="auto"/>
                <w:kern w:val="0"/>
                <w:sz w:val="20"/>
                <w:szCs w:val="20"/>
                <w:highlight w:val="none"/>
                <w:u w:val="none"/>
                <w:lang w:val="en-US" w:eastAsia="zh-CN" w:bidi="ar"/>
              </w:rPr>
              <w:t>7天通知存款利率</w:t>
            </w:r>
            <w:r>
              <w:rPr>
                <w:rFonts w:hint="eastAsia" w:ascii="仿宋_GB2312" w:hAnsi="仿宋_GB2312" w:eastAsia="仿宋_GB2312" w:cs="仿宋_GB2312"/>
                <w:color w:val="auto"/>
                <w:kern w:val="0"/>
                <w:sz w:val="20"/>
                <w:szCs w:val="20"/>
                <w:highlight w:val="none"/>
                <w:lang w:val="en-US" w:eastAsia="zh-CN" w:bidi="ar"/>
              </w:rPr>
              <w:t>作为业绩比较基准。</w:t>
            </w:r>
          </w:p>
          <w:p w14:paraId="6FFE1FEB">
            <w:pPr>
              <w:keepNext w:val="0"/>
              <w:keepLines w:val="0"/>
              <w:widowControl/>
              <w:suppressLineNumbers w:val="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val="0"/>
                <w:bCs w:val="0"/>
                <w:color w:val="auto"/>
                <w:sz w:val="20"/>
                <w:szCs w:val="20"/>
                <w:highlight w:val="none"/>
                <w:lang w:val="en-US" w:eastAsia="zh-CN"/>
              </w:rPr>
              <w:t>2.</w:t>
            </w:r>
            <w:r>
              <w:rPr>
                <w:rFonts w:hint="eastAsia" w:ascii="仿宋_GB2312" w:hAnsi="仿宋_GB2312" w:eastAsia="仿宋_GB2312" w:cs="仿宋_GB2312"/>
                <w:color w:val="auto"/>
                <w:kern w:val="0"/>
                <w:sz w:val="20"/>
                <w:szCs w:val="20"/>
                <w:highlight w:val="none"/>
                <w:lang w:val="en-US" w:eastAsia="zh-CN" w:bidi="ar"/>
              </w:rPr>
              <w:t>本产品为净值型产品，其业绩表现将随市场波动，具有不确定性。业绩比较基准由产品管理人依据理财产品的投资范围及比例、投资策略、产品费用等，并综合考量市场环境等因素测算。</w:t>
            </w:r>
          </w:p>
          <w:p w14:paraId="1116157E">
            <w:pPr>
              <w:keepNext w:val="0"/>
              <w:keepLines w:val="0"/>
              <w:widowControl/>
              <w:numPr>
                <w:ilvl w:val="-1"/>
                <w:numId w:val="0"/>
              </w:numPr>
              <w:suppressLineNumbers w:val="0"/>
              <w:jc w:val="both"/>
              <w:rPr>
                <w:rFonts w:hint="eastAsia" w:ascii="仿宋_GB2312" w:hAnsi="仿宋_GB2312" w:eastAsia="仿宋_GB2312" w:cs="仿宋_GB2312"/>
                <w:color w:val="auto"/>
                <w:sz w:val="20"/>
                <w:szCs w:val="20"/>
                <w:highlight w:val="none"/>
                <w:lang w:eastAsia="zh-CN" w:bidi="ar"/>
              </w:rPr>
            </w:pPr>
            <w:r>
              <w:rPr>
                <w:rFonts w:hint="eastAsia" w:ascii="仿宋_GB2312" w:hAnsi="仿宋_GB2312" w:eastAsia="仿宋_GB2312" w:cs="仿宋_GB2312"/>
                <w:color w:val="auto"/>
                <w:sz w:val="20"/>
                <w:szCs w:val="20"/>
                <w:highlight w:val="none"/>
                <w:lang w:val="en-US" w:eastAsia="zh-CN" w:bidi="ar"/>
              </w:rPr>
              <w:t>3.本产品根据市场研判，以投资债券、同业存单、存款等中短期金融工具为主，灵活动态调整，控制投资风险。</w:t>
            </w:r>
          </w:p>
          <w:p w14:paraId="2A8D9A99">
            <w:pPr>
              <w:widowControl/>
              <w:ind w:firstLine="0" w:firstLineChars="0"/>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sz w:val="20"/>
                <w:szCs w:val="18"/>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3B232286">
            <w:pPr>
              <w:widowControl/>
              <w:ind w:firstLine="0" w:firstLineChars="0"/>
              <w:rPr>
                <w:rFonts w:hint="eastAsia" w:ascii="仿宋_GB2312" w:eastAsia="仿宋_GB2312" w:cs="Times New Roman" w:hAnsiTheme="minorEastAsia"/>
                <w:color w:val="auto"/>
                <w:sz w:val="20"/>
                <w:szCs w:val="18"/>
                <w:highlight w:val="none"/>
              </w:rPr>
            </w:pPr>
            <w:r>
              <w:rPr>
                <w:rFonts w:hint="eastAsia" w:ascii="仿宋_GB2312" w:hAnsi="仿宋_GB2312" w:eastAsia="仿宋_GB2312" w:cs="仿宋_GB2312"/>
                <w:b/>
                <w:bCs/>
                <w:color w:val="auto"/>
                <w:sz w:val="20"/>
                <w:szCs w:val="20"/>
                <w:highlight w:val="none"/>
                <w:lang w:val="en-US" w:eastAsia="zh-CN"/>
              </w:rPr>
              <w:t>5</w:t>
            </w:r>
            <w:r>
              <w:rPr>
                <w:rFonts w:hint="eastAsia" w:ascii="仿宋_GB2312" w:hAnsi="仿宋_GB2312" w:eastAsia="仿宋_GB2312" w:cs="仿宋_GB2312"/>
                <w:b/>
                <w:bCs/>
                <w:color w:val="auto"/>
                <w:sz w:val="20"/>
                <w:szCs w:val="20"/>
                <w:highlight w:val="none"/>
                <w:lang w:eastAsia="zh-CN"/>
              </w:rPr>
              <w:t>.业绩比较基准不是预期收益率，不代表产品的未来表现和实际收益，不构成对产品收益的承诺。</w:t>
            </w:r>
          </w:p>
        </w:tc>
      </w:tr>
      <w:tr w14:paraId="750FAF2B">
        <w:tblPrEx>
          <w:tblCellMar>
            <w:top w:w="0" w:type="dxa"/>
            <w:left w:w="0" w:type="dxa"/>
            <w:bottom w:w="0" w:type="dxa"/>
            <w:right w:w="0" w:type="dxa"/>
          </w:tblCellMar>
        </w:tblPrEx>
        <w:trPr>
          <w:trHeight w:val="397"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C70307">
            <w:pPr>
              <w:jc w:val="center"/>
              <w:rPr>
                <w:rFonts w:ascii="仿宋_GB2312" w:hAnsi="Times New Roman" w:eastAsia="仿宋_GB2312" w:cs="Times New Roman"/>
                <w:color w:val="auto"/>
                <w:sz w:val="20"/>
                <w:szCs w:val="18"/>
                <w:highlight w:val="none"/>
                <w:lang w:eastAsia="zh-CN"/>
              </w:rPr>
            </w:pPr>
            <w:r>
              <w:rPr>
                <w:rFonts w:hint="eastAsia" w:ascii="仿宋_GB2312" w:eastAsia="仿宋_GB2312" w:cs="Times New Roman" w:hAnsiTheme="minorEastAsia"/>
                <w:color w:val="auto"/>
                <w:sz w:val="20"/>
                <w:szCs w:val="18"/>
                <w:highlight w:val="none"/>
                <w:lang w:eastAsia="zh-CN"/>
              </w:rPr>
              <w:t>认购</w:t>
            </w:r>
            <w:r>
              <w:rPr>
                <w:rFonts w:hint="eastAsia" w:ascii="仿宋_GB2312" w:eastAsia="仿宋_GB2312" w:cs="Times New Roman" w:hAnsiTheme="minorEastAsia"/>
                <w:color w:val="auto"/>
                <w:sz w:val="20"/>
                <w:szCs w:val="18"/>
                <w:highlight w:val="none"/>
                <w:lang w:val="en-US" w:eastAsia="zh-CN"/>
              </w:rPr>
              <w:t>/申购</w:t>
            </w:r>
            <w:r>
              <w:rPr>
                <w:rFonts w:hint="eastAsia" w:ascii="仿宋_GB2312" w:eastAsia="仿宋_GB2312" w:cs="Times New Roman" w:hAnsiTheme="minorEastAsia"/>
                <w:color w:val="auto"/>
                <w:sz w:val="20"/>
                <w:szCs w:val="18"/>
                <w:highlight w:val="none"/>
                <w:lang w:eastAsia="zh-CN"/>
              </w:rPr>
              <w:t>面值</w:t>
            </w:r>
          </w:p>
        </w:tc>
        <w:tc>
          <w:tcPr>
            <w:tcW w:w="6946" w:type="dxa"/>
            <w:tcBorders>
              <w:top w:val="single" w:color="000000" w:sz="4" w:space="0"/>
              <w:left w:val="single" w:color="000000" w:sz="4" w:space="0"/>
              <w:bottom w:val="single" w:color="auto" w:sz="4" w:space="0"/>
              <w:right w:val="single" w:color="000000" w:sz="12" w:space="0"/>
            </w:tcBorders>
            <w:vAlign w:val="center"/>
          </w:tcPr>
          <w:p w14:paraId="645FA972">
            <w:pPr>
              <w:jc w:val="center"/>
              <w:rPr>
                <w:rFonts w:ascii="仿宋_GB2312" w:hAnsi="Times New Roman" w:eastAsia="仿宋_GB2312" w:cs="Times New Roman"/>
                <w:color w:val="auto"/>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/申购份额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50752614">
        <w:tblPrEx>
          <w:tblCellMar>
            <w:top w:w="0" w:type="dxa"/>
            <w:left w:w="0" w:type="dxa"/>
            <w:bottom w:w="0" w:type="dxa"/>
            <w:right w:w="0" w:type="dxa"/>
          </w:tblCellMar>
        </w:tblPrEx>
        <w:trPr>
          <w:trHeight w:val="397"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2EA4C59">
            <w:pPr>
              <w:jc w:val="center"/>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认购金额</w:t>
            </w:r>
          </w:p>
        </w:tc>
        <w:tc>
          <w:tcPr>
            <w:tcW w:w="6946" w:type="dxa"/>
            <w:tcBorders>
              <w:top w:val="single" w:color="000000" w:sz="4" w:space="0"/>
              <w:left w:val="single" w:color="000000" w:sz="4" w:space="0"/>
              <w:bottom w:val="single" w:color="auto" w:sz="4" w:space="0"/>
              <w:right w:val="single" w:color="000000" w:sz="12" w:space="0"/>
            </w:tcBorders>
            <w:vAlign w:val="center"/>
          </w:tcPr>
          <w:p w14:paraId="3BEFD415">
            <w:pPr>
              <w:jc w:val="center"/>
              <w:rPr>
                <w:rFonts w:ascii="仿宋_GB2312" w:eastAsia="仿宋_GB2312" w:cs="Times New Roman" w:hAnsiTheme="minorEastAsia"/>
                <w:color w:val="auto"/>
                <w:sz w:val="20"/>
                <w:szCs w:val="18"/>
                <w:highlight w:val="none"/>
                <w:lang w:eastAsia="zh-CN"/>
              </w:rPr>
            </w:pPr>
            <w:r>
              <w:rPr>
                <w:rFonts w:hint="eastAsia" w:ascii="仿宋_GB2312" w:hAnsi="仿宋_GB2312" w:eastAsia="仿宋_GB2312" w:cs="仿宋_GB2312"/>
                <w:b/>
                <w:bCs/>
                <w:sz w:val="20"/>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万元起，以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元的整数倍递增</w:t>
            </w:r>
          </w:p>
        </w:tc>
      </w:tr>
      <w:tr w14:paraId="18007858">
        <w:tblPrEx>
          <w:tblCellMar>
            <w:top w:w="0" w:type="dxa"/>
            <w:left w:w="0" w:type="dxa"/>
            <w:bottom w:w="0" w:type="dxa"/>
            <w:right w:w="0" w:type="dxa"/>
          </w:tblCellMar>
        </w:tblPrEx>
        <w:trPr>
          <w:trHeight w:val="964"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6FE5D03">
            <w:pPr>
              <w:jc w:val="center"/>
              <w:rPr>
                <w:rFonts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申购金额</w:t>
            </w:r>
          </w:p>
        </w:tc>
        <w:tc>
          <w:tcPr>
            <w:tcW w:w="6946" w:type="dxa"/>
            <w:tcBorders>
              <w:top w:val="single" w:color="000000" w:sz="4" w:space="0"/>
              <w:left w:val="single" w:color="000000" w:sz="4" w:space="0"/>
              <w:bottom w:val="single" w:color="auto" w:sz="4" w:space="0"/>
              <w:right w:val="single" w:color="000000" w:sz="12" w:space="0"/>
            </w:tcBorders>
            <w:vAlign w:val="center"/>
          </w:tcPr>
          <w:p w14:paraId="1A1FA03E">
            <w:pPr>
              <w:jc w:val="left"/>
              <w:rPr>
                <w:rFonts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color w:val="auto"/>
                <w:sz w:val="20"/>
                <w:szCs w:val="18"/>
                <w:highlight w:val="none"/>
                <w:u w:val="singl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0.01</w:t>
            </w:r>
            <w:r>
              <w:rPr>
                <w:rFonts w:hint="eastAsia" w:ascii="仿宋_GB2312" w:eastAsia="仿宋_GB2312" w:cs="Times New Roman" w:hAnsiTheme="minorEastAsia"/>
                <w:color w:val="auto"/>
                <w:sz w:val="20"/>
                <w:szCs w:val="18"/>
                <w:highlight w:val="none"/>
                <w:lang w:val="en-US" w:eastAsia="zh-CN"/>
              </w:rPr>
              <w:t>元。申购金额和追加均以</w:t>
            </w:r>
            <w:r>
              <w:rPr>
                <w:rFonts w:hint="eastAsia" w:ascii="仿宋_GB2312" w:eastAsia="仿宋_GB2312" w:cs="Times New Roman" w:hAnsiTheme="minorEastAsia"/>
                <w:b/>
                <w:bCs/>
                <w:color w:val="auto"/>
                <w:sz w:val="20"/>
                <w:szCs w:val="18"/>
                <w:highlight w:val="none"/>
                <w:u w:val="none"/>
                <w:lang w:val="en-US" w:eastAsia="zh-CN"/>
              </w:rPr>
              <w:t>0.01</w:t>
            </w:r>
            <w:r>
              <w:rPr>
                <w:rFonts w:hint="eastAsia" w:ascii="仿宋_GB2312" w:eastAsia="仿宋_GB2312" w:cs="Times New Roman" w:hAnsiTheme="minorEastAsia"/>
                <w:color w:val="auto"/>
                <w:sz w:val="20"/>
                <w:szCs w:val="18"/>
                <w:highlight w:val="none"/>
                <w:lang w:val="en-US" w:eastAsia="zh-CN"/>
              </w:rPr>
              <w:t>元的整数倍递增。</w:t>
            </w:r>
          </w:p>
        </w:tc>
      </w:tr>
      <w:tr w14:paraId="6DA567B3">
        <w:tblPrEx>
          <w:tblCellMar>
            <w:top w:w="0" w:type="dxa"/>
            <w:left w:w="0" w:type="dxa"/>
            <w:bottom w:w="0" w:type="dxa"/>
            <w:right w:w="0" w:type="dxa"/>
          </w:tblCellMar>
        </w:tblPrEx>
        <w:trPr>
          <w:trHeight w:val="397"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CAD650">
            <w:pPr>
              <w:jc w:val="center"/>
              <w:rPr>
                <w:rFonts w:hint="default"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最低持有份额</w:t>
            </w:r>
          </w:p>
        </w:tc>
        <w:tc>
          <w:tcPr>
            <w:tcW w:w="6946" w:type="dxa"/>
            <w:tcBorders>
              <w:top w:val="single" w:color="000000" w:sz="4" w:space="0"/>
              <w:left w:val="single" w:color="000000" w:sz="4" w:space="0"/>
              <w:bottom w:val="single" w:color="auto" w:sz="4" w:space="0"/>
              <w:right w:val="single" w:color="000000" w:sz="12" w:space="0"/>
            </w:tcBorders>
            <w:vAlign w:val="center"/>
          </w:tcPr>
          <w:p w14:paraId="3FD7BCDD">
            <w:pPr>
              <w:jc w:val="center"/>
              <w:rPr>
                <w:rFonts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0.01</w:t>
            </w:r>
            <w:r>
              <w:rPr>
                <w:rFonts w:hint="eastAsia" w:ascii="仿宋_GB2312" w:eastAsia="仿宋_GB2312" w:cs="Times New Roman" w:hAnsiTheme="minorEastAsia"/>
                <w:color w:val="auto"/>
                <w:sz w:val="20"/>
                <w:szCs w:val="18"/>
                <w:highlight w:val="none"/>
                <w:lang w:val="en-US" w:eastAsia="zh-CN"/>
              </w:rPr>
              <w:t>份</w:t>
            </w:r>
          </w:p>
        </w:tc>
      </w:tr>
      <w:tr w14:paraId="4051A5DB">
        <w:tblPrEx>
          <w:tblCellMar>
            <w:top w:w="0" w:type="dxa"/>
            <w:left w:w="0" w:type="dxa"/>
            <w:bottom w:w="0" w:type="dxa"/>
            <w:right w:w="0" w:type="dxa"/>
          </w:tblCellMar>
        </w:tblPrEx>
        <w:trPr>
          <w:trHeight w:val="68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0E2D6CD">
            <w:pPr>
              <w:pStyle w:val="18"/>
              <w:jc w:val="center"/>
              <w:rPr>
                <w:rFonts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认/</w:t>
            </w:r>
            <w:r>
              <w:rPr>
                <w:rFonts w:hint="eastAsia" w:ascii="仿宋_GB2312" w:eastAsia="仿宋_GB2312" w:cs="Times New Roman" w:hAnsiTheme="minorEastAsia"/>
                <w:color w:val="auto"/>
                <w:sz w:val="20"/>
                <w:szCs w:val="18"/>
                <w:highlight w:val="none"/>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3175AA54">
            <w:pPr>
              <w:pStyle w:val="18"/>
              <w:ind w:left="11"/>
              <w:jc w:val="left"/>
              <w:rPr>
                <w:rFonts w:ascii="仿宋_GB2312" w:eastAsia="仿宋_GB2312" w:cs="Times New Roman" w:hAnsiTheme="minorEastAsia"/>
                <w:color w:val="auto"/>
                <w:sz w:val="20"/>
                <w:szCs w:val="18"/>
                <w:highlight w:val="none"/>
                <w:lang w:eastAsia="zh-CN"/>
              </w:rPr>
            </w:pPr>
            <w:r>
              <w:rPr>
                <w:rFonts w:hint="eastAsia" w:ascii="仿宋_GB2312" w:hAnsi="Times New Roman" w:eastAsia="仿宋_GB2312" w:cs="Times New Roman"/>
                <w:color w:val="auto"/>
                <w:sz w:val="20"/>
                <w:szCs w:val="18"/>
                <w:highlight w:val="none"/>
                <w:lang w:eastAsia="zh-CN"/>
              </w:rPr>
              <w:t>单个投资者</w:t>
            </w:r>
            <w:r>
              <w:rPr>
                <w:rFonts w:hint="eastAsia" w:ascii="仿宋_GB2312" w:hAnsi="Times New Roman" w:eastAsia="仿宋_GB2312" w:cs="Times New Roman"/>
                <w:color w:val="auto"/>
                <w:sz w:val="20"/>
                <w:szCs w:val="18"/>
                <w:highlight w:val="none"/>
                <w:lang w:val="en-US" w:eastAsia="zh-CN"/>
              </w:rPr>
              <w:t>认/申购金额</w:t>
            </w:r>
            <w:r>
              <w:rPr>
                <w:rFonts w:hint="eastAsia" w:ascii="仿宋_GB2312" w:hAnsi="Times New Roman" w:eastAsia="仿宋_GB2312" w:cs="Times New Roman"/>
                <w:color w:val="auto"/>
                <w:sz w:val="20"/>
                <w:szCs w:val="18"/>
                <w:highlight w:val="none"/>
                <w:lang w:eastAsia="zh-CN"/>
              </w:rPr>
              <w:t>不超过</w:t>
            </w:r>
            <w:r>
              <w:rPr>
                <w:rFonts w:hint="eastAsia" w:ascii="仿宋_GB2312" w:eastAsia="仿宋_GB2312" w:cs="Times New Roman" w:hAnsiTheme="minorEastAsia"/>
                <w:b/>
                <w:bCs/>
                <w:color w:val="auto"/>
                <w:sz w:val="20"/>
                <w:highlight w:val="none"/>
                <w:u w:val="none"/>
                <w:lang w:val="en-US" w:eastAsia="zh-CN"/>
              </w:rPr>
              <w:t>100</w:t>
            </w:r>
            <w:r>
              <w:rPr>
                <w:rFonts w:hint="eastAsia" w:ascii="仿宋_GB2312" w:hAnsi="Times New Roman" w:eastAsia="仿宋_GB2312" w:cs="Times New Roman"/>
                <w:color w:val="auto"/>
                <w:sz w:val="20"/>
                <w:szCs w:val="18"/>
                <w:highlight w:val="none"/>
                <w:u w:val="none"/>
                <w:lang w:eastAsia="zh-CN"/>
              </w:rPr>
              <w:t>万</w:t>
            </w:r>
            <w:r>
              <w:rPr>
                <w:rFonts w:hint="eastAsia" w:ascii="仿宋_GB2312" w:hAnsi="Times New Roman" w:eastAsia="仿宋_GB2312" w:cs="Times New Roman"/>
                <w:color w:val="auto"/>
                <w:sz w:val="20"/>
                <w:szCs w:val="18"/>
                <w:highlight w:val="none"/>
                <w:u w:val="none"/>
                <w:lang w:val="en-US" w:eastAsia="zh-CN"/>
              </w:rPr>
              <w:t>元</w:t>
            </w:r>
            <w:r>
              <w:rPr>
                <w:rFonts w:hint="eastAsia" w:ascii="仿宋_GB2312" w:hAnsi="Times New Roman" w:eastAsia="仿宋_GB2312" w:cs="Times New Roman"/>
                <w:color w:val="auto"/>
                <w:sz w:val="20"/>
                <w:szCs w:val="18"/>
                <w:highlight w:val="none"/>
                <w:lang w:eastAsia="zh-CN"/>
              </w:rPr>
              <w:t>，超出部分</w:t>
            </w: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将</w:t>
            </w:r>
            <w:r>
              <w:rPr>
                <w:rFonts w:hint="eastAsia" w:ascii="仿宋_GB2312" w:hAnsi="Times New Roman" w:eastAsia="仿宋_GB2312" w:cs="Times New Roman"/>
                <w:color w:val="auto"/>
                <w:sz w:val="20"/>
                <w:szCs w:val="18"/>
                <w:highlight w:val="none"/>
                <w:lang w:eastAsia="zh-CN"/>
              </w:rPr>
              <w:t>根据实际情况限制单个投资者</w:t>
            </w:r>
            <w:r>
              <w:rPr>
                <w:rFonts w:hint="eastAsia" w:ascii="仿宋_GB2312" w:hAnsi="Times New Roman" w:eastAsia="仿宋_GB2312" w:cs="Times New Roman"/>
                <w:color w:val="auto"/>
                <w:sz w:val="20"/>
                <w:szCs w:val="18"/>
                <w:highlight w:val="none"/>
                <w:lang w:val="en-US" w:eastAsia="zh-CN"/>
              </w:rPr>
              <w:t>认/</w:t>
            </w:r>
            <w:r>
              <w:rPr>
                <w:rFonts w:hint="eastAsia" w:ascii="仿宋_GB2312" w:hAnsi="Times New Roman" w:eastAsia="仿宋_GB2312" w:cs="Times New Roman"/>
                <w:color w:val="auto"/>
                <w:sz w:val="20"/>
                <w:szCs w:val="18"/>
                <w:highlight w:val="none"/>
                <w:lang w:eastAsia="zh-CN"/>
              </w:rPr>
              <w:t>申购。</w:t>
            </w:r>
          </w:p>
        </w:tc>
      </w:tr>
      <w:tr w14:paraId="2315FA00">
        <w:tblPrEx>
          <w:tblCellMar>
            <w:top w:w="0" w:type="dxa"/>
            <w:left w:w="0" w:type="dxa"/>
            <w:bottom w:w="0" w:type="dxa"/>
            <w:right w:w="0" w:type="dxa"/>
          </w:tblCellMar>
        </w:tblPrEx>
        <w:trPr>
          <w:trHeight w:val="153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0044D0">
            <w:pPr>
              <w:pStyle w:val="18"/>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单一投资者持有份额限制</w:t>
            </w:r>
          </w:p>
        </w:tc>
        <w:tc>
          <w:tcPr>
            <w:tcW w:w="6946" w:type="dxa"/>
            <w:tcBorders>
              <w:top w:val="single" w:color="000000" w:sz="4" w:space="0"/>
              <w:left w:val="single" w:color="000000" w:sz="4" w:space="0"/>
              <w:bottom w:val="single" w:color="000000" w:sz="4" w:space="0"/>
              <w:right w:val="single" w:color="000000" w:sz="12" w:space="0"/>
            </w:tcBorders>
            <w:vAlign w:val="center"/>
          </w:tcPr>
          <w:p w14:paraId="1833AA70">
            <w:pPr>
              <w:pStyle w:val="18"/>
              <w:numPr>
                <w:ilvl w:val="-1"/>
                <w:numId w:val="0"/>
              </w:numPr>
              <w:ind w:left="0"/>
              <w:jc w:val="both"/>
              <w:rPr>
                <w:rFonts w:hint="eastAsia" w:ascii="仿宋_GB2312" w:hAnsi="Times New Roman" w:eastAsia="仿宋_GB2312" w:cs="Times New Roman"/>
                <w:color w:val="auto"/>
                <w:sz w:val="20"/>
                <w:szCs w:val="18"/>
                <w:highlight w:val="none"/>
                <w:lang w:val="en-US" w:eastAsia="zh-CN"/>
              </w:rPr>
            </w:pPr>
            <w:r>
              <w:rPr>
                <w:rFonts w:hint="eastAsia" w:ascii="仿宋_GB2312" w:hAnsi="Times New Roman" w:eastAsia="仿宋_GB2312" w:cs="Times New Roman"/>
                <w:color w:val="auto"/>
                <w:sz w:val="20"/>
                <w:szCs w:val="18"/>
                <w:highlight w:val="none"/>
                <w:lang w:val="en-US" w:eastAsia="zh-CN"/>
              </w:rPr>
              <w:t>1.单一投资者持有产品份额不得超过产品总份额的50%。非因产品管理人主观因素导致突破比例限制的，在单一投资者持有比例降至50%以下之前，将不再接受该投资者对该理财产品的认/申购申请。</w:t>
            </w:r>
          </w:p>
          <w:p w14:paraId="771A3159">
            <w:pPr>
              <w:pStyle w:val="18"/>
              <w:numPr>
                <w:ilvl w:val="-1"/>
                <w:numId w:val="0"/>
              </w:numPr>
              <w:ind w:left="0" w:leftChars="0" w:firstLine="0" w:firstLineChars="0"/>
              <w:jc w:val="both"/>
              <w:rPr>
                <w:rFonts w:hint="eastAsia" w:ascii="仿宋_GB2312" w:hAnsi="Times New Roman" w:eastAsia="仿宋_GB2312" w:cs="Times New Roman"/>
                <w:color w:val="auto"/>
                <w:sz w:val="20"/>
                <w:szCs w:val="18"/>
                <w:highlight w:val="none"/>
                <w:lang w:eastAsia="zh-CN"/>
              </w:rPr>
            </w:pPr>
            <w:r>
              <w:rPr>
                <w:rFonts w:hint="eastAsia" w:ascii="仿宋_GB2312" w:hAnsi="Times New Roman" w:eastAsia="仿宋_GB2312" w:cs="Times New Roman"/>
                <w:color w:val="auto"/>
                <w:sz w:val="20"/>
                <w:szCs w:val="18"/>
                <w:highlight w:val="none"/>
                <w:lang w:val="en-US" w:eastAsia="zh-CN"/>
              </w:rPr>
              <w:t>2.任一份额确认日，单一投资者确认份额累计不得超过该产品总份额的50%，超过部分将被强制赎回。</w:t>
            </w:r>
          </w:p>
        </w:tc>
      </w:tr>
      <w:tr w14:paraId="07DA7FC5">
        <w:tblPrEx>
          <w:tblCellMar>
            <w:top w:w="0" w:type="dxa"/>
            <w:left w:w="0" w:type="dxa"/>
            <w:bottom w:w="0" w:type="dxa"/>
            <w:right w:w="0" w:type="dxa"/>
          </w:tblCellMar>
        </w:tblPrEx>
        <w:trPr>
          <w:trHeight w:val="9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5D681CB">
            <w:pPr>
              <w:pStyle w:val="18"/>
              <w:jc w:val="center"/>
              <w:rPr>
                <w:rFonts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9813C1F">
            <w:pPr>
              <w:pStyle w:val="18"/>
              <w:ind w:left="26"/>
              <w:jc w:val="center"/>
              <w:rPr>
                <w:rFonts w:ascii="仿宋_GB2312" w:hAnsi="Times New Roman" w:eastAsia="仿宋_GB2312" w:cs="Times New Roman"/>
                <w:color w:val="auto"/>
                <w:sz w:val="20"/>
                <w:szCs w:val="18"/>
                <w:highlight w:val="none"/>
                <w:lang w:eastAsia="zh-CN"/>
              </w:rPr>
            </w:pPr>
            <w:r>
              <w:rPr>
                <w:rFonts w:hint="eastAsia" w:ascii="仿宋_GB2312" w:eastAsia="仿宋_GB2312" w:cs="Times New Roman" w:hAnsiTheme="minorEastAsia"/>
                <w:b/>
                <w:bCs/>
                <w:color w:val="auto"/>
                <w:sz w:val="20"/>
                <w:highlight w:val="none"/>
                <w:u w:val="none"/>
                <w:lang w:val="en-US" w:eastAsia="zh-CN"/>
              </w:rPr>
              <w:t>2025</w:t>
            </w:r>
            <w:r>
              <w:rPr>
                <w:rFonts w:hint="eastAsia" w:ascii="仿宋_GB2312" w:hAnsi="Times New Roman" w:eastAsia="仿宋_GB2312" w:cs="Times New Roman"/>
                <w:color w:val="auto"/>
                <w:sz w:val="20"/>
                <w:szCs w:val="18"/>
                <w:highlight w:val="none"/>
                <w:u w:val="none"/>
                <w:lang w:eastAsia="zh-CN"/>
              </w:rPr>
              <w:t>年</w:t>
            </w:r>
            <w:r>
              <w:rPr>
                <w:rFonts w:hint="eastAsia" w:ascii="仿宋_GB2312" w:eastAsia="仿宋_GB2312" w:cs="Times New Roman" w:hAnsiTheme="minorEastAsia"/>
                <w:b/>
                <w:bCs/>
                <w:color w:val="auto"/>
                <w:sz w:val="20"/>
                <w:highlight w:val="none"/>
                <w:u w:val="none"/>
                <w:lang w:val="en-US" w:eastAsia="zh-CN"/>
              </w:rPr>
              <w:t>1</w:t>
            </w:r>
            <w:r>
              <w:rPr>
                <w:rFonts w:hint="eastAsia" w:ascii="仿宋_GB2312" w:hAnsi="Times New Roman" w:eastAsia="仿宋_GB2312" w:cs="Times New Roman"/>
                <w:color w:val="auto"/>
                <w:sz w:val="20"/>
                <w:szCs w:val="18"/>
                <w:highlight w:val="none"/>
                <w:u w:val="none"/>
                <w:lang w:eastAsia="zh-CN"/>
              </w:rPr>
              <w:t>月</w:t>
            </w:r>
            <w:r>
              <w:rPr>
                <w:rFonts w:hint="eastAsia" w:ascii="仿宋_GB2312" w:eastAsia="仿宋_GB2312" w:cs="Times New Roman" w:hAnsiTheme="minorEastAsia"/>
                <w:b/>
                <w:bCs/>
                <w:color w:val="auto"/>
                <w:sz w:val="20"/>
                <w:highlight w:val="none"/>
                <w:u w:val="none"/>
                <w:lang w:val="en-US" w:eastAsia="zh-CN"/>
              </w:rPr>
              <w:t>15</w:t>
            </w:r>
            <w:r>
              <w:rPr>
                <w:rFonts w:hint="eastAsia" w:ascii="仿宋_GB2312" w:hAnsi="Times New Roman" w:eastAsia="仿宋_GB2312" w:cs="Times New Roman"/>
                <w:color w:val="auto"/>
                <w:sz w:val="20"/>
                <w:szCs w:val="18"/>
                <w:highlight w:val="none"/>
                <w:u w:val="none"/>
                <w:lang w:eastAsia="zh-CN"/>
              </w:rPr>
              <w:t>日</w:t>
            </w:r>
            <w:r>
              <w:rPr>
                <w:rFonts w:hint="eastAsia" w:ascii="仿宋_GB2312" w:hAnsi="Times New Roman" w:eastAsia="仿宋_GB2312" w:cs="Times New Roman"/>
                <w:b/>
                <w:bCs/>
                <w:color w:val="auto"/>
                <w:sz w:val="20"/>
                <w:szCs w:val="18"/>
                <w:highlight w:val="none"/>
                <w:u w:val="none"/>
                <w:lang w:val="en-US" w:eastAsia="zh-CN"/>
              </w:rPr>
              <w:t>9:00</w:t>
            </w:r>
            <w:r>
              <w:rPr>
                <w:rFonts w:hint="eastAsia" w:ascii="仿宋_GB2312" w:hAnsi="Times New Roman" w:eastAsia="仿宋_GB2312" w:cs="Times New Roman"/>
                <w:color w:val="auto"/>
                <w:sz w:val="20"/>
                <w:szCs w:val="18"/>
                <w:highlight w:val="none"/>
                <w:u w:val="none"/>
                <w:lang w:eastAsia="zh-CN"/>
              </w:rPr>
              <w:t>-</w:t>
            </w:r>
            <w:r>
              <w:rPr>
                <w:rFonts w:hint="eastAsia" w:ascii="仿宋_GB2312" w:eastAsia="仿宋_GB2312" w:cs="Times New Roman" w:hAnsiTheme="minorEastAsia"/>
                <w:b/>
                <w:bCs/>
                <w:color w:val="auto"/>
                <w:sz w:val="20"/>
                <w:highlight w:val="none"/>
                <w:u w:val="none"/>
                <w:lang w:val="en-US" w:eastAsia="zh-CN"/>
              </w:rPr>
              <w:t>2025</w:t>
            </w:r>
            <w:r>
              <w:rPr>
                <w:rFonts w:hint="eastAsia" w:ascii="仿宋_GB2312" w:hAnsi="Times New Roman" w:eastAsia="仿宋_GB2312" w:cs="Times New Roman"/>
                <w:color w:val="auto"/>
                <w:sz w:val="20"/>
                <w:szCs w:val="18"/>
                <w:highlight w:val="none"/>
                <w:u w:val="none"/>
                <w:lang w:eastAsia="zh-CN"/>
              </w:rPr>
              <w:t>年</w:t>
            </w:r>
            <w:r>
              <w:rPr>
                <w:rFonts w:hint="eastAsia" w:ascii="仿宋_GB2312" w:eastAsia="仿宋_GB2312" w:cs="Times New Roman" w:hAnsiTheme="minorEastAsia"/>
                <w:b/>
                <w:bCs/>
                <w:color w:val="auto"/>
                <w:sz w:val="20"/>
                <w:highlight w:val="none"/>
                <w:u w:val="none"/>
                <w:lang w:val="en-US" w:eastAsia="zh-CN"/>
              </w:rPr>
              <w:t>1</w:t>
            </w:r>
            <w:r>
              <w:rPr>
                <w:rFonts w:hint="eastAsia" w:ascii="仿宋_GB2312" w:hAnsi="Times New Roman" w:eastAsia="仿宋_GB2312" w:cs="Times New Roman"/>
                <w:color w:val="auto"/>
                <w:sz w:val="20"/>
                <w:szCs w:val="18"/>
                <w:highlight w:val="none"/>
                <w:u w:val="none"/>
                <w:lang w:eastAsia="zh-CN"/>
              </w:rPr>
              <w:t>月</w:t>
            </w:r>
            <w:r>
              <w:rPr>
                <w:rFonts w:hint="eastAsia" w:ascii="仿宋_GB2312" w:eastAsia="仿宋_GB2312" w:cs="Times New Roman" w:hAnsiTheme="minorEastAsia"/>
                <w:b/>
                <w:bCs/>
                <w:color w:val="auto"/>
                <w:sz w:val="20"/>
                <w:highlight w:val="none"/>
                <w:u w:val="none"/>
                <w:lang w:val="en-US" w:eastAsia="zh-CN"/>
              </w:rPr>
              <w:t>15</w:t>
            </w:r>
            <w:r>
              <w:rPr>
                <w:rFonts w:hint="eastAsia" w:ascii="仿宋_GB2312" w:hAnsi="Times New Roman" w:eastAsia="仿宋_GB2312" w:cs="Times New Roman"/>
                <w:color w:val="auto"/>
                <w:sz w:val="20"/>
                <w:szCs w:val="18"/>
                <w:highlight w:val="none"/>
                <w:u w:val="none"/>
                <w:lang w:eastAsia="zh-CN"/>
              </w:rPr>
              <w:t>日</w:t>
            </w:r>
            <w:r>
              <w:rPr>
                <w:rFonts w:hint="eastAsia" w:ascii="仿宋_GB2312" w:hAnsi="Times New Roman" w:eastAsia="仿宋_GB2312" w:cs="Times New Roman"/>
                <w:b/>
                <w:bCs/>
                <w:color w:val="auto"/>
                <w:sz w:val="20"/>
                <w:szCs w:val="18"/>
                <w:highlight w:val="none"/>
                <w:u w:val="none"/>
                <w:lang w:val="en-US" w:eastAsia="zh-CN"/>
              </w:rPr>
              <w:t>14:59</w:t>
            </w:r>
            <w:r>
              <w:rPr>
                <w:rFonts w:hint="eastAsia" w:ascii="仿宋_GB2312" w:hAnsi="Times New Roman" w:eastAsia="仿宋_GB2312" w:cs="Times New Roman"/>
                <w:color w:val="auto"/>
                <w:sz w:val="20"/>
                <w:szCs w:val="18"/>
                <w:highlight w:val="none"/>
                <w:lang w:eastAsia="zh-CN"/>
              </w:rPr>
              <w:t>。</w:t>
            </w:r>
          </w:p>
          <w:p w14:paraId="77A0A77A">
            <w:pPr>
              <w:pStyle w:val="18"/>
              <w:ind w:left="26"/>
              <w:jc w:val="center"/>
              <w:rPr>
                <w:rFonts w:ascii="仿宋_GB2312" w:hAnsi="Times New Roman" w:eastAsia="仿宋_GB2312" w:cs="Times New Roman"/>
                <w:color w:val="auto"/>
                <w:sz w:val="20"/>
                <w:szCs w:val="18"/>
                <w:highlight w:val="none"/>
                <w:lang w:eastAsia="zh-CN"/>
              </w:rPr>
            </w:pPr>
            <w:r>
              <w:rPr>
                <w:rFonts w:hint="eastAsia" w:ascii="仿宋_GB2312" w:hAnsi="仿宋_GB2312" w:eastAsia="仿宋_GB2312" w:cs="仿宋_GB2312"/>
                <w:sz w:val="20"/>
                <w:szCs w:val="18"/>
                <w:highlight w:val="none"/>
                <w:lang w:eastAsia="zh-CN"/>
              </w:rPr>
              <w:t>产品管理人有权根据市场情况提前结束或延长产品募集时间，</w:t>
            </w:r>
            <w:r>
              <w:rPr>
                <w:rFonts w:hint="eastAsia" w:ascii="仿宋_GB2312" w:hAnsi="仿宋_GB2312" w:eastAsia="仿宋_GB2312" w:cs="仿宋_GB2312"/>
                <w:sz w:val="20"/>
                <w:szCs w:val="18"/>
                <w:highlight w:val="none"/>
                <w:lang w:val="en-US" w:eastAsia="zh-CN"/>
              </w:rPr>
              <w:t>并于</w:t>
            </w:r>
            <w:r>
              <w:rPr>
                <w:rFonts w:hint="eastAsia" w:ascii="仿宋_GB2312" w:hAnsi="仿宋_GB2312" w:eastAsia="仿宋_GB2312" w:cs="仿宋_GB2312"/>
                <w:sz w:val="20"/>
                <w:szCs w:val="18"/>
                <w:highlight w:val="none"/>
                <w:lang w:eastAsia="zh-CN"/>
              </w:rPr>
              <w:t>提前结束或延长产品</w:t>
            </w:r>
            <w:r>
              <w:rPr>
                <w:rFonts w:hint="eastAsia" w:ascii="仿宋_GB2312" w:hAnsi="仿宋_GB2312" w:eastAsia="仿宋_GB2312" w:cs="仿宋_GB2312"/>
                <w:sz w:val="20"/>
                <w:szCs w:val="18"/>
                <w:highlight w:val="none"/>
                <w:lang w:val="en-US" w:eastAsia="zh-CN"/>
              </w:rPr>
              <w:t>募集之日前</w:t>
            </w:r>
            <w:r>
              <w:rPr>
                <w:rFonts w:hint="eastAsia" w:ascii="仿宋_GB2312" w:hAnsi="仿宋_GB2312" w:eastAsia="仿宋_GB2312" w:cs="仿宋_GB2312"/>
                <w:sz w:val="20"/>
                <w:szCs w:val="18"/>
                <w:highlight w:val="none"/>
                <w:u w:val="none"/>
                <w:lang w:val="en-US" w:eastAsia="zh-CN"/>
              </w:rPr>
              <w:t>3个工作日</w:t>
            </w:r>
            <w:r>
              <w:rPr>
                <w:rFonts w:hint="eastAsia" w:ascii="仿宋_GB2312" w:hAnsi="仿宋_GB2312" w:eastAsia="仿宋_GB2312" w:cs="仿宋_GB2312"/>
                <w:sz w:val="20"/>
                <w:szCs w:val="18"/>
                <w:highlight w:val="none"/>
                <w:lang w:val="en-US" w:eastAsia="zh-CN"/>
              </w:rPr>
              <w:t>通过贵阳农商银行官方网站等渠道公布</w:t>
            </w:r>
            <w:r>
              <w:rPr>
                <w:rFonts w:hint="eastAsia" w:ascii="仿宋_GB2312" w:hAnsi="仿宋_GB2312" w:eastAsia="仿宋_GB2312" w:cs="仿宋_GB2312"/>
                <w:sz w:val="20"/>
                <w:szCs w:val="18"/>
                <w:highlight w:val="none"/>
                <w:lang w:eastAsia="zh-CN"/>
              </w:rPr>
              <w:t>。</w:t>
            </w:r>
          </w:p>
        </w:tc>
      </w:tr>
      <w:tr w14:paraId="25CE4DA2">
        <w:tblPrEx>
          <w:tblCellMar>
            <w:top w:w="0" w:type="dxa"/>
            <w:left w:w="0" w:type="dxa"/>
            <w:bottom w:w="0" w:type="dxa"/>
            <w:right w:w="0" w:type="dxa"/>
          </w:tblCellMar>
        </w:tblPrEx>
        <w:trPr>
          <w:trHeight w:val="79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535BF1">
            <w:pPr>
              <w:pStyle w:val="18"/>
              <w:jc w:val="center"/>
              <w:rPr>
                <w:rFonts w:hint="eastAsia" w:ascii="仿宋_GB2312" w:hAnsi="Times New Roman" w:eastAsia="仿宋_GB2312" w:cs="Times New Roman"/>
                <w:color w:val="auto"/>
                <w:sz w:val="20"/>
                <w:szCs w:val="18"/>
                <w:highlight w:val="none"/>
                <w:lang w:val="en-US" w:eastAsia="zh-CN" w:bidi="ar-SA"/>
              </w:rPr>
            </w:pPr>
            <w:r>
              <w:rPr>
                <w:rFonts w:hint="eastAsia" w:ascii="仿宋_GB2312" w:eastAsia="仿宋_GB2312" w:cs="Times New Roman" w:hAnsiTheme="minorEastAsia"/>
                <w:color w:val="auto"/>
                <w:sz w:val="20"/>
                <w:szCs w:val="18"/>
                <w:highlight w:val="none"/>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4EBC68A3">
            <w:pPr>
              <w:pStyle w:val="18"/>
              <w:ind w:left="11" w:right="89" w:firstLine="93"/>
              <w:jc w:val="center"/>
              <w:rPr>
                <w:rFonts w:hint="eastAsia" w:ascii="仿宋_GB2312" w:hAnsi="仿宋_GB2312" w:eastAsia="仿宋_GB2312" w:cs="仿宋_GB2312"/>
                <w:color w:val="auto"/>
                <w:sz w:val="20"/>
                <w:szCs w:val="20"/>
                <w:highlight w:val="none"/>
                <w:u w:val="none"/>
                <w:lang w:eastAsia="zh-CN"/>
              </w:rPr>
            </w:pPr>
            <w:r>
              <w:rPr>
                <w:rFonts w:hint="eastAsia" w:ascii="仿宋_GB2312" w:hAnsi="仿宋_GB2312" w:eastAsia="仿宋_GB2312" w:cs="仿宋_GB2312"/>
                <w:b/>
                <w:bCs/>
                <w:color w:val="auto"/>
                <w:sz w:val="20"/>
                <w:szCs w:val="20"/>
                <w:highlight w:val="none"/>
                <w:u w:val="none"/>
                <w:lang w:val="en-US" w:eastAsia="zh-CN"/>
              </w:rPr>
              <w:t>2025</w:t>
            </w:r>
            <w:r>
              <w:rPr>
                <w:rFonts w:hint="eastAsia" w:ascii="仿宋_GB2312" w:hAnsi="仿宋_GB2312" w:eastAsia="仿宋_GB2312" w:cs="仿宋_GB2312"/>
                <w:color w:val="auto"/>
                <w:sz w:val="20"/>
                <w:szCs w:val="20"/>
                <w:highlight w:val="none"/>
                <w:u w:val="none"/>
                <w:lang w:eastAsia="zh-CN"/>
              </w:rPr>
              <w:t>年</w:t>
            </w:r>
            <w:r>
              <w:rPr>
                <w:rFonts w:hint="eastAsia" w:ascii="仿宋_GB2312" w:hAnsi="仿宋_GB2312" w:eastAsia="仿宋_GB2312" w:cs="仿宋_GB2312"/>
                <w:b/>
                <w:bCs/>
                <w:color w:val="auto"/>
                <w:sz w:val="20"/>
                <w:szCs w:val="20"/>
                <w:highlight w:val="none"/>
                <w:u w:val="none"/>
                <w:lang w:val="en-US" w:eastAsia="zh-CN"/>
              </w:rPr>
              <w:t>1</w:t>
            </w:r>
            <w:r>
              <w:rPr>
                <w:rFonts w:hint="eastAsia" w:ascii="仿宋_GB2312" w:hAnsi="仿宋_GB2312" w:eastAsia="仿宋_GB2312" w:cs="仿宋_GB2312"/>
                <w:color w:val="auto"/>
                <w:sz w:val="20"/>
                <w:szCs w:val="20"/>
                <w:highlight w:val="none"/>
                <w:u w:val="none"/>
                <w:lang w:eastAsia="zh-CN"/>
              </w:rPr>
              <w:t>月</w:t>
            </w:r>
            <w:r>
              <w:rPr>
                <w:rFonts w:hint="eastAsia" w:ascii="仿宋_GB2312" w:hAnsi="仿宋_GB2312" w:eastAsia="仿宋_GB2312" w:cs="仿宋_GB2312"/>
                <w:b/>
                <w:bCs/>
                <w:color w:val="auto"/>
                <w:sz w:val="20"/>
                <w:szCs w:val="20"/>
                <w:highlight w:val="none"/>
                <w:u w:val="none"/>
                <w:lang w:val="en-US" w:eastAsia="zh-CN"/>
              </w:rPr>
              <w:t>16</w:t>
            </w:r>
            <w:r>
              <w:rPr>
                <w:rFonts w:hint="eastAsia" w:ascii="仿宋_GB2312" w:hAnsi="仿宋_GB2312" w:eastAsia="仿宋_GB2312" w:cs="仿宋_GB2312"/>
                <w:color w:val="auto"/>
                <w:sz w:val="20"/>
                <w:szCs w:val="20"/>
                <w:highlight w:val="none"/>
                <w:u w:val="none"/>
                <w:lang w:eastAsia="zh-CN"/>
              </w:rPr>
              <w:t>日</w:t>
            </w:r>
          </w:p>
          <w:p w14:paraId="0A37D863">
            <w:pPr>
              <w:pStyle w:val="18"/>
              <w:ind w:left="0" w:right="89" w:firstLine="0"/>
              <w:jc w:val="center"/>
              <w:rPr>
                <w:rFonts w:hint="eastAsia" w:ascii="仿宋_GB2312" w:cs="Times New Roman" w:hAnsiTheme="minorEastAsia" w:eastAsiaTheme="minorEastAsia"/>
                <w:color w:val="auto"/>
                <w:sz w:val="20"/>
                <w:szCs w:val="18"/>
                <w:highlight w:val="none"/>
                <w:lang w:val="en-US" w:eastAsia="zh-CN" w:bidi="ar-SA"/>
              </w:rPr>
            </w:pPr>
            <w:r>
              <w:rPr>
                <w:rFonts w:hint="eastAsia" w:ascii="仿宋_GB2312" w:hAnsi="仿宋_GB2312" w:eastAsia="仿宋_GB2312" w:cs="仿宋_GB2312"/>
                <w:sz w:val="20"/>
                <w:szCs w:val="18"/>
                <w:highlight w:val="none"/>
                <w:lang w:val="en-US" w:eastAsia="zh-CN"/>
              </w:rPr>
              <w:t>若产品募集期缩短或延长，产品成立日以公告为准</w:t>
            </w:r>
            <w:r>
              <w:rPr>
                <w:rFonts w:hint="eastAsia" w:ascii="仿宋_GB2312" w:hAnsi="仿宋_GB2312" w:eastAsia="仿宋_GB2312" w:cs="仿宋_GB2312"/>
                <w:sz w:val="20"/>
                <w:szCs w:val="18"/>
                <w:highlight w:val="none"/>
                <w:lang w:eastAsia="zh-CN"/>
              </w:rPr>
              <w:t>。</w:t>
            </w:r>
          </w:p>
        </w:tc>
      </w:tr>
      <w:tr w14:paraId="05190378">
        <w:tblPrEx>
          <w:tblCellMar>
            <w:top w:w="0" w:type="dxa"/>
            <w:left w:w="0" w:type="dxa"/>
            <w:bottom w:w="0" w:type="dxa"/>
            <w:right w:w="0" w:type="dxa"/>
          </w:tblCellMar>
        </w:tblPrEx>
        <w:trPr>
          <w:trHeight w:val="96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63A5BDD">
            <w:pPr>
              <w:pStyle w:val="18"/>
              <w:jc w:val="center"/>
              <w:rPr>
                <w:rFonts w:hint="eastAsia" w:ascii="仿宋_GB2312" w:hAnsi="Times New Roman" w:eastAsia="仿宋_GB2312" w:cs="Times New Roman"/>
                <w:color w:val="auto"/>
                <w:sz w:val="20"/>
                <w:szCs w:val="18"/>
                <w:highlight w:val="none"/>
                <w:lang w:val="en-US" w:eastAsia="zh-CN" w:bidi="ar-SA"/>
              </w:rPr>
            </w:pPr>
            <w:r>
              <w:rPr>
                <w:rFonts w:hint="eastAsia" w:ascii="仿宋_GB2312" w:eastAsia="仿宋_GB2312" w:cs="Times New Roman" w:hAnsiTheme="minorEastAsia"/>
                <w:color w:val="auto"/>
                <w:sz w:val="20"/>
                <w:szCs w:val="18"/>
                <w:highlight w:val="none"/>
                <w:lang w:eastAsia="zh-CN"/>
              </w:rPr>
              <w:t>开放</w:t>
            </w:r>
            <w:r>
              <w:rPr>
                <w:rFonts w:hint="eastAsia" w:ascii="仿宋_GB2312" w:eastAsia="仿宋_GB2312" w:cs="Times New Roman" w:hAnsiTheme="minorEastAsia"/>
                <w:color w:val="auto"/>
                <w:sz w:val="20"/>
                <w:szCs w:val="18"/>
                <w:highlight w:val="none"/>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3928086">
            <w:pPr>
              <w:pStyle w:val="18"/>
              <w:ind w:left="0" w:leftChars="0"/>
              <w:rPr>
                <w:rFonts w:hint="eastAsia" w:ascii="仿宋_GB2312" w:hAnsi="Times New Roman" w:eastAsia="仿宋_GB2312" w:cs="Times New Roman"/>
                <w:color w:val="auto"/>
                <w:sz w:val="20"/>
                <w:szCs w:val="18"/>
                <w:highlight w:val="none"/>
                <w:lang w:val="en-US" w:eastAsia="zh-CN" w:bidi="ar-SA"/>
              </w:rPr>
            </w:pPr>
            <w:r>
              <w:rPr>
                <w:rFonts w:hint="eastAsia" w:ascii="仿宋_GB2312" w:eastAsia="仿宋_GB2312" w:cs="Times New Roman" w:hAnsiTheme="minorEastAsia"/>
                <w:b w:val="0"/>
                <w:bCs w:val="0"/>
                <w:color w:val="auto"/>
                <w:kern w:val="0"/>
                <w:sz w:val="20"/>
                <w:szCs w:val="18"/>
                <w:highlight w:val="none"/>
                <w:lang w:val="en-US" w:eastAsia="zh-CN" w:bidi="ar-SA"/>
              </w:rPr>
              <w:t>本理财产品存续期内，每日为理财产品的开放期，投资者可在开放期提交申购/赎回申请，管理人仅在开放日对申购/赎回申请进行确认，具体确认日期以申购/赎回确认日规则为准</w:t>
            </w:r>
            <w:r>
              <w:rPr>
                <w:rFonts w:hint="eastAsia" w:ascii="仿宋_GB2312" w:eastAsia="仿宋_GB2312" w:cs="Times New Roman" w:hAnsiTheme="minorEastAsia"/>
                <w:color w:val="auto"/>
                <w:kern w:val="0"/>
                <w:sz w:val="20"/>
                <w:szCs w:val="18"/>
                <w:highlight w:val="none"/>
                <w:lang w:val="en-US" w:eastAsia="zh-CN" w:bidi="ar-SA"/>
              </w:rPr>
              <w:t>。</w:t>
            </w:r>
          </w:p>
        </w:tc>
      </w:tr>
      <w:tr w14:paraId="4727024F">
        <w:tblPrEx>
          <w:tblCellMar>
            <w:top w:w="0" w:type="dxa"/>
            <w:left w:w="0" w:type="dxa"/>
            <w:bottom w:w="0" w:type="dxa"/>
            <w:right w:w="0" w:type="dxa"/>
          </w:tblCellMar>
        </w:tblPrEx>
        <w:trPr>
          <w:trHeight w:val="23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00BC7D">
            <w:pPr>
              <w:pStyle w:val="18"/>
              <w:jc w:val="center"/>
              <w:rPr>
                <w:rFonts w:hint="eastAsia" w:ascii="仿宋_GB2312" w:eastAsia="仿宋_GB2312" w:cs="Times New Roman" w:hAnsiTheme="minorEastAsia"/>
                <w:color w:val="auto"/>
                <w:sz w:val="20"/>
                <w:szCs w:val="18"/>
                <w:highlight w:val="none"/>
              </w:rPr>
            </w:pPr>
            <w:r>
              <w:rPr>
                <w:rFonts w:hint="eastAsia" w:ascii="仿宋_GB2312" w:eastAsia="仿宋_GB2312" w:cs="Times New Roman" w:hAnsiTheme="minorEastAsia"/>
                <w:b w:val="0"/>
                <w:bCs w:val="0"/>
                <w:color w:val="auto"/>
                <w:kern w:val="0"/>
                <w:sz w:val="20"/>
                <w:szCs w:val="18"/>
                <w:highlight w:val="none"/>
                <w:lang w:val="en-US" w:eastAsia="zh-CN" w:bidi="ar"/>
              </w:rPr>
              <w:t>开放日及开放时间</w:t>
            </w:r>
          </w:p>
        </w:tc>
        <w:tc>
          <w:tcPr>
            <w:tcW w:w="6946" w:type="dxa"/>
            <w:tcBorders>
              <w:top w:val="single" w:color="000000" w:sz="4" w:space="0"/>
              <w:left w:val="single" w:color="000000" w:sz="4" w:space="0"/>
              <w:bottom w:val="single" w:color="000000" w:sz="4" w:space="0"/>
              <w:right w:val="single" w:color="000000" w:sz="12" w:space="0"/>
            </w:tcBorders>
            <w:vAlign w:val="center"/>
          </w:tcPr>
          <w:p w14:paraId="249F4941">
            <w:pPr>
              <w:pStyle w:val="18"/>
              <w:ind w:left="0"/>
              <w:jc w:val="both"/>
              <w:rPr>
                <w:rFonts w:hint="default" w:ascii="仿宋_GB2312" w:hAnsi="Times New Roman" w:eastAsia="仿宋_GB2312" w:cs="Times New Roman"/>
                <w:b w:val="0"/>
                <w:bCs w:val="0"/>
                <w:color w:val="auto"/>
                <w:kern w:val="0"/>
                <w:sz w:val="20"/>
                <w:szCs w:val="18"/>
                <w:highlight w:val="none"/>
                <w:lang w:val="en-US" w:eastAsia="zh-CN" w:bidi="ar"/>
              </w:rPr>
            </w:pPr>
            <w:r>
              <w:rPr>
                <w:rFonts w:hint="eastAsia" w:ascii="仿宋_GB2312" w:hAnsi="Times New Roman" w:eastAsia="仿宋_GB2312" w:cs="Times New Roman"/>
                <w:b w:val="0"/>
                <w:bCs w:val="0"/>
                <w:color w:val="auto"/>
                <w:kern w:val="0"/>
                <w:sz w:val="20"/>
                <w:szCs w:val="18"/>
                <w:highlight w:val="none"/>
                <w:lang w:val="en-US" w:eastAsia="zh-CN" w:bidi="ar"/>
              </w:rPr>
              <w:t>1.本理财产品成立后的每个工作日为申购、赎回开放日。投资者可在开放日的 00:00-15:00（不含）进行申购与赎回,并仅可对当日开放时间内提交的申购或赎回申请进行撤销。管理人在开放日按申购/赎回规则对投资者的申购、赎回申请进行确认。</w:t>
            </w:r>
          </w:p>
          <w:p w14:paraId="729CD1D7">
            <w:pPr>
              <w:pStyle w:val="18"/>
              <w:jc w:val="both"/>
              <w:rPr>
                <w:rFonts w:hint="eastAsia" w:ascii="仿宋_GB2312" w:hAnsi="Times New Roman" w:eastAsia="仿宋_GB2312" w:cs="Times New Roman"/>
                <w:b w:val="0"/>
                <w:bCs w:val="0"/>
                <w:color w:val="auto"/>
                <w:kern w:val="0"/>
                <w:sz w:val="20"/>
                <w:szCs w:val="18"/>
                <w:highlight w:val="none"/>
                <w:lang w:val="en-US" w:eastAsia="zh-CN" w:bidi="ar"/>
              </w:rPr>
            </w:pPr>
            <w:r>
              <w:rPr>
                <w:rFonts w:hint="eastAsia" w:ascii="仿宋_GB2312" w:hAnsi="Times New Roman" w:eastAsia="仿宋_GB2312" w:cs="Times New Roman"/>
                <w:b w:val="0"/>
                <w:bCs w:val="0"/>
                <w:color w:val="auto"/>
                <w:kern w:val="0"/>
                <w:sz w:val="20"/>
                <w:szCs w:val="18"/>
                <w:highlight w:val="none"/>
                <w:lang w:val="en-US" w:eastAsia="zh-CN" w:bidi="ar"/>
              </w:rPr>
              <w:t>2.投资者在非开放时间提出的申购或赎回申请,至下一开放时间未撤销则转为正式申购或赎回申请。</w:t>
            </w:r>
          </w:p>
          <w:p w14:paraId="71C053A0">
            <w:pPr>
              <w:pStyle w:val="18"/>
              <w:jc w:val="both"/>
              <w:rPr>
                <w:rFonts w:hint="default" w:ascii="仿宋_GB2312" w:hAnsi="Times New Roman" w:eastAsia="仿宋_GB2312" w:cs="Times New Roman"/>
                <w:b w:val="0"/>
                <w:bCs w:val="0"/>
                <w:color w:val="auto"/>
                <w:kern w:val="0"/>
                <w:sz w:val="20"/>
                <w:szCs w:val="18"/>
                <w:highlight w:val="none"/>
                <w:lang w:val="en-US" w:eastAsia="zh-CN" w:bidi="ar"/>
              </w:rPr>
            </w:pPr>
            <w:r>
              <w:rPr>
                <w:rFonts w:hint="eastAsia" w:ascii="仿宋_GB2312" w:hAnsi="Times New Roman" w:eastAsia="仿宋_GB2312" w:cs="Times New Roman"/>
                <w:b w:val="0"/>
                <w:bCs w:val="0"/>
                <w:color w:val="auto"/>
                <w:kern w:val="0"/>
                <w:sz w:val="20"/>
                <w:szCs w:val="18"/>
                <w:highlight w:val="none"/>
                <w:lang w:val="en-US" w:eastAsia="zh-CN" w:bidi="ar"/>
              </w:rPr>
              <w:t>3.如发生市场情况变化、服务投资者需要等情形,产品管理人可以在发布信息披露后临时调整本产品申购、赎回的开放时间。</w:t>
            </w:r>
          </w:p>
        </w:tc>
      </w:tr>
      <w:tr w14:paraId="6378CAB6">
        <w:tblPrEx>
          <w:tblCellMar>
            <w:top w:w="0" w:type="dxa"/>
            <w:left w:w="0" w:type="dxa"/>
            <w:bottom w:w="0" w:type="dxa"/>
            <w:right w:w="0" w:type="dxa"/>
          </w:tblCellMar>
        </w:tblPrEx>
        <w:trPr>
          <w:trHeight w:val="116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A71159">
            <w:pPr>
              <w:pStyle w:val="18"/>
              <w:jc w:val="center"/>
              <w:rPr>
                <w:rFonts w:hint="eastAsia" w:ascii="仿宋_GB2312" w:hAnsi="Times New Roman" w:eastAsia="仿宋_GB2312" w:cs="Times New Roman"/>
                <w:color w:val="auto"/>
                <w:sz w:val="20"/>
                <w:szCs w:val="18"/>
                <w:highlight w:val="none"/>
                <w:lang w:val="en-US" w:eastAsia="zh-CN" w:bidi="ar-SA"/>
              </w:rPr>
            </w:pPr>
            <w:r>
              <w:rPr>
                <w:rFonts w:hint="eastAsia" w:ascii="仿宋_GB2312" w:eastAsia="仿宋_GB2312" w:cs="Times New Roman" w:hAnsiTheme="minorEastAsia"/>
                <w:color w:val="auto"/>
                <w:sz w:val="20"/>
                <w:szCs w:val="18"/>
                <w:highlight w:val="none"/>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D339B76">
            <w:pPr>
              <w:pStyle w:val="18"/>
              <w:adjustRightInd w:val="0"/>
              <w:snapToGrid w:val="0"/>
              <w:ind w:right="89"/>
              <w:jc w:val="both"/>
              <w:rPr>
                <w:rFonts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eastAsia="zh-CN"/>
              </w:rPr>
              <w:t>1.</w:t>
            </w:r>
            <w:r>
              <w:rPr>
                <w:rFonts w:hint="eastAsia" w:ascii="仿宋_GB2312" w:eastAsia="仿宋_GB2312" w:cs="Times New Roman" w:hAnsiTheme="minorEastAsia"/>
                <w:b/>
                <w:bCs/>
                <w:color w:val="auto"/>
                <w:sz w:val="20"/>
                <w:szCs w:val="18"/>
                <w:highlight w:val="none"/>
                <w:lang w:val="en-US" w:eastAsia="zh-CN"/>
              </w:rPr>
              <w:t>产品无固定存续期</w:t>
            </w:r>
            <w:r>
              <w:rPr>
                <w:rFonts w:hint="eastAsia" w:ascii="仿宋_GB2312" w:eastAsia="仿宋_GB2312" w:cs="Times New Roman" w:hAnsiTheme="minorEastAsia"/>
                <w:b/>
                <w:bCs/>
                <w:color w:val="auto"/>
                <w:sz w:val="20"/>
                <w:szCs w:val="18"/>
                <w:highlight w:val="none"/>
                <w:lang w:eastAsia="zh-CN"/>
              </w:rPr>
              <w:t>，</w:t>
            </w:r>
            <w:r>
              <w:rPr>
                <w:rFonts w:hint="eastAsia" w:ascii="仿宋_GB2312" w:hAnsi="仿宋_GB2312" w:eastAsia="仿宋_GB2312" w:cs="仿宋_GB2312"/>
                <w:b/>
                <w:bCs/>
                <w:sz w:val="20"/>
                <w:szCs w:val="18"/>
                <w:highlight w:val="none"/>
                <w:lang w:val="en-US" w:eastAsia="zh-CN"/>
              </w:rPr>
              <w:t>但</w:t>
            </w:r>
            <w:r>
              <w:rPr>
                <w:rFonts w:hint="eastAsia" w:ascii="仿宋_GB2312" w:hAnsi="仿宋_GB2312" w:eastAsia="仿宋_GB2312" w:cs="仿宋_GB2312"/>
                <w:b/>
                <w:bCs/>
                <w:sz w:val="20"/>
                <w:szCs w:val="18"/>
                <w:lang w:eastAsia="zh-CN"/>
              </w:rPr>
              <w:t>实际产品</w:t>
            </w:r>
            <w:r>
              <w:rPr>
                <w:rFonts w:hint="eastAsia" w:ascii="仿宋_GB2312" w:hAnsi="仿宋_GB2312" w:eastAsia="仿宋_GB2312" w:cs="仿宋_GB2312"/>
                <w:b/>
                <w:bCs/>
                <w:sz w:val="20"/>
                <w:szCs w:val="18"/>
                <w:lang w:val="en-US" w:eastAsia="zh-CN"/>
              </w:rPr>
              <w:t>到期日</w:t>
            </w:r>
            <w:r>
              <w:rPr>
                <w:rFonts w:hint="eastAsia" w:ascii="仿宋_GB2312" w:hAnsi="仿宋_GB2312" w:eastAsia="仿宋_GB2312" w:cs="仿宋_GB2312"/>
                <w:b/>
                <w:bCs/>
                <w:sz w:val="20"/>
                <w:szCs w:val="18"/>
                <w:lang w:eastAsia="zh-CN"/>
              </w:rPr>
              <w:t>受制于提前终止</w:t>
            </w:r>
            <w:r>
              <w:rPr>
                <w:rFonts w:hint="eastAsia" w:ascii="仿宋_GB2312" w:hAnsi="仿宋_GB2312" w:eastAsia="仿宋_GB2312" w:cs="仿宋_GB2312"/>
                <w:b/>
                <w:bCs/>
                <w:sz w:val="20"/>
                <w:szCs w:val="18"/>
                <w:highlight w:val="none"/>
                <w:lang w:val="en-US" w:eastAsia="zh-CN"/>
              </w:rPr>
              <w:t>情形</w:t>
            </w:r>
            <w:r>
              <w:rPr>
                <w:rFonts w:hint="eastAsia" w:ascii="仿宋_GB2312" w:hAnsi="仿宋_GB2312" w:eastAsia="仿宋_GB2312" w:cs="仿宋_GB2312"/>
                <w:b/>
                <w:bCs/>
                <w:sz w:val="20"/>
                <w:szCs w:val="18"/>
                <w:lang w:eastAsia="zh-CN"/>
              </w:rPr>
              <w:t>。</w:t>
            </w:r>
          </w:p>
          <w:p w14:paraId="4F636206">
            <w:pPr>
              <w:pStyle w:val="18"/>
              <w:ind w:right="29" w:rightChars="0"/>
              <w:rPr>
                <w:rFonts w:hint="eastAsia" w:ascii="仿宋_GB2312" w:hAnsi="Times New Roman" w:eastAsia="仿宋_GB2312" w:cs="Times New Roman"/>
                <w:color w:val="auto"/>
                <w:sz w:val="20"/>
                <w:szCs w:val="18"/>
                <w:highlight w:val="none"/>
                <w:lang w:val="en-US" w:eastAsia="zh-CN" w:bidi="ar-SA"/>
              </w:rPr>
            </w:pPr>
            <w:r>
              <w:rPr>
                <w:rFonts w:hint="eastAsia" w:ascii="仿宋_GB2312" w:eastAsia="仿宋_GB2312" w:cs="Times New Roman" w:hAnsiTheme="minorEastAsia"/>
                <w:color w:val="auto"/>
                <w:sz w:val="20"/>
                <w:szCs w:val="18"/>
                <w:highlight w:val="none"/>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color w:val="auto"/>
                <w:sz w:val="20"/>
                <w:szCs w:val="18"/>
                <w:highlight w:val="none"/>
                <w:u w:val="none"/>
                <w:lang w:val="en-US" w:eastAsia="zh-CN"/>
              </w:rPr>
              <w:t>3</w:t>
            </w:r>
            <w:r>
              <w:rPr>
                <w:rFonts w:hint="eastAsia" w:ascii="仿宋_GB2312" w:eastAsia="仿宋_GB2312" w:cs="Times New Roman" w:hAnsiTheme="minorEastAsia"/>
                <w:color w:val="auto"/>
                <w:sz w:val="20"/>
                <w:szCs w:val="18"/>
                <w:highlight w:val="none"/>
                <w:lang w:eastAsia="zh-CN"/>
              </w:rPr>
              <w:t>个工作日</w:t>
            </w:r>
            <w:r>
              <w:rPr>
                <w:rFonts w:hint="eastAsia" w:ascii="仿宋_GB2312" w:eastAsia="仿宋_GB2312" w:cs="Times New Roman" w:hAnsiTheme="minorEastAsia"/>
                <w:color w:val="auto"/>
                <w:sz w:val="20"/>
                <w:szCs w:val="18"/>
                <w:highlight w:val="none"/>
                <w:lang w:val="en-US" w:eastAsia="zh-CN"/>
              </w:rPr>
              <w:t>内通过贵阳农商银行官方网站</w:t>
            </w:r>
            <w:r>
              <w:rPr>
                <w:rFonts w:hint="eastAsia" w:ascii="仿宋_GB2312" w:eastAsia="仿宋_GB2312" w:cs="Times New Roman" w:hAnsiTheme="minorEastAsia"/>
                <w:b w:val="0"/>
                <w:bCs w:val="0"/>
                <w:color w:val="auto"/>
                <w:sz w:val="20"/>
                <w:szCs w:val="18"/>
                <w:highlight w:val="none"/>
                <w:lang w:val="en-US" w:eastAsia="zh-CN"/>
              </w:rPr>
              <w:t>等渠道</w:t>
            </w:r>
            <w:r>
              <w:rPr>
                <w:rFonts w:hint="eastAsia" w:ascii="仿宋_GB2312" w:eastAsia="仿宋_GB2312" w:cs="Times New Roman" w:hAnsiTheme="minorEastAsia"/>
                <w:color w:val="auto"/>
                <w:sz w:val="20"/>
                <w:szCs w:val="18"/>
                <w:highlight w:val="none"/>
                <w:lang w:val="en-US" w:eastAsia="zh-CN"/>
              </w:rPr>
              <w:t>公布</w:t>
            </w:r>
            <w:r>
              <w:rPr>
                <w:rFonts w:hint="eastAsia" w:ascii="仿宋_GB2312" w:eastAsia="仿宋_GB2312" w:cs="Times New Roman" w:hAnsiTheme="minorEastAsia"/>
                <w:color w:val="auto"/>
                <w:sz w:val="20"/>
                <w:szCs w:val="18"/>
                <w:highlight w:val="none"/>
                <w:lang w:eastAsia="zh-CN"/>
              </w:rPr>
              <w:t>。</w:t>
            </w:r>
          </w:p>
        </w:tc>
      </w:tr>
      <w:tr w14:paraId="61BCE0FC">
        <w:tblPrEx>
          <w:tblCellMar>
            <w:top w:w="0" w:type="dxa"/>
            <w:left w:w="0" w:type="dxa"/>
            <w:bottom w:w="0" w:type="dxa"/>
            <w:right w:w="0" w:type="dxa"/>
          </w:tblCellMar>
        </w:tblPrEx>
        <w:trPr>
          <w:trHeight w:val="48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98B756B">
            <w:pPr>
              <w:pStyle w:val="18"/>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eastAsia="zh-CN"/>
              </w:rPr>
              <w:t>认购规则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3407058">
            <w:pPr>
              <w:keepNext w:val="0"/>
              <w:keepLines w:val="0"/>
              <w:widowControl/>
              <w:numPr>
                <w:ilvl w:val="0"/>
                <w:numId w:val="0"/>
              </w:numPr>
              <w:suppressLineNumbers w:val="0"/>
              <w:tabs>
                <w:tab w:val="left" w:pos="433"/>
              </w:tabs>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1.认购规则：</w:t>
            </w:r>
          </w:p>
          <w:p w14:paraId="162CF365">
            <w:pPr>
              <w:keepNext w:val="0"/>
              <w:keepLines w:val="0"/>
              <w:widowControl/>
              <w:numPr>
                <w:ilvl w:val="-1"/>
                <w:numId w:val="0"/>
              </w:numPr>
              <w:suppressLineNumbers w:val="0"/>
              <w:tabs>
                <w:tab w:val="left" w:pos="433"/>
              </w:tabs>
              <w:jc w:val="both"/>
              <w:rPr>
                <w:rFonts w:hint="default"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val="0"/>
                <w:bCs w:val="0"/>
                <w:color w:val="auto"/>
                <w:sz w:val="20"/>
                <w:highlight w:val="none"/>
                <w:lang w:val="en-US" w:eastAsia="zh-CN"/>
              </w:rPr>
              <w:t>（1）投资者提出认购申请时，实时冻结认购资金，认购申请</w:t>
            </w:r>
            <w:r>
              <w:rPr>
                <w:rFonts w:hint="eastAsia" w:ascii="仿宋_GB2312" w:hAnsi="仿宋_GB2312" w:eastAsia="仿宋_GB2312" w:cs="仿宋_GB2312"/>
                <w:color w:val="auto"/>
                <w:kern w:val="0"/>
                <w:sz w:val="20"/>
                <w:szCs w:val="20"/>
                <w:highlight w:val="none"/>
                <w:lang w:val="en-US" w:eastAsia="zh-CN" w:bidi="ar"/>
              </w:rPr>
              <w:t>于募集期最后一日</w:t>
            </w:r>
            <w:r>
              <w:rPr>
                <w:rFonts w:hint="eastAsia" w:ascii="仿宋_GB2312" w:hAnsi="仿宋_GB2312" w:eastAsia="仿宋_GB2312" w:cs="仿宋_GB2312"/>
                <w:color w:val="auto"/>
                <w:sz w:val="20"/>
                <w:szCs w:val="18"/>
                <w:highlight w:val="none"/>
                <w:u w:val="none"/>
                <w:lang w:val="en-US" w:eastAsia="zh-CN"/>
              </w:rPr>
              <w:t>15:00</w:t>
            </w:r>
            <w:r>
              <w:rPr>
                <w:rFonts w:hint="eastAsia" w:ascii="仿宋_GB2312" w:hAnsi="仿宋_GB2312" w:eastAsia="仿宋_GB2312" w:cs="仿宋_GB2312"/>
                <w:color w:val="auto"/>
                <w:kern w:val="0"/>
                <w:sz w:val="20"/>
                <w:szCs w:val="20"/>
                <w:highlight w:val="none"/>
                <w:lang w:val="en-US" w:eastAsia="zh-CN" w:bidi="ar"/>
              </w:rPr>
              <w:t>（不含）前可以撤销。</w:t>
            </w:r>
          </w:p>
          <w:p w14:paraId="0BC5D71D">
            <w:pPr>
              <w:keepNext w:val="0"/>
              <w:keepLines w:val="0"/>
              <w:widowControl/>
              <w:numPr>
                <w:ilvl w:val="0"/>
                <w:numId w:val="0"/>
              </w:numPr>
              <w:suppressLineNumbers w:val="0"/>
              <w:tabs>
                <w:tab w:val="left" w:pos="433"/>
              </w:tabs>
              <w:ind w:leftChars="0"/>
              <w:jc w:val="both"/>
              <w:rPr>
                <w:rFonts w:hint="eastAsia" w:ascii="仿宋_GB2312" w:hAnsi="仿宋_GB2312" w:eastAsia="仿宋_GB2312" w:cs="仿宋_GB2312"/>
                <w:b w:val="0"/>
                <w:bCs w:val="0"/>
                <w:color w:val="auto"/>
                <w:sz w:val="20"/>
                <w:highlight w:val="none"/>
                <w:lang w:val="en-US" w:eastAsia="zh-CN"/>
              </w:rPr>
            </w:pPr>
            <w:r>
              <w:rPr>
                <w:rFonts w:hint="eastAsia" w:ascii="仿宋_GB2312" w:hAnsi="仿宋_GB2312" w:eastAsia="仿宋_GB2312" w:cs="仿宋_GB2312"/>
                <w:b w:val="0"/>
                <w:bCs w:val="0"/>
                <w:color w:val="auto"/>
                <w:sz w:val="20"/>
                <w:highlight w:val="none"/>
                <w:lang w:val="en-US" w:eastAsia="zh-CN"/>
              </w:rPr>
              <w:t>（2）管理人将于</w:t>
            </w:r>
            <w:r>
              <w:rPr>
                <w:rFonts w:hint="eastAsia" w:ascii="仿宋_GB2312" w:hAnsi="仿宋_GB2312" w:eastAsia="仿宋_GB2312" w:cs="仿宋_GB2312"/>
                <w:color w:val="auto"/>
                <w:kern w:val="0"/>
                <w:sz w:val="20"/>
                <w:szCs w:val="20"/>
                <w:highlight w:val="none"/>
                <w:lang w:val="en-US" w:eastAsia="zh-CN" w:bidi="ar"/>
              </w:rPr>
              <w:t>成立日</w:t>
            </w:r>
            <w:r>
              <w:rPr>
                <w:rFonts w:hint="eastAsia" w:ascii="仿宋_GB2312" w:hAnsi="仿宋_GB2312" w:eastAsia="仿宋_GB2312" w:cs="仿宋_GB2312"/>
                <w:b w:val="0"/>
                <w:bCs w:val="0"/>
                <w:color w:val="auto"/>
                <w:sz w:val="20"/>
                <w:highlight w:val="none"/>
                <w:lang w:val="en-US" w:eastAsia="zh-CN"/>
              </w:rPr>
              <w:t>对未撤销的认购交易有效性进行确认，</w:t>
            </w:r>
            <w:r>
              <w:rPr>
                <w:rFonts w:hint="eastAsia" w:ascii="仿宋_GB2312" w:hAnsi="仿宋_GB2312" w:eastAsia="仿宋_GB2312" w:cs="仿宋_GB2312"/>
                <w:color w:val="auto"/>
                <w:kern w:val="0"/>
                <w:sz w:val="20"/>
                <w:szCs w:val="20"/>
                <w:highlight w:val="none"/>
                <w:lang w:val="en-US" w:eastAsia="zh-CN" w:bidi="ar"/>
              </w:rPr>
              <w:t>登记份额并扣减投资者账户资金，扣划款项成功后投资者认购成功，</w:t>
            </w:r>
            <w:r>
              <w:rPr>
                <w:rFonts w:hint="eastAsia" w:ascii="仿宋_GB2312" w:hAnsi="仿宋_GB2312" w:eastAsia="仿宋_GB2312" w:cs="仿宋_GB2312"/>
                <w:b w:val="0"/>
                <w:bCs w:val="0"/>
                <w:color w:val="auto"/>
                <w:sz w:val="20"/>
                <w:highlight w:val="none"/>
                <w:lang w:val="en-US" w:eastAsia="zh-CN"/>
              </w:rPr>
              <w:t>并以产品管理人确认份额为准。</w:t>
            </w:r>
          </w:p>
          <w:p w14:paraId="24F9DDDC">
            <w:pPr>
              <w:keepNext w:val="0"/>
              <w:keepLines w:val="0"/>
              <w:widowControl/>
              <w:numPr>
                <w:ilvl w:val="0"/>
                <w:numId w:val="0"/>
              </w:numPr>
              <w:suppressLineNumbers w:val="0"/>
              <w:tabs>
                <w:tab w:val="left" w:pos="433"/>
              </w:tabs>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kern w:val="0"/>
                <w:sz w:val="20"/>
                <w:szCs w:val="20"/>
                <w:highlight w:val="none"/>
                <w:lang w:val="en-US" w:eastAsia="zh-CN" w:bidi="ar"/>
              </w:rPr>
              <w:t>2.管理人可拒绝接受或暂停接受投资者认购申请的情形：</w:t>
            </w:r>
          </w:p>
          <w:p w14:paraId="76790190">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当接受认购申请可能对理财产品投资者利益构成潜在重大不利影响时，或者基于投资运作与风险控制需要，产品管理人有权采取拒绝或暂停认购等措施，以及监管机构规定的其他措施，切实保护产品份额持有人的合法权益。</w:t>
            </w:r>
          </w:p>
          <w:p w14:paraId="465D37B3">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发生下列情况时，产品管理人可拒绝或暂停接受投资人的认购申请：</w:t>
            </w:r>
          </w:p>
          <w:p w14:paraId="02AB9E73">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（1）管理人接受某笔或者某些申购申请有可能导致单一投资者持有理财计划份额的比例达到或者超过50%的情形；</w:t>
            </w:r>
          </w:p>
          <w:p w14:paraId="52EABC7B">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（2）当管理人认为某笔认购申请会有损于本产品其他持有人利益时；</w:t>
            </w:r>
          </w:p>
          <w:p w14:paraId="510CA702">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（3）当投资者认购金额将导致单笔认购金额上限、单个投资者持仓上限、计划募集金额上限等各指标超限时，或单笔认购金额不足认购金额起点金额时，管理人有权拒绝投资者的认购申请；</w:t>
            </w:r>
          </w:p>
          <w:p w14:paraId="7AB12A6B">
            <w:pPr>
              <w:pStyle w:val="18"/>
              <w:ind w:right="29" w:rightChars="0"/>
              <w:rPr>
                <w:rFonts w:hint="eastAsia" w:ascii="仿宋_GB2312" w:hAnsi="仿宋_GB2312" w:eastAsia="仿宋_GB2312" w:cs="仿宋_GB2312"/>
                <w:color w:val="auto"/>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（4）法律法规规定或管理人基于审慎考虑认定的其他情形。</w:t>
            </w:r>
          </w:p>
        </w:tc>
      </w:tr>
      <w:tr w14:paraId="1B174236">
        <w:tblPrEx>
          <w:tblCellMar>
            <w:top w:w="0" w:type="dxa"/>
            <w:left w:w="0" w:type="dxa"/>
            <w:bottom w:w="0" w:type="dxa"/>
            <w:right w:w="0" w:type="dxa"/>
          </w:tblCellMar>
        </w:tblPrEx>
        <w:trPr>
          <w:trHeight w:val="81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EBB1250">
            <w:pPr>
              <w:pStyle w:val="18"/>
              <w:jc w:val="center"/>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申购规则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C70C62">
            <w:pPr>
              <w:keepNext w:val="0"/>
              <w:keepLines w:val="0"/>
              <w:widowControl/>
              <w:numPr>
                <w:ilvl w:val="0"/>
                <w:numId w:val="0"/>
              </w:numPr>
              <w:suppressLineNumbers w:val="0"/>
              <w:tabs>
                <w:tab w:val="left" w:pos="433"/>
              </w:tabs>
              <w:jc w:val="both"/>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1.申购规则：</w:t>
            </w:r>
          </w:p>
          <w:p w14:paraId="0B4EE833">
            <w:pPr>
              <w:keepNext w:val="0"/>
              <w:keepLines w:val="0"/>
              <w:widowControl/>
              <w:numPr>
                <w:ilvl w:val="0"/>
                <w:numId w:val="0"/>
              </w:numPr>
              <w:suppressLineNumbers w:val="0"/>
              <w:tabs>
                <w:tab w:val="left" w:pos="433"/>
              </w:tabs>
              <w:jc w:val="both"/>
              <w:rPr>
                <w:rFonts w:hint="eastAsia" w:ascii="仿宋_GB2312" w:hAnsi="仿宋_GB2312" w:eastAsia="仿宋_GB2312" w:cs="仿宋_GB2312"/>
                <w:b w:val="0"/>
                <w:bCs w:val="0"/>
                <w:color w:val="auto"/>
                <w:sz w:val="20"/>
                <w:highlight w:val="none"/>
                <w:lang w:val="en-US" w:eastAsia="zh-CN"/>
              </w:rPr>
            </w:pPr>
            <w:r>
              <w:rPr>
                <w:rFonts w:hint="eastAsia" w:ascii="仿宋_GB2312" w:hAnsi="仿宋_GB2312" w:eastAsia="仿宋_GB2312" w:cs="仿宋_GB2312"/>
                <w:b w:val="0"/>
                <w:bCs w:val="0"/>
                <w:color w:val="auto"/>
                <w:sz w:val="20"/>
                <w:highlight w:val="none"/>
                <w:lang w:val="en-US" w:eastAsia="zh-CN"/>
              </w:rPr>
              <w:t>（1）投资者提出申购申请的时间在开放日15:00（不含）之前，其产品申购申请视为当日（T日）的申购交易；投资者提出申购申请的时间在开放日15:00（含）之后或非工作日，其份额申购申请视为下一开放日（T日）的申购交易。投资者提出申购申请时，实时冻结申购资金。</w:t>
            </w:r>
          </w:p>
          <w:p w14:paraId="4083BA87">
            <w:pPr>
              <w:keepNext w:val="0"/>
              <w:keepLines w:val="0"/>
              <w:widowControl/>
              <w:numPr>
                <w:ilvl w:val="0"/>
                <w:numId w:val="0"/>
              </w:numPr>
              <w:suppressLineNumbers w:val="0"/>
              <w:tabs>
                <w:tab w:val="left" w:pos="433"/>
              </w:tabs>
              <w:ind w:leftChars="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val="0"/>
                <w:bCs w:val="0"/>
                <w:color w:val="auto"/>
                <w:sz w:val="20"/>
                <w:highlight w:val="none"/>
                <w:lang w:val="en-US" w:eastAsia="zh-CN"/>
              </w:rPr>
              <w:t>（2）</w:t>
            </w:r>
            <w:r>
              <w:rPr>
                <w:rFonts w:hint="eastAsia" w:ascii="仿宋_GB2312" w:hAnsi="仿宋_GB2312" w:eastAsia="仿宋_GB2312" w:cs="仿宋_GB2312"/>
                <w:color w:val="auto"/>
                <w:kern w:val="0"/>
                <w:sz w:val="20"/>
                <w:szCs w:val="20"/>
                <w:highlight w:val="none"/>
                <w:lang w:val="en-US" w:eastAsia="zh-CN" w:bidi="ar"/>
              </w:rPr>
              <w:t>该申购申请于T日</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color w:val="auto"/>
                <w:kern w:val="0"/>
                <w:sz w:val="20"/>
                <w:szCs w:val="20"/>
                <w:highlight w:val="none"/>
                <w:lang w:val="en-US" w:eastAsia="zh-CN" w:bidi="ar"/>
              </w:rPr>
              <w:t>（不含）前可以撤销。</w:t>
            </w:r>
          </w:p>
          <w:p w14:paraId="195453DE">
            <w:pPr>
              <w:keepNext w:val="0"/>
              <w:keepLines w:val="0"/>
              <w:widowControl/>
              <w:numPr>
                <w:ilvl w:val="0"/>
                <w:numId w:val="0"/>
              </w:numPr>
              <w:suppressLineNumbers w:val="0"/>
              <w:tabs>
                <w:tab w:val="left" w:pos="433"/>
              </w:tabs>
              <w:ind w:leftChars="0"/>
              <w:jc w:val="both"/>
              <w:rPr>
                <w:rFonts w:hint="eastAsia" w:ascii="仿宋_GB2312" w:hAnsi="仿宋_GB2312" w:eastAsia="仿宋_GB2312" w:cs="仿宋_GB2312"/>
                <w:b w:val="0"/>
                <w:bCs w:val="0"/>
                <w:color w:val="auto"/>
                <w:sz w:val="20"/>
                <w:highlight w:val="none"/>
                <w:lang w:val="en-US" w:eastAsia="zh-CN"/>
              </w:rPr>
            </w:pPr>
            <w:r>
              <w:rPr>
                <w:rFonts w:hint="eastAsia" w:ascii="仿宋_GB2312" w:hAnsi="仿宋_GB2312" w:eastAsia="仿宋_GB2312" w:cs="仿宋_GB2312"/>
                <w:b w:val="0"/>
                <w:bCs w:val="0"/>
                <w:color w:val="auto"/>
                <w:sz w:val="20"/>
                <w:highlight w:val="none"/>
                <w:lang w:val="en-US" w:eastAsia="zh-CN"/>
              </w:rPr>
              <w:t>（3）管理人将于</w:t>
            </w:r>
            <w:r>
              <w:rPr>
                <w:rFonts w:hint="eastAsia" w:ascii="仿宋_GB2312" w:hAnsi="仿宋_GB2312" w:eastAsia="仿宋_GB2312" w:cs="仿宋_GB2312"/>
                <w:color w:val="auto"/>
                <w:kern w:val="0"/>
                <w:sz w:val="20"/>
                <w:szCs w:val="20"/>
                <w:highlight w:val="none"/>
                <w:lang w:val="en-US" w:eastAsia="zh-CN" w:bidi="ar"/>
              </w:rPr>
              <w:t>T日后第1个工作日</w:t>
            </w:r>
            <w:r>
              <w:rPr>
                <w:rFonts w:hint="eastAsia" w:ascii="仿宋_GB2312" w:hAnsi="仿宋_GB2312" w:eastAsia="仿宋_GB2312" w:cs="仿宋_GB2312"/>
                <w:b w:val="0"/>
                <w:bCs w:val="0"/>
                <w:color w:val="auto"/>
                <w:sz w:val="20"/>
                <w:highlight w:val="none"/>
                <w:lang w:val="en-US" w:eastAsia="zh-CN"/>
              </w:rPr>
              <w:t>对未撤销的申购交易有效性进行确认，</w:t>
            </w:r>
            <w:r>
              <w:rPr>
                <w:rFonts w:hint="eastAsia" w:ascii="仿宋_GB2312" w:hAnsi="仿宋_GB2312" w:eastAsia="仿宋_GB2312" w:cs="仿宋_GB2312"/>
                <w:color w:val="auto"/>
                <w:kern w:val="0"/>
                <w:sz w:val="20"/>
                <w:szCs w:val="20"/>
                <w:highlight w:val="none"/>
                <w:lang w:val="en-US" w:eastAsia="zh-CN" w:bidi="ar"/>
              </w:rPr>
              <w:t>登记份额并扣减投资者账户资金，扣划款项成功后投资者申购成功，</w:t>
            </w:r>
            <w:r>
              <w:rPr>
                <w:rFonts w:hint="eastAsia" w:ascii="仿宋_GB2312" w:hAnsi="仿宋_GB2312" w:eastAsia="仿宋_GB2312" w:cs="仿宋_GB2312"/>
                <w:b w:val="0"/>
                <w:bCs w:val="0"/>
                <w:color w:val="auto"/>
                <w:sz w:val="20"/>
                <w:highlight w:val="none"/>
                <w:lang w:val="en-US" w:eastAsia="zh-CN"/>
              </w:rPr>
              <w:t>并以产品管理人确认份额为准。</w:t>
            </w:r>
          </w:p>
          <w:p w14:paraId="08DA16F0">
            <w:pPr>
              <w:keepNext w:val="0"/>
              <w:keepLines w:val="0"/>
              <w:widowControl/>
              <w:numPr>
                <w:ilvl w:val="0"/>
                <w:numId w:val="0"/>
              </w:numPr>
              <w:suppressLineNumbers w:val="0"/>
              <w:tabs>
                <w:tab w:val="left" w:pos="433"/>
              </w:tabs>
              <w:ind w:leftChars="0"/>
              <w:jc w:val="both"/>
              <w:rPr>
                <w:rFonts w:hint="eastAsia" w:ascii="仿宋_GB2312" w:hAnsi="仿宋_GB2312" w:eastAsia="仿宋_GB2312" w:cs="仿宋_GB2312"/>
                <w:b w:val="0"/>
                <w:bCs w:val="0"/>
                <w:color w:val="auto"/>
                <w:sz w:val="20"/>
                <w:highlight w:val="none"/>
                <w:lang w:val="en-US" w:eastAsia="zh-CN"/>
              </w:rPr>
            </w:pPr>
            <w:r>
              <w:rPr>
                <w:rFonts w:hint="eastAsia" w:ascii="仿宋_GB2312" w:hAnsi="仿宋_GB2312" w:eastAsia="仿宋_GB2312" w:cs="仿宋_GB2312"/>
                <w:b w:val="0"/>
                <w:bCs w:val="0"/>
                <w:color w:val="auto"/>
                <w:sz w:val="20"/>
                <w:highlight w:val="none"/>
                <w:lang w:val="en-US" w:eastAsia="zh-CN"/>
              </w:rPr>
              <w:t>（4）示例：（以下示例日期为假设，实际以交易当年国家公布的节假日为准。）</w:t>
            </w:r>
          </w:p>
          <w:p w14:paraId="67834A48">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r>
              <w:rPr>
                <w:rFonts w:hint="eastAsia" w:ascii="仿宋_GB2312" w:hAnsi="仿宋_GB2312" w:eastAsia="仿宋_GB2312" w:cs="仿宋_GB2312"/>
                <w:b w:val="0"/>
                <w:bCs w:val="0"/>
                <w:color w:val="auto"/>
                <w:sz w:val="20"/>
                <w:highlight w:val="none"/>
                <w:lang w:val="en-US" w:eastAsia="zh-CN"/>
              </w:rPr>
              <w:t>示例1：如周一至周五为工作日，周六周日为非工作日，则：</w:t>
            </w:r>
          </w:p>
          <w:tbl>
            <w:tblPr>
              <w:tblStyle w:val="9"/>
              <w:tblpPr w:leftFromText="180" w:rightFromText="180" w:vertAnchor="text" w:horzAnchor="page" w:tblpX="1040" w:tblpY="168"/>
              <w:tblOverlap w:val="never"/>
              <w:tblW w:w="4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62"/>
              <w:gridCol w:w="1516"/>
            </w:tblGrid>
            <w:tr w14:paraId="4C41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9D1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申购时间</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9DE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份额确认日</w:t>
                  </w:r>
                </w:p>
              </w:tc>
            </w:tr>
            <w:tr w14:paraId="4C39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867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周一00</w:t>
                  </w:r>
                  <w:r>
                    <w:rPr>
                      <w:rFonts w:hint="eastAsia" w:ascii="仿宋_GB2312" w:hAnsi="仿宋_GB2312" w:eastAsia="仿宋_GB2312" w:cs="仿宋_GB2312"/>
                      <w:b w:val="0"/>
                      <w:bCs w:val="0"/>
                      <w:color w:val="auto"/>
                      <w:sz w:val="20"/>
                      <w:highlight w:val="none"/>
                      <w:lang w:val="en-US" w:eastAsia="zh-CN"/>
                    </w:rPr>
                    <w:t>:00</w:t>
                  </w:r>
                  <w:r>
                    <w:rPr>
                      <w:rFonts w:hint="eastAsia" w:ascii="仿宋_GB2312" w:hAnsi="仿宋_GB2312" w:eastAsia="仿宋_GB2312" w:cs="仿宋_GB2312"/>
                      <w:i w:val="0"/>
                      <w:iCs w:val="0"/>
                      <w:color w:val="auto"/>
                      <w:kern w:val="0"/>
                      <w:sz w:val="20"/>
                      <w:szCs w:val="20"/>
                      <w:highlight w:val="none"/>
                      <w:u w:val="none"/>
                      <w:lang w:val="en-US" w:eastAsia="zh-CN" w:bidi="ar"/>
                    </w:rPr>
                    <w:t>-周一</w:t>
                  </w:r>
                  <w:r>
                    <w:rPr>
                      <w:rFonts w:hint="eastAsia" w:ascii="仿宋_GB2312" w:hAnsi="仿宋_GB2312" w:eastAsia="仿宋_GB2312" w:cs="仿宋_GB2312"/>
                      <w:b w:val="0"/>
                      <w:bCs w:val="0"/>
                      <w:color w:val="auto"/>
                      <w:sz w:val="20"/>
                      <w:highlight w:val="none"/>
                      <w:lang w:val="en-US" w:eastAsia="zh-CN"/>
                    </w:rPr>
                    <w:t>15:00（不含）</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9BD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周二</w:t>
                  </w:r>
                </w:p>
              </w:tc>
            </w:tr>
            <w:tr w14:paraId="7374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6E8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周一</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-周二</w:t>
                  </w:r>
                  <w:r>
                    <w:rPr>
                      <w:rFonts w:hint="eastAsia" w:ascii="仿宋_GB2312" w:hAnsi="仿宋_GB2312" w:eastAsia="仿宋_GB2312" w:cs="仿宋_GB2312"/>
                      <w:b w:val="0"/>
                      <w:bCs w:val="0"/>
                      <w:color w:val="auto"/>
                      <w:sz w:val="20"/>
                      <w:highlight w:val="none"/>
                      <w:lang w:val="en-US" w:eastAsia="zh-CN"/>
                    </w:rPr>
                    <w:t>15:00（不含）</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D08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周三</w:t>
                  </w:r>
                </w:p>
              </w:tc>
            </w:tr>
            <w:tr w14:paraId="11A7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FFC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周二</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-周三</w:t>
                  </w:r>
                  <w:r>
                    <w:rPr>
                      <w:rFonts w:hint="eastAsia" w:ascii="仿宋_GB2312" w:hAnsi="仿宋_GB2312" w:eastAsia="仿宋_GB2312" w:cs="仿宋_GB2312"/>
                      <w:b w:val="0"/>
                      <w:bCs w:val="0"/>
                      <w:color w:val="auto"/>
                      <w:sz w:val="20"/>
                      <w:highlight w:val="none"/>
                      <w:lang w:val="en-US" w:eastAsia="zh-CN"/>
                    </w:rPr>
                    <w:t>15:00（不含）</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257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周四</w:t>
                  </w:r>
                </w:p>
              </w:tc>
            </w:tr>
            <w:tr w14:paraId="6D39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A11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周三</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-周四</w:t>
                  </w:r>
                  <w:r>
                    <w:rPr>
                      <w:rFonts w:hint="eastAsia" w:ascii="仿宋_GB2312" w:hAnsi="仿宋_GB2312" w:eastAsia="仿宋_GB2312" w:cs="仿宋_GB2312"/>
                      <w:b w:val="0"/>
                      <w:bCs w:val="0"/>
                      <w:color w:val="auto"/>
                      <w:sz w:val="20"/>
                      <w:highlight w:val="none"/>
                      <w:lang w:val="en-US" w:eastAsia="zh-CN"/>
                    </w:rPr>
                    <w:t>15:00（不含）</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DB6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周五</w:t>
                  </w:r>
                </w:p>
              </w:tc>
            </w:tr>
            <w:tr w14:paraId="05B9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602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周四</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-周五</w:t>
                  </w:r>
                  <w:r>
                    <w:rPr>
                      <w:rFonts w:hint="eastAsia" w:ascii="仿宋_GB2312" w:hAnsi="仿宋_GB2312" w:eastAsia="仿宋_GB2312" w:cs="仿宋_GB2312"/>
                      <w:b w:val="0"/>
                      <w:bCs w:val="0"/>
                      <w:color w:val="auto"/>
                      <w:sz w:val="20"/>
                      <w:highlight w:val="none"/>
                      <w:lang w:val="en-US" w:eastAsia="zh-CN"/>
                    </w:rPr>
                    <w:t>15:00（不含）</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68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下周一</w:t>
                  </w:r>
                </w:p>
              </w:tc>
            </w:tr>
            <w:tr w14:paraId="40FA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576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周五</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-周日24</w:t>
                  </w:r>
                  <w:r>
                    <w:rPr>
                      <w:rFonts w:hint="eastAsia" w:ascii="仿宋_GB2312" w:hAnsi="仿宋_GB2312" w:eastAsia="仿宋_GB2312" w:cs="仿宋_GB2312"/>
                      <w:b w:val="0"/>
                      <w:bCs w:val="0"/>
                      <w:color w:val="auto"/>
                      <w:sz w:val="20"/>
                      <w:highlight w:val="none"/>
                      <w:lang w:val="en-US" w:eastAsia="zh-CN"/>
                    </w:rPr>
                    <w:t>:00（不含）</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3F7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下周二</w:t>
                  </w:r>
                </w:p>
              </w:tc>
            </w:tr>
          </w:tbl>
          <w:p w14:paraId="63EE2FD1">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75BC16C4">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1E53E5B9">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7D31B432">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386ACF39">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400F33E3">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34DC6E68">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554C1BAF">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187C2A1C">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2EDA1E68">
            <w:pPr>
              <w:keepNext w:val="0"/>
              <w:keepLines w:val="0"/>
              <w:widowControl/>
              <w:numPr>
                <w:ilvl w:val="0"/>
                <w:numId w:val="0"/>
              </w:numPr>
              <w:suppressLineNumbers w:val="0"/>
              <w:tabs>
                <w:tab w:val="left" w:pos="433"/>
              </w:tabs>
              <w:ind w:leftChars="0" w:firstLine="0" w:firstLineChars="0"/>
              <w:jc w:val="left"/>
              <w:rPr>
                <w:rFonts w:hint="eastAsia" w:ascii="仿宋_GB2312" w:hAnsi="仿宋_GB2312" w:eastAsia="仿宋_GB2312" w:cs="仿宋_GB2312"/>
                <w:b w:val="0"/>
                <w:bCs w:val="0"/>
                <w:color w:val="auto"/>
                <w:sz w:val="20"/>
                <w:highlight w:val="none"/>
                <w:lang w:val="en-US" w:eastAsia="zh-CN"/>
              </w:rPr>
            </w:pPr>
            <w:r>
              <w:rPr>
                <w:rFonts w:hint="eastAsia" w:ascii="仿宋_GB2312" w:hAnsi="仿宋_GB2312" w:eastAsia="仿宋_GB2312" w:cs="仿宋_GB2312"/>
                <w:b w:val="0"/>
                <w:bCs w:val="0"/>
                <w:color w:val="auto"/>
                <w:sz w:val="20"/>
                <w:highlight w:val="none"/>
                <w:lang w:val="en-US" w:eastAsia="zh-CN"/>
              </w:rPr>
              <w:t>示例2：如9月29日至9月30日为工作日，10月1日至10月7日为非工作日，10月8月至10月9日为工作日，则</w:t>
            </w:r>
          </w:p>
          <w:tbl>
            <w:tblPr>
              <w:tblStyle w:val="9"/>
              <w:tblpPr w:leftFromText="180" w:rightFromText="180" w:vertAnchor="text" w:horzAnchor="page" w:tblpX="654" w:tblpY="168"/>
              <w:tblOverlap w:val="never"/>
              <w:tblW w:w="5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2"/>
              <w:gridCol w:w="1464"/>
            </w:tblGrid>
            <w:tr w14:paraId="29BC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ADC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申购时间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279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份额确认日</w:t>
                  </w:r>
                </w:p>
              </w:tc>
            </w:tr>
            <w:tr w14:paraId="6859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E57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9月29日00</w:t>
                  </w:r>
                  <w:r>
                    <w:rPr>
                      <w:rFonts w:hint="eastAsia" w:ascii="仿宋_GB2312" w:hAnsi="仿宋_GB2312" w:eastAsia="仿宋_GB2312" w:cs="仿宋_GB2312"/>
                      <w:b w:val="0"/>
                      <w:bCs w:val="0"/>
                      <w:color w:val="auto"/>
                      <w:sz w:val="20"/>
                      <w:highlight w:val="none"/>
                      <w:lang w:val="en-US" w:eastAsia="zh-CN"/>
                    </w:rPr>
                    <w:t>:00</w:t>
                  </w:r>
                  <w:r>
                    <w:rPr>
                      <w:rFonts w:hint="eastAsia" w:ascii="仿宋_GB2312" w:hAnsi="仿宋_GB2312" w:eastAsia="仿宋_GB2312" w:cs="仿宋_GB2312"/>
                      <w:i w:val="0"/>
                      <w:iCs w:val="0"/>
                      <w:color w:val="auto"/>
                      <w:kern w:val="0"/>
                      <w:sz w:val="20"/>
                      <w:szCs w:val="20"/>
                      <w:highlight w:val="none"/>
                      <w:u w:val="none"/>
                      <w:lang w:val="en-US" w:eastAsia="zh-CN" w:bidi="ar"/>
                    </w:rPr>
                    <w:t>-9月29日</w:t>
                  </w:r>
                  <w:r>
                    <w:rPr>
                      <w:rFonts w:hint="eastAsia" w:ascii="仿宋_GB2312" w:hAnsi="仿宋_GB2312" w:eastAsia="仿宋_GB2312" w:cs="仿宋_GB2312"/>
                      <w:b w:val="0"/>
                      <w:bCs w:val="0"/>
                      <w:color w:val="auto"/>
                      <w:sz w:val="20"/>
                      <w:highlight w:val="none"/>
                      <w:lang w:val="en-US" w:eastAsia="zh-CN"/>
                    </w:rPr>
                    <w:t>15:00（不含）</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9CF3">
                  <w:pPr>
                    <w:keepNext w:val="0"/>
                    <w:keepLines w:val="0"/>
                    <w:widowControl/>
                    <w:suppressLineNumbers w:val="0"/>
                    <w:jc w:val="center"/>
                    <w:textAlignment w:val="center"/>
                    <w:rPr>
                      <w:rFonts w:hint="default" w:ascii="仿宋_GB2312" w:hAnsi="仿宋_GB2312" w:eastAsia="仿宋_GB2312" w:cs="仿宋_GB2312"/>
                      <w:i w:val="0"/>
                      <w:iCs w:val="0"/>
                      <w:color w:val="auto"/>
                      <w:sz w:val="20"/>
                      <w:szCs w:val="20"/>
                      <w:highlight w:val="none"/>
                      <w:u w:val="none"/>
                      <w:lang w:val="en-US"/>
                    </w:rPr>
                  </w:pPr>
                  <w:r>
                    <w:rPr>
                      <w:rFonts w:hint="eastAsia" w:ascii="仿宋_GB2312" w:hAnsi="仿宋_GB2312" w:eastAsia="仿宋_GB2312" w:cs="仿宋_GB2312"/>
                      <w:i w:val="0"/>
                      <w:iCs w:val="0"/>
                      <w:color w:val="auto"/>
                      <w:kern w:val="0"/>
                      <w:sz w:val="20"/>
                      <w:szCs w:val="20"/>
                      <w:highlight w:val="none"/>
                      <w:u w:val="none"/>
                      <w:lang w:val="en-US" w:eastAsia="zh-CN" w:bidi="ar"/>
                    </w:rPr>
                    <w:t>9月30日</w:t>
                  </w:r>
                </w:p>
              </w:tc>
            </w:tr>
            <w:tr w14:paraId="6F1B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E28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9月29日</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-9月30日</w:t>
                  </w:r>
                  <w:r>
                    <w:rPr>
                      <w:rFonts w:hint="eastAsia" w:ascii="仿宋_GB2312" w:hAnsi="仿宋_GB2312" w:eastAsia="仿宋_GB2312" w:cs="仿宋_GB2312"/>
                      <w:b w:val="0"/>
                      <w:bCs w:val="0"/>
                      <w:color w:val="auto"/>
                      <w:sz w:val="20"/>
                      <w:highlight w:val="none"/>
                      <w:lang w:val="en-US" w:eastAsia="zh-CN"/>
                    </w:rPr>
                    <w:t>15:00（不含）</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431F">
                  <w:pPr>
                    <w:keepNext w:val="0"/>
                    <w:keepLines w:val="0"/>
                    <w:widowControl/>
                    <w:suppressLineNumbers w:val="0"/>
                    <w:jc w:val="center"/>
                    <w:textAlignment w:val="center"/>
                    <w:rPr>
                      <w:rFonts w:hint="default" w:ascii="仿宋_GB2312" w:hAnsi="仿宋_GB2312" w:eastAsia="仿宋_GB2312" w:cs="仿宋_GB2312"/>
                      <w:i w:val="0"/>
                      <w:iCs w:val="0"/>
                      <w:color w:val="auto"/>
                      <w:sz w:val="20"/>
                      <w:szCs w:val="20"/>
                      <w:highlight w:val="none"/>
                      <w:u w:val="none"/>
                      <w:lang w:val="en-US"/>
                    </w:rPr>
                  </w:pPr>
                  <w:r>
                    <w:rPr>
                      <w:rFonts w:hint="eastAsia" w:ascii="仿宋_GB2312" w:hAnsi="仿宋_GB2312" w:eastAsia="仿宋_GB2312" w:cs="仿宋_GB2312"/>
                      <w:i w:val="0"/>
                      <w:iCs w:val="0"/>
                      <w:color w:val="auto"/>
                      <w:kern w:val="0"/>
                      <w:sz w:val="20"/>
                      <w:szCs w:val="20"/>
                      <w:highlight w:val="none"/>
                      <w:u w:val="none"/>
                      <w:lang w:val="en-US" w:eastAsia="zh-CN" w:bidi="ar"/>
                    </w:rPr>
                    <w:t>10月8日</w:t>
                  </w:r>
                </w:p>
              </w:tc>
            </w:tr>
            <w:tr w14:paraId="57B2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6D9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9月30日</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-10月8日</w:t>
                  </w:r>
                  <w:r>
                    <w:rPr>
                      <w:rFonts w:hint="eastAsia" w:ascii="仿宋_GB2312" w:hAnsi="仿宋_GB2312" w:eastAsia="仿宋_GB2312" w:cs="仿宋_GB2312"/>
                      <w:b w:val="0"/>
                      <w:bCs w:val="0"/>
                      <w:color w:val="auto"/>
                      <w:sz w:val="20"/>
                      <w:highlight w:val="none"/>
                      <w:lang w:val="en-US" w:eastAsia="zh-CN"/>
                    </w:rPr>
                    <w:t>15:00（不含）</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3BDF">
                  <w:pPr>
                    <w:keepNext w:val="0"/>
                    <w:keepLines w:val="0"/>
                    <w:widowControl/>
                    <w:suppressLineNumbers w:val="0"/>
                    <w:jc w:val="center"/>
                    <w:textAlignment w:val="center"/>
                    <w:rPr>
                      <w:rFonts w:hint="default" w:ascii="仿宋_GB2312" w:hAnsi="仿宋_GB2312" w:eastAsia="仿宋_GB2312" w:cs="仿宋_GB2312"/>
                      <w:i w:val="0"/>
                      <w:iCs w:val="0"/>
                      <w:color w:val="auto"/>
                      <w:sz w:val="20"/>
                      <w:szCs w:val="20"/>
                      <w:highlight w:val="none"/>
                      <w:u w:val="none"/>
                      <w:lang w:val="en-US"/>
                    </w:rPr>
                  </w:pPr>
                  <w:r>
                    <w:rPr>
                      <w:rFonts w:hint="eastAsia" w:ascii="仿宋_GB2312" w:hAnsi="仿宋_GB2312" w:eastAsia="仿宋_GB2312" w:cs="仿宋_GB2312"/>
                      <w:i w:val="0"/>
                      <w:iCs w:val="0"/>
                      <w:color w:val="auto"/>
                      <w:kern w:val="0"/>
                      <w:sz w:val="20"/>
                      <w:szCs w:val="20"/>
                      <w:highlight w:val="none"/>
                      <w:u w:val="none"/>
                      <w:lang w:val="en-US" w:eastAsia="zh-CN" w:bidi="ar"/>
                    </w:rPr>
                    <w:t>10月9日</w:t>
                  </w:r>
                </w:p>
              </w:tc>
            </w:tr>
          </w:tbl>
          <w:p w14:paraId="06D886FF">
            <w:pPr>
              <w:keepNext w:val="0"/>
              <w:keepLines w:val="0"/>
              <w:widowControl/>
              <w:numPr>
                <w:ilvl w:val="0"/>
                <w:numId w:val="0"/>
              </w:numPr>
              <w:suppressLineNumbers w:val="0"/>
              <w:tabs>
                <w:tab w:val="left" w:pos="433"/>
              </w:tabs>
              <w:ind w:leftChars="0" w:firstLine="0" w:firstLineChars="0"/>
              <w:jc w:val="left"/>
              <w:rPr>
                <w:rFonts w:hint="eastAsia" w:ascii="仿宋_GB2312" w:hAnsi="仿宋_GB2312" w:eastAsia="仿宋_GB2312" w:cs="仿宋_GB2312"/>
                <w:b w:val="0"/>
                <w:bCs w:val="0"/>
                <w:color w:val="auto"/>
                <w:sz w:val="20"/>
                <w:highlight w:val="none"/>
                <w:lang w:val="en-US" w:eastAsia="zh-CN"/>
              </w:rPr>
            </w:pPr>
          </w:p>
          <w:p w14:paraId="79C5C389">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1C687C44">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521D5A3C">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5A40D2F1">
            <w:pPr>
              <w:keepNext w:val="0"/>
              <w:keepLines w:val="0"/>
              <w:widowControl/>
              <w:numPr>
                <w:ilvl w:val="0"/>
                <w:numId w:val="0"/>
              </w:numPr>
              <w:suppressLineNumbers w:val="0"/>
              <w:tabs>
                <w:tab w:val="left" w:pos="433"/>
              </w:tabs>
              <w:ind w:leftChars="0"/>
              <w:jc w:val="left"/>
              <w:rPr>
                <w:rFonts w:hint="eastAsia" w:ascii="仿宋_GB2312" w:hAnsi="仿宋_GB2312" w:eastAsia="仿宋_GB2312" w:cs="仿宋_GB2312"/>
                <w:b w:val="0"/>
                <w:bCs w:val="0"/>
                <w:color w:val="auto"/>
                <w:sz w:val="20"/>
                <w:highlight w:val="none"/>
                <w:lang w:val="en-US" w:eastAsia="zh-CN"/>
              </w:rPr>
            </w:pPr>
          </w:p>
          <w:p w14:paraId="34AA2DC7">
            <w:pPr>
              <w:pStyle w:val="3"/>
              <w:keepNext w:val="0"/>
              <w:keepLines w:val="0"/>
              <w:widowControl/>
              <w:suppressLineNumbers w:val="0"/>
              <w:ind w:left="0" w:leftChars="0" w:right="153" w:firstLine="0" w:firstLineChars="0"/>
              <w:jc w:val="both"/>
              <w:rPr>
                <w:rFonts w:hint="eastAsia" w:ascii="仿宋_GB2312" w:hAnsi="仿宋_GB2312" w:eastAsia="仿宋_GB2312" w:cs="仿宋_GB2312"/>
                <w:b w:val="0"/>
                <w:bCs/>
                <w:color w:val="auto"/>
                <w:sz w:val="20"/>
                <w:highlight w:val="none"/>
                <w:lang w:eastAsia="zh-CN"/>
              </w:rPr>
            </w:pPr>
          </w:p>
          <w:p w14:paraId="326F8F05">
            <w:pPr>
              <w:pStyle w:val="3"/>
              <w:keepNext w:val="0"/>
              <w:keepLines w:val="0"/>
              <w:widowControl/>
              <w:suppressLineNumbers w:val="0"/>
              <w:ind w:left="0" w:leftChars="0" w:right="153" w:firstLine="0" w:firstLineChars="0"/>
              <w:jc w:val="both"/>
              <w:rPr>
                <w:rFonts w:hint="default" w:ascii="仿宋_GB2312" w:hAnsi="仿宋_GB2312" w:eastAsia="仿宋_GB2312" w:cs="仿宋_GB2312"/>
                <w:b w:val="0"/>
                <w:bCs w:val="0"/>
                <w:color w:val="auto"/>
                <w:sz w:val="20"/>
                <w:highlight w:val="none"/>
                <w:lang w:val="en-US" w:eastAsia="zh-CN"/>
              </w:rPr>
            </w:pPr>
            <w:r>
              <w:rPr>
                <w:rFonts w:hint="eastAsia" w:ascii="仿宋_GB2312" w:hAnsi="仿宋_GB2312" w:eastAsia="仿宋_GB2312" w:cs="仿宋_GB2312"/>
                <w:b w:val="0"/>
                <w:bCs/>
                <w:color w:val="auto"/>
                <w:sz w:val="20"/>
                <w:highlight w:val="none"/>
                <w:lang w:eastAsia="zh-CN"/>
              </w:rPr>
              <w:t>投资者在</w:t>
            </w:r>
            <w:r>
              <w:rPr>
                <w:rFonts w:hint="eastAsia" w:ascii="仿宋_GB2312" w:hAnsi="仿宋_GB2312" w:eastAsia="仿宋_GB2312" w:cs="仿宋_GB2312"/>
                <w:b w:val="0"/>
                <w:bCs/>
                <w:color w:val="auto"/>
                <w:sz w:val="20"/>
                <w:highlight w:val="none"/>
                <w:lang w:val="en-US" w:eastAsia="zh-CN"/>
              </w:rPr>
              <w:t>申购时间</w:t>
            </w:r>
            <w:r>
              <w:rPr>
                <w:rFonts w:hint="eastAsia" w:ascii="仿宋_GB2312" w:hAnsi="仿宋_GB2312" w:eastAsia="仿宋_GB2312" w:cs="仿宋_GB2312"/>
                <w:b w:val="0"/>
                <w:bCs/>
                <w:color w:val="auto"/>
                <w:sz w:val="20"/>
                <w:highlight w:val="none"/>
                <w:lang w:eastAsia="zh-CN"/>
              </w:rPr>
              <w:t>内提</w:t>
            </w:r>
            <w:r>
              <w:rPr>
                <w:rFonts w:hint="eastAsia" w:ascii="仿宋_GB2312" w:hAnsi="仿宋_GB2312" w:eastAsia="仿宋_GB2312" w:cs="仿宋_GB2312"/>
                <w:b w:val="0"/>
                <w:bCs/>
                <w:color w:val="auto"/>
                <w:sz w:val="20"/>
                <w:highlight w:val="none"/>
                <w:lang w:val="en-US" w:eastAsia="zh-CN"/>
              </w:rPr>
              <w:t>出的申购</w:t>
            </w:r>
            <w:r>
              <w:rPr>
                <w:rFonts w:hint="eastAsia" w:ascii="仿宋_GB2312" w:hAnsi="仿宋_GB2312" w:eastAsia="仿宋_GB2312" w:cs="仿宋_GB2312"/>
                <w:b w:val="0"/>
                <w:bCs/>
                <w:color w:val="auto"/>
                <w:sz w:val="20"/>
                <w:highlight w:val="none"/>
                <w:lang w:eastAsia="zh-CN"/>
              </w:rPr>
              <w:t>申请，</w:t>
            </w:r>
            <w:r>
              <w:rPr>
                <w:rFonts w:hint="eastAsia" w:ascii="仿宋_GB2312" w:hAnsi="仿宋_GB2312" w:eastAsia="仿宋_GB2312" w:cs="仿宋_GB2312"/>
                <w:b w:val="0"/>
                <w:bCs/>
                <w:color w:val="auto"/>
                <w:sz w:val="20"/>
                <w:highlight w:val="none"/>
                <w:lang w:val="en-US" w:eastAsia="zh-CN"/>
              </w:rPr>
              <w:t>申购资金实时冻结</w:t>
            </w:r>
            <w:r>
              <w:rPr>
                <w:rFonts w:hint="eastAsia" w:ascii="仿宋_GB2312" w:hAnsi="仿宋_GB2312" w:eastAsia="仿宋_GB2312" w:cs="仿宋_GB2312"/>
                <w:b w:val="0"/>
                <w:bCs/>
                <w:color w:val="auto"/>
                <w:sz w:val="20"/>
                <w:highlight w:val="none"/>
                <w:lang w:eastAsia="zh-CN"/>
              </w:rPr>
              <w:t>，</w:t>
            </w:r>
            <w:r>
              <w:rPr>
                <w:rFonts w:hint="eastAsia" w:ascii="仿宋_GB2312" w:hAnsi="仿宋_GB2312" w:eastAsia="仿宋_GB2312" w:cs="仿宋_GB2312"/>
                <w:b w:val="0"/>
                <w:bCs/>
                <w:i w:val="0"/>
                <w:iCs w:val="0"/>
                <w:color w:val="auto"/>
                <w:kern w:val="0"/>
                <w:sz w:val="20"/>
                <w:szCs w:val="20"/>
                <w:highlight w:val="none"/>
                <w:u w:val="none"/>
                <w:lang w:val="en-US" w:eastAsia="zh-CN" w:bidi="ar"/>
              </w:rPr>
              <w:t>份额确认日方才扣划资金</w:t>
            </w:r>
            <w:r>
              <w:rPr>
                <w:rFonts w:hint="eastAsia" w:ascii="仿宋_GB2312" w:hAnsi="仿宋_GB2312" w:eastAsia="仿宋_GB2312" w:cs="仿宋_GB2312"/>
                <w:b w:val="0"/>
                <w:bCs/>
                <w:color w:val="auto"/>
                <w:sz w:val="20"/>
                <w:highlight w:val="none"/>
                <w:lang w:eastAsia="zh-CN"/>
              </w:rPr>
              <w:t>。</w:t>
            </w:r>
          </w:p>
          <w:p w14:paraId="14DD4CD1">
            <w:pPr>
              <w:keepNext w:val="0"/>
              <w:keepLines w:val="0"/>
              <w:widowControl/>
              <w:numPr>
                <w:ilvl w:val="0"/>
                <w:numId w:val="0"/>
              </w:numPr>
              <w:suppressLineNumbers w:val="0"/>
              <w:tabs>
                <w:tab w:val="left" w:pos="433"/>
              </w:tabs>
              <w:ind w:left="0" w:leftChars="0" w:firstLine="0" w:firstLineChars="0"/>
              <w:jc w:val="both"/>
              <w:rPr>
                <w:rFonts w:hint="eastAsia" w:ascii="仿宋_GB2312" w:hAnsi="仿宋_GB2312" w:eastAsia="仿宋_GB2312" w:cs="仿宋_GB2312"/>
                <w:color w:val="auto"/>
                <w:kern w:val="0"/>
                <w:sz w:val="20"/>
                <w:szCs w:val="20"/>
                <w:highlight w:val="none"/>
                <w:lang w:val="en-US" w:eastAsia="zh-CN" w:bidi="ar"/>
              </w:rPr>
            </w:pPr>
          </w:p>
        </w:tc>
      </w:tr>
      <w:tr w14:paraId="19B01B0F">
        <w:tblPrEx>
          <w:tblCellMar>
            <w:top w:w="0" w:type="dxa"/>
            <w:left w:w="0" w:type="dxa"/>
            <w:bottom w:w="0" w:type="dxa"/>
            <w:right w:w="0" w:type="dxa"/>
          </w:tblCellMar>
        </w:tblPrEx>
        <w:trPr>
          <w:trHeight w:val="509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F364F93">
            <w:pPr>
              <w:pStyle w:val="18"/>
              <w:jc w:val="center"/>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申购规则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0DAE23EF">
            <w:pPr>
              <w:keepNext w:val="0"/>
              <w:keepLines w:val="0"/>
              <w:widowControl/>
              <w:numPr>
                <w:ilvl w:val="0"/>
                <w:numId w:val="0"/>
              </w:numPr>
              <w:suppressLineNumbers w:val="0"/>
              <w:tabs>
                <w:tab w:val="left" w:pos="433"/>
              </w:tabs>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kern w:val="0"/>
                <w:sz w:val="20"/>
                <w:szCs w:val="20"/>
                <w:highlight w:val="none"/>
                <w:lang w:val="en-US" w:eastAsia="zh-CN" w:bidi="ar"/>
              </w:rPr>
              <w:t>2.管理人可拒绝接受或暂停接受投资者申购申请的情形：</w:t>
            </w:r>
          </w:p>
          <w:p w14:paraId="7A21CA45">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当接受申购申请可能对理财产品存量投资者利益构成潜在重大不利影响时，或者基于投资运作与风险控制需要，产品管理人有权采取拒绝或暂停申购等措施，以及监管机构规定的其他措施，切实保护存量产品份额持有人的合法权益。</w:t>
            </w:r>
          </w:p>
          <w:p w14:paraId="6C86256D">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发生下列情况时，产品管理人可拒绝或暂停接受投资人的申购申请：</w:t>
            </w:r>
          </w:p>
          <w:p w14:paraId="5553E148">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（1）当影子定价确定的本产品资产净值与摊余成本法计算的资产净值正偏离度绝对值达到0.5%时；</w:t>
            </w:r>
          </w:p>
          <w:p w14:paraId="0841C0CF">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（2）不可抗力或国家经济金融政策发生变化等原因导致本产品无法正常运作；</w:t>
            </w:r>
          </w:p>
          <w:p w14:paraId="735AEFA1">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（3）证券交易场所或银行间债券市场依法决定停市等情形；</w:t>
            </w:r>
          </w:p>
          <w:p w14:paraId="6B7BFADF">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（4）管理人接受某笔或者某些申购申请有可能导致单一投资者持有理财计划份额的比例达到或者超过50%的情形；</w:t>
            </w:r>
          </w:p>
          <w:p w14:paraId="21C2CB8E">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（5）当管理人认为某笔申购申请会有损于本产品其他持有人利益时；</w:t>
            </w:r>
          </w:p>
          <w:p w14:paraId="23CBAE3C">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（6）存续期内产品管理人无法找到合适的投资品种，或其他可能对理财业绩产生负面影响，从而损害现有理财份额持有人利益的情形；</w:t>
            </w:r>
          </w:p>
          <w:p w14:paraId="1F66119A">
            <w:pPr>
              <w:keepNext w:val="0"/>
              <w:keepLines w:val="0"/>
              <w:widowControl/>
              <w:numPr>
                <w:ilvl w:val="0"/>
                <w:numId w:val="0"/>
              </w:numPr>
              <w:suppressLineNumbers w:val="0"/>
              <w:tabs>
                <w:tab w:val="left" w:pos="433"/>
              </w:tabs>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（7）当投资者申购金额将导致单笔申购金额上限、单个投资者持仓上限、产品规模上限等各指标超限时，或单笔申购金额不足申购金额起点金额时，管理人有权拒绝投资者的申购申请；</w:t>
            </w:r>
          </w:p>
          <w:p w14:paraId="0922E6E1">
            <w:pPr>
              <w:keepNext w:val="0"/>
              <w:keepLines w:val="0"/>
              <w:widowControl/>
              <w:numPr>
                <w:ilvl w:val="0"/>
                <w:numId w:val="0"/>
              </w:numPr>
              <w:suppressLineNumbers w:val="0"/>
              <w:tabs>
                <w:tab w:val="left" w:pos="433"/>
              </w:tabs>
              <w:ind w:leftChars="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（8）法律法规规定或管理人基于审慎考虑认定的其他情形。</w:t>
            </w:r>
          </w:p>
        </w:tc>
      </w:tr>
      <w:tr w14:paraId="33E8766B">
        <w:tblPrEx>
          <w:tblCellMar>
            <w:top w:w="0" w:type="dxa"/>
            <w:left w:w="0" w:type="dxa"/>
            <w:bottom w:w="0" w:type="dxa"/>
            <w:right w:w="0" w:type="dxa"/>
          </w:tblCellMar>
        </w:tblPrEx>
        <w:trPr>
          <w:trHeight w:val="81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826D91">
            <w:pPr>
              <w:pStyle w:val="18"/>
              <w:jc w:val="center"/>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ACCBF75">
            <w:pPr>
              <w:keepNext w:val="0"/>
              <w:keepLines w:val="0"/>
              <w:widowControl/>
              <w:suppressLineNumbers w:val="0"/>
              <w:jc w:val="both"/>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1.赎回份额：赎回份额以0.01元（0.01份）的整数倍递增。</w:t>
            </w:r>
          </w:p>
          <w:p w14:paraId="4B8CC1A0">
            <w:pPr>
              <w:keepNext w:val="0"/>
              <w:keepLines w:val="0"/>
              <w:widowControl/>
              <w:suppressLineNumbers w:val="0"/>
              <w:jc w:val="both"/>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kern w:val="0"/>
                <w:sz w:val="20"/>
                <w:szCs w:val="20"/>
                <w:highlight w:val="none"/>
                <w:lang w:val="en-US" w:eastAsia="zh-CN" w:bidi="ar"/>
              </w:rPr>
              <w:t>2.赎回规则：</w:t>
            </w:r>
          </w:p>
          <w:p w14:paraId="78A9E8AD">
            <w:pPr>
              <w:keepNext w:val="0"/>
              <w:keepLines w:val="0"/>
              <w:widowControl/>
              <w:suppressLineNumbers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（1）投资者提出赎回申请的时间在开放日</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b w:val="0"/>
                <w:bCs w:val="0"/>
                <w:color w:val="auto"/>
                <w:sz w:val="20"/>
                <w:szCs w:val="20"/>
                <w:highlight w:val="none"/>
                <w:lang w:val="en-US" w:eastAsia="zh-CN"/>
              </w:rPr>
              <w:t>（不含）之前，其产品赎回申请视为当日（T日）的赎回交易；投资者提出赎回申请的时间在开放日</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b w:val="0"/>
                <w:bCs w:val="0"/>
                <w:color w:val="auto"/>
                <w:sz w:val="20"/>
                <w:szCs w:val="20"/>
                <w:highlight w:val="none"/>
                <w:lang w:val="en-US" w:eastAsia="zh-CN"/>
              </w:rPr>
              <w:t>（含）之后或非工作日，其份额赎回申请视为下一开放日（T日）的赎回交易。</w:t>
            </w:r>
          </w:p>
          <w:p w14:paraId="0E07D16E">
            <w:pPr>
              <w:keepNext w:val="0"/>
              <w:keepLines w:val="0"/>
              <w:widowControl/>
              <w:suppressLineNumbers w:val="0"/>
              <w:jc w:val="both"/>
              <w:rPr>
                <w:rFonts w:hint="eastAsia" w:ascii="仿宋_GB2312" w:hAnsi="仿宋_GB2312" w:eastAsia="仿宋_GB2312" w:cs="仿宋_GB2312"/>
                <w:color w:val="auto"/>
                <w:kern w:val="0"/>
                <w:sz w:val="20"/>
                <w:szCs w:val="20"/>
                <w:highlight w:val="none"/>
                <w:vertAlign w:val="baseline"/>
                <w:lang w:val="en-US" w:eastAsia="zh-CN" w:bidi="ar"/>
              </w:rPr>
            </w:pPr>
            <w:r>
              <w:rPr>
                <w:rFonts w:hint="eastAsia" w:ascii="仿宋_GB2312" w:hAnsi="仿宋_GB2312" w:eastAsia="仿宋_GB2312" w:cs="仿宋_GB2312"/>
                <w:b w:val="0"/>
                <w:bCs w:val="0"/>
                <w:color w:val="auto"/>
                <w:sz w:val="20"/>
                <w:szCs w:val="20"/>
                <w:highlight w:val="none"/>
                <w:lang w:val="en-US" w:eastAsia="zh-CN"/>
              </w:rPr>
              <w:t>（2）</w:t>
            </w:r>
            <w:r>
              <w:rPr>
                <w:rFonts w:hint="eastAsia" w:ascii="仿宋_GB2312" w:hAnsi="仿宋_GB2312" w:eastAsia="仿宋_GB2312" w:cs="仿宋_GB2312"/>
                <w:color w:val="auto"/>
                <w:kern w:val="0"/>
                <w:sz w:val="20"/>
                <w:szCs w:val="20"/>
                <w:highlight w:val="none"/>
                <w:vertAlign w:val="baseline"/>
                <w:lang w:val="en-US" w:eastAsia="zh-CN" w:bidi="ar"/>
              </w:rPr>
              <w:t>该赎回申请于T日</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color w:val="auto"/>
                <w:kern w:val="0"/>
                <w:sz w:val="20"/>
                <w:szCs w:val="20"/>
                <w:highlight w:val="none"/>
                <w:vertAlign w:val="baseline"/>
                <w:lang w:val="en-US" w:eastAsia="zh-CN" w:bidi="ar"/>
              </w:rPr>
              <w:t>（不含）前可以撤销。</w:t>
            </w:r>
          </w:p>
          <w:p w14:paraId="49579220">
            <w:pPr>
              <w:keepNext w:val="0"/>
              <w:keepLines w:val="0"/>
              <w:widowControl/>
              <w:suppressLineNumbers w:val="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vertAlign w:val="baseline"/>
                <w:lang w:val="en-US" w:eastAsia="zh-CN" w:bidi="ar"/>
              </w:rPr>
              <w:t>（3）管理人将于</w:t>
            </w:r>
            <w:r>
              <w:rPr>
                <w:rFonts w:hint="eastAsia" w:ascii="仿宋_GB2312" w:hAnsi="仿宋_GB2312" w:eastAsia="仿宋_GB2312" w:cs="仿宋_GB2312"/>
                <w:color w:val="auto"/>
                <w:kern w:val="0"/>
                <w:sz w:val="20"/>
                <w:szCs w:val="20"/>
                <w:highlight w:val="none"/>
                <w:lang w:val="en-US" w:eastAsia="zh-CN" w:bidi="ar"/>
              </w:rPr>
              <w:t>T日后第1个工作日</w:t>
            </w:r>
            <w:r>
              <w:rPr>
                <w:rFonts w:hint="eastAsia" w:ascii="仿宋_GB2312" w:hAnsi="仿宋_GB2312" w:eastAsia="仿宋_GB2312" w:cs="仿宋_GB2312"/>
                <w:color w:val="auto"/>
                <w:kern w:val="0"/>
                <w:sz w:val="20"/>
                <w:szCs w:val="20"/>
                <w:highlight w:val="none"/>
                <w:vertAlign w:val="baseline"/>
                <w:lang w:val="en-US" w:eastAsia="zh-CN" w:bidi="ar"/>
              </w:rPr>
              <w:t>对未撤销的</w:t>
            </w:r>
            <w:r>
              <w:rPr>
                <w:rFonts w:hint="eastAsia" w:ascii="仿宋_GB2312" w:hAnsi="仿宋_GB2312" w:eastAsia="仿宋_GB2312" w:cs="仿宋_GB2312"/>
                <w:b w:val="0"/>
                <w:bCs w:val="0"/>
                <w:color w:val="auto"/>
                <w:sz w:val="20"/>
                <w:szCs w:val="20"/>
                <w:highlight w:val="none"/>
                <w:lang w:val="en-US" w:eastAsia="zh-CN"/>
              </w:rPr>
              <w:t>赎回交易进行确认，</w:t>
            </w:r>
            <w:r>
              <w:rPr>
                <w:rFonts w:hint="eastAsia" w:ascii="仿宋_GB2312" w:hAnsi="仿宋_GB2312" w:eastAsia="仿宋_GB2312" w:cs="仿宋_GB2312"/>
                <w:color w:val="auto"/>
                <w:kern w:val="0"/>
                <w:sz w:val="20"/>
                <w:szCs w:val="20"/>
                <w:highlight w:val="none"/>
                <w:vertAlign w:val="baseline"/>
                <w:lang w:val="en-US" w:eastAsia="zh-CN" w:bidi="ar"/>
              </w:rPr>
              <w:t>投资者赎回申请成功后，资金在确认日当日划转至投资者指定账户。</w:t>
            </w:r>
          </w:p>
          <w:p w14:paraId="3C81014F">
            <w:pPr>
              <w:keepNext w:val="0"/>
              <w:keepLines w:val="0"/>
              <w:widowControl/>
              <w:numPr>
                <w:ilvl w:val="-1"/>
                <w:numId w:val="0"/>
              </w:numPr>
              <w:suppressLineNumbers w:val="0"/>
              <w:ind w:leftChars="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（4）示例：（以下示例日期为假设，实际以交易当年国家公布的节假日为准。）</w:t>
            </w:r>
          </w:p>
          <w:p w14:paraId="48955521">
            <w:pPr>
              <w:keepNext w:val="0"/>
              <w:keepLines w:val="0"/>
              <w:widowControl/>
              <w:numPr>
                <w:ilvl w:val="-1"/>
                <w:numId w:val="0"/>
              </w:numPr>
              <w:suppressLineNumbers w:val="0"/>
              <w:ind w:leftChars="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示例1：如周一至周五为工作日，周六周日为非工作日，则：</w:t>
            </w:r>
          </w:p>
          <w:tbl>
            <w:tblPr>
              <w:tblStyle w:val="9"/>
              <w:tblpPr w:leftFromText="180" w:rightFromText="180" w:vertAnchor="text" w:horzAnchor="page" w:tblpX="1040" w:tblpY="168"/>
              <w:tblOverlap w:val="never"/>
              <w:tblW w:w="4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62"/>
              <w:gridCol w:w="1516"/>
            </w:tblGrid>
            <w:tr w14:paraId="0598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B739">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赎回时间</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E8FA">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赎回确认日</w:t>
                  </w:r>
                </w:p>
              </w:tc>
            </w:tr>
            <w:tr w14:paraId="2321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0493">
                  <w:pPr>
                    <w:keepNext w:val="0"/>
                    <w:keepLines w:val="0"/>
                    <w:widowControl/>
                    <w:suppressLineNumbers w:val="0"/>
                    <w:jc w:val="center"/>
                    <w:textAlignment w:val="auto"/>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周一00</w:t>
                  </w:r>
                  <w:r>
                    <w:rPr>
                      <w:rFonts w:hint="eastAsia" w:ascii="仿宋_GB2312" w:hAnsi="仿宋_GB2312" w:eastAsia="仿宋_GB2312" w:cs="仿宋_GB2312"/>
                      <w:b w:val="0"/>
                      <w:bCs w:val="0"/>
                      <w:color w:val="auto"/>
                      <w:sz w:val="20"/>
                      <w:highlight w:val="none"/>
                      <w:lang w:val="en-US" w:eastAsia="zh-CN"/>
                    </w:rPr>
                    <w:t>:00</w:t>
                  </w:r>
                  <w:r>
                    <w:rPr>
                      <w:rFonts w:hint="eastAsia" w:ascii="仿宋_GB2312" w:hAnsi="仿宋_GB2312" w:eastAsia="仿宋_GB2312" w:cs="仿宋_GB2312"/>
                      <w:i w:val="0"/>
                      <w:iCs w:val="0"/>
                      <w:color w:val="auto"/>
                      <w:kern w:val="0"/>
                      <w:sz w:val="20"/>
                      <w:szCs w:val="20"/>
                      <w:highlight w:val="none"/>
                      <w:u w:val="none"/>
                      <w:lang w:val="en-US" w:eastAsia="zh-CN" w:bidi="ar"/>
                    </w:rPr>
                    <w:t>-周一</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b w:val="0"/>
                      <w:bCs w:val="0"/>
                      <w:color w:val="auto"/>
                      <w:sz w:val="20"/>
                      <w:szCs w:val="20"/>
                      <w:highlight w:val="none"/>
                      <w:lang w:val="en-US" w:eastAsia="zh-CN"/>
                    </w:rPr>
                    <w:t>（不含）</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BD4D">
                  <w:pPr>
                    <w:keepNext w:val="0"/>
                    <w:keepLines w:val="0"/>
                    <w:widowControl/>
                    <w:suppressLineNumbers w:val="0"/>
                    <w:jc w:val="center"/>
                    <w:textAlignment w:val="auto"/>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周二</w:t>
                  </w:r>
                </w:p>
              </w:tc>
            </w:tr>
            <w:tr w14:paraId="47B8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8CA7">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周一</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-周二</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b w:val="0"/>
                      <w:bCs w:val="0"/>
                      <w:color w:val="auto"/>
                      <w:sz w:val="20"/>
                      <w:szCs w:val="20"/>
                      <w:highlight w:val="none"/>
                      <w:lang w:val="en-US" w:eastAsia="zh-CN"/>
                    </w:rPr>
                    <w:t>（不含）</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7EB3">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周三</w:t>
                  </w:r>
                </w:p>
              </w:tc>
            </w:tr>
            <w:tr w14:paraId="6F19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F113">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周二</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-周三</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b w:val="0"/>
                      <w:bCs w:val="0"/>
                      <w:color w:val="auto"/>
                      <w:sz w:val="20"/>
                      <w:szCs w:val="20"/>
                      <w:highlight w:val="none"/>
                      <w:lang w:val="en-US" w:eastAsia="zh-CN"/>
                    </w:rPr>
                    <w:t>（不含）</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BB6F">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周四</w:t>
                  </w:r>
                </w:p>
              </w:tc>
            </w:tr>
            <w:tr w14:paraId="3684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F10D">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周三</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-周四</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b w:val="0"/>
                      <w:bCs w:val="0"/>
                      <w:color w:val="auto"/>
                      <w:sz w:val="20"/>
                      <w:szCs w:val="20"/>
                      <w:highlight w:val="none"/>
                      <w:lang w:val="en-US" w:eastAsia="zh-CN"/>
                    </w:rPr>
                    <w:t>（不含）</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EB7E">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周五</w:t>
                  </w:r>
                </w:p>
              </w:tc>
            </w:tr>
            <w:tr w14:paraId="2715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029E">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周四</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-周五</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b w:val="0"/>
                      <w:bCs w:val="0"/>
                      <w:color w:val="auto"/>
                      <w:sz w:val="20"/>
                      <w:szCs w:val="20"/>
                      <w:highlight w:val="none"/>
                      <w:lang w:val="en-US" w:eastAsia="zh-CN"/>
                    </w:rPr>
                    <w:t>（不含）</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FD35">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下周一</w:t>
                  </w:r>
                </w:p>
              </w:tc>
            </w:tr>
            <w:tr w14:paraId="33DF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0B89">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周五</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-周日24</w:t>
                  </w:r>
                  <w:r>
                    <w:rPr>
                      <w:rFonts w:hint="eastAsia" w:ascii="仿宋_GB2312" w:hAnsi="仿宋_GB2312" w:eastAsia="仿宋_GB2312" w:cs="仿宋_GB2312"/>
                      <w:b w:val="0"/>
                      <w:bCs w:val="0"/>
                      <w:color w:val="auto"/>
                      <w:sz w:val="20"/>
                      <w:highlight w:val="none"/>
                      <w:lang w:val="en-US" w:eastAsia="zh-CN"/>
                    </w:rPr>
                    <w:t>:00</w:t>
                  </w:r>
                  <w:r>
                    <w:rPr>
                      <w:rFonts w:hint="eastAsia" w:ascii="仿宋_GB2312" w:hAnsi="仿宋_GB2312" w:eastAsia="仿宋_GB2312" w:cs="仿宋_GB2312"/>
                      <w:b w:val="0"/>
                      <w:bCs w:val="0"/>
                      <w:color w:val="auto"/>
                      <w:sz w:val="20"/>
                      <w:szCs w:val="20"/>
                      <w:highlight w:val="none"/>
                      <w:lang w:val="en-US" w:eastAsia="zh-CN"/>
                    </w:rPr>
                    <w:t>（不含）</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E265">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下周二</w:t>
                  </w:r>
                </w:p>
              </w:tc>
            </w:tr>
          </w:tbl>
          <w:p w14:paraId="58FF766B">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78A10D14">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309B175A">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596AF14C">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5227D52C">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530247DC">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68F51E37">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4BA229A2">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36A08EC9">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1966ED25">
            <w:pPr>
              <w:keepNext w:val="0"/>
              <w:keepLines w:val="0"/>
              <w:widowControl/>
              <w:numPr>
                <w:ilvl w:val="-1"/>
                <w:numId w:val="0"/>
              </w:numPr>
              <w:suppressLineNumbers w:val="0"/>
              <w:ind w:leftChars="0" w:firstLine="0" w:firstLineChars="0"/>
              <w:jc w:val="left"/>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示例2：如9月29日至9月30日为工作日，10月1日至10月7日为非工作日，10月8月至10月9日为工作日，则</w:t>
            </w:r>
          </w:p>
          <w:tbl>
            <w:tblPr>
              <w:tblStyle w:val="9"/>
              <w:tblpPr w:leftFromText="180" w:rightFromText="180" w:vertAnchor="text" w:horzAnchor="page" w:tblpX="654" w:tblpY="168"/>
              <w:tblOverlap w:val="never"/>
              <w:tblW w:w="5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2"/>
              <w:gridCol w:w="1464"/>
            </w:tblGrid>
            <w:tr w14:paraId="7B04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19CF">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赎回时间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790E">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赎回确认日</w:t>
                  </w:r>
                </w:p>
              </w:tc>
            </w:tr>
            <w:tr w14:paraId="7017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681C">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9月29日00</w:t>
                  </w:r>
                  <w:r>
                    <w:rPr>
                      <w:rFonts w:hint="eastAsia" w:ascii="仿宋_GB2312" w:hAnsi="仿宋_GB2312" w:eastAsia="仿宋_GB2312" w:cs="仿宋_GB2312"/>
                      <w:b w:val="0"/>
                      <w:bCs w:val="0"/>
                      <w:color w:val="auto"/>
                      <w:sz w:val="20"/>
                      <w:highlight w:val="none"/>
                      <w:lang w:val="en-US" w:eastAsia="zh-CN"/>
                    </w:rPr>
                    <w:t>:00</w:t>
                  </w:r>
                  <w:r>
                    <w:rPr>
                      <w:rFonts w:hint="eastAsia" w:ascii="仿宋_GB2312" w:hAnsi="仿宋_GB2312" w:eastAsia="仿宋_GB2312" w:cs="仿宋_GB2312"/>
                      <w:i w:val="0"/>
                      <w:iCs w:val="0"/>
                      <w:color w:val="auto"/>
                      <w:kern w:val="0"/>
                      <w:sz w:val="20"/>
                      <w:szCs w:val="20"/>
                      <w:highlight w:val="none"/>
                      <w:u w:val="none"/>
                      <w:lang w:val="en-US" w:eastAsia="zh-CN" w:bidi="ar"/>
                    </w:rPr>
                    <w:t>-9月29日</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b w:val="0"/>
                      <w:bCs w:val="0"/>
                      <w:color w:val="auto"/>
                      <w:sz w:val="20"/>
                      <w:szCs w:val="20"/>
                      <w:highlight w:val="none"/>
                      <w:lang w:val="en-US" w:eastAsia="zh-CN"/>
                    </w:rPr>
                    <w:t>（不含）</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2641">
                  <w:pPr>
                    <w:keepNext w:val="0"/>
                    <w:keepLines w:val="0"/>
                    <w:widowControl/>
                    <w:suppressLineNumbers w:val="0"/>
                    <w:jc w:val="center"/>
                    <w:textAlignment w:val="auto"/>
                    <w:rPr>
                      <w:rFonts w:hint="default" w:ascii="仿宋_GB2312" w:hAnsi="仿宋_GB2312" w:eastAsia="仿宋_GB2312" w:cs="仿宋_GB2312"/>
                      <w:i w:val="0"/>
                      <w:iCs w:val="0"/>
                      <w:color w:val="auto"/>
                      <w:sz w:val="20"/>
                      <w:szCs w:val="20"/>
                      <w:highlight w:val="none"/>
                      <w:u w:val="none"/>
                      <w:lang w:val="en-US"/>
                    </w:rPr>
                  </w:pPr>
                  <w:r>
                    <w:rPr>
                      <w:rFonts w:hint="eastAsia" w:ascii="仿宋_GB2312" w:hAnsi="仿宋_GB2312" w:eastAsia="仿宋_GB2312" w:cs="仿宋_GB2312"/>
                      <w:i w:val="0"/>
                      <w:iCs w:val="0"/>
                      <w:color w:val="auto"/>
                      <w:kern w:val="0"/>
                      <w:sz w:val="20"/>
                      <w:szCs w:val="20"/>
                      <w:highlight w:val="none"/>
                      <w:u w:val="none"/>
                      <w:lang w:val="en-US" w:eastAsia="zh-CN" w:bidi="ar"/>
                    </w:rPr>
                    <w:t>9月30日</w:t>
                  </w:r>
                </w:p>
              </w:tc>
            </w:tr>
            <w:tr w14:paraId="279D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D450">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9月29日</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-9月30日</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b w:val="0"/>
                      <w:bCs w:val="0"/>
                      <w:color w:val="auto"/>
                      <w:sz w:val="20"/>
                      <w:szCs w:val="20"/>
                      <w:highlight w:val="none"/>
                      <w:lang w:val="en-US" w:eastAsia="zh-CN"/>
                    </w:rPr>
                    <w:t>（不含）</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C4A3">
                  <w:pPr>
                    <w:keepNext w:val="0"/>
                    <w:keepLines w:val="0"/>
                    <w:widowControl/>
                    <w:suppressLineNumbers w:val="0"/>
                    <w:jc w:val="center"/>
                    <w:textAlignment w:val="auto"/>
                    <w:rPr>
                      <w:rFonts w:hint="default" w:ascii="仿宋_GB2312" w:hAnsi="仿宋_GB2312" w:eastAsia="仿宋_GB2312" w:cs="仿宋_GB2312"/>
                      <w:i w:val="0"/>
                      <w:iCs w:val="0"/>
                      <w:color w:val="auto"/>
                      <w:sz w:val="20"/>
                      <w:szCs w:val="20"/>
                      <w:highlight w:val="none"/>
                      <w:u w:val="none"/>
                      <w:lang w:val="en-US"/>
                    </w:rPr>
                  </w:pPr>
                  <w:r>
                    <w:rPr>
                      <w:rFonts w:hint="eastAsia" w:ascii="仿宋_GB2312" w:hAnsi="仿宋_GB2312" w:eastAsia="仿宋_GB2312" w:cs="仿宋_GB2312"/>
                      <w:i w:val="0"/>
                      <w:iCs w:val="0"/>
                      <w:color w:val="auto"/>
                      <w:kern w:val="0"/>
                      <w:sz w:val="20"/>
                      <w:szCs w:val="20"/>
                      <w:highlight w:val="none"/>
                      <w:u w:val="none"/>
                      <w:lang w:val="en-US" w:eastAsia="zh-CN" w:bidi="ar"/>
                    </w:rPr>
                    <w:t>10月8日</w:t>
                  </w:r>
                </w:p>
              </w:tc>
            </w:tr>
            <w:tr w14:paraId="78F6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337C">
                  <w:pPr>
                    <w:keepNext w:val="0"/>
                    <w:keepLines w:val="0"/>
                    <w:widowControl/>
                    <w:suppressLineNumbers w:val="0"/>
                    <w:jc w:val="center"/>
                    <w:textAlignment w:val="auto"/>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9月30日</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i w:val="0"/>
                      <w:iCs w:val="0"/>
                      <w:color w:val="auto"/>
                      <w:kern w:val="0"/>
                      <w:sz w:val="20"/>
                      <w:szCs w:val="20"/>
                      <w:highlight w:val="none"/>
                      <w:u w:val="none"/>
                      <w:lang w:val="en-US" w:eastAsia="zh-CN" w:bidi="ar"/>
                    </w:rPr>
                    <w:t>-10月8日</w:t>
                  </w:r>
                  <w:r>
                    <w:rPr>
                      <w:rFonts w:hint="eastAsia" w:ascii="仿宋_GB2312" w:hAnsi="仿宋_GB2312" w:eastAsia="仿宋_GB2312" w:cs="仿宋_GB2312"/>
                      <w:b w:val="0"/>
                      <w:bCs w:val="0"/>
                      <w:color w:val="auto"/>
                      <w:sz w:val="20"/>
                      <w:highlight w:val="none"/>
                      <w:lang w:val="en-US" w:eastAsia="zh-CN"/>
                    </w:rPr>
                    <w:t>15:00</w:t>
                  </w:r>
                  <w:r>
                    <w:rPr>
                      <w:rFonts w:hint="eastAsia" w:ascii="仿宋_GB2312" w:hAnsi="仿宋_GB2312" w:eastAsia="仿宋_GB2312" w:cs="仿宋_GB2312"/>
                      <w:b w:val="0"/>
                      <w:bCs w:val="0"/>
                      <w:color w:val="auto"/>
                      <w:sz w:val="20"/>
                      <w:szCs w:val="20"/>
                      <w:highlight w:val="none"/>
                      <w:lang w:val="en-US" w:eastAsia="zh-CN"/>
                    </w:rPr>
                    <w:t>（不含）</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3413">
                  <w:pPr>
                    <w:keepNext w:val="0"/>
                    <w:keepLines w:val="0"/>
                    <w:widowControl/>
                    <w:suppressLineNumbers w:val="0"/>
                    <w:jc w:val="center"/>
                    <w:textAlignment w:val="auto"/>
                    <w:rPr>
                      <w:rFonts w:hint="default" w:ascii="仿宋_GB2312" w:hAnsi="仿宋_GB2312" w:eastAsia="仿宋_GB2312" w:cs="仿宋_GB2312"/>
                      <w:i w:val="0"/>
                      <w:iCs w:val="0"/>
                      <w:color w:val="auto"/>
                      <w:sz w:val="20"/>
                      <w:szCs w:val="20"/>
                      <w:highlight w:val="none"/>
                      <w:u w:val="none"/>
                      <w:lang w:val="en-US"/>
                    </w:rPr>
                  </w:pPr>
                  <w:r>
                    <w:rPr>
                      <w:rFonts w:hint="eastAsia" w:ascii="仿宋_GB2312" w:hAnsi="仿宋_GB2312" w:eastAsia="仿宋_GB2312" w:cs="仿宋_GB2312"/>
                      <w:i w:val="0"/>
                      <w:iCs w:val="0"/>
                      <w:color w:val="auto"/>
                      <w:kern w:val="0"/>
                      <w:sz w:val="20"/>
                      <w:szCs w:val="20"/>
                      <w:highlight w:val="none"/>
                      <w:u w:val="none"/>
                      <w:lang w:val="en-US" w:eastAsia="zh-CN" w:bidi="ar"/>
                    </w:rPr>
                    <w:t>10月9日</w:t>
                  </w:r>
                </w:p>
              </w:tc>
            </w:tr>
          </w:tbl>
          <w:p w14:paraId="6ED590ED">
            <w:pPr>
              <w:keepNext w:val="0"/>
              <w:keepLines w:val="0"/>
              <w:widowControl/>
              <w:numPr>
                <w:ilvl w:val="-1"/>
                <w:numId w:val="0"/>
              </w:numPr>
              <w:suppressLineNumbers w:val="0"/>
              <w:ind w:leftChars="0" w:firstLine="0" w:firstLineChars="0"/>
              <w:jc w:val="left"/>
              <w:rPr>
                <w:rFonts w:hint="eastAsia" w:ascii="仿宋_GB2312" w:hAnsi="仿宋_GB2312" w:eastAsia="仿宋_GB2312" w:cs="仿宋_GB2312"/>
                <w:b w:val="0"/>
                <w:bCs w:val="0"/>
                <w:color w:val="auto"/>
                <w:sz w:val="20"/>
                <w:szCs w:val="20"/>
                <w:highlight w:val="none"/>
                <w:lang w:val="en-US" w:eastAsia="zh-CN"/>
              </w:rPr>
            </w:pPr>
          </w:p>
          <w:p w14:paraId="695B6544">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6507F8E8">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7F958BF6">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4EF0E79E">
            <w:pPr>
              <w:keepNext w:val="0"/>
              <w:keepLines w:val="0"/>
              <w:widowControl/>
              <w:numPr>
                <w:ilvl w:val="-1"/>
                <w:numId w:val="0"/>
              </w:numPr>
              <w:suppressLineNumbers w:val="0"/>
              <w:ind w:leftChars="0"/>
              <w:jc w:val="left"/>
              <w:rPr>
                <w:rFonts w:hint="eastAsia" w:ascii="仿宋_GB2312" w:hAnsi="仿宋_GB2312" w:eastAsia="仿宋_GB2312" w:cs="仿宋_GB2312"/>
                <w:b w:val="0"/>
                <w:bCs w:val="0"/>
                <w:color w:val="auto"/>
                <w:sz w:val="20"/>
                <w:szCs w:val="20"/>
                <w:highlight w:val="none"/>
                <w:lang w:val="en-US" w:eastAsia="zh-CN"/>
              </w:rPr>
            </w:pPr>
          </w:p>
          <w:p w14:paraId="20ED9311">
            <w:pPr>
              <w:rPr>
                <w:rFonts w:hint="eastAsia" w:ascii="仿宋_GB2312" w:hAnsi="仿宋_GB2312" w:eastAsia="仿宋_GB2312" w:cs="仿宋_GB2312"/>
                <w:b w:val="0"/>
                <w:bCs/>
                <w:color w:val="auto"/>
                <w:sz w:val="20"/>
                <w:szCs w:val="20"/>
                <w:highlight w:val="none"/>
                <w:lang w:eastAsia="zh-CN"/>
              </w:rPr>
            </w:pPr>
          </w:p>
          <w:p w14:paraId="174E9939">
            <w:pPr>
              <w:keepNext w:val="0"/>
              <w:keepLines w:val="0"/>
              <w:widowControl/>
              <w:suppressLineNumbers w:val="0"/>
              <w:jc w:val="left"/>
              <w:rPr>
                <w:rFonts w:hint="eastAsia"/>
                <w:highlight w:val="none"/>
                <w:lang w:val="en-US" w:eastAsia="zh-CN"/>
              </w:rPr>
            </w:pPr>
            <w:r>
              <w:rPr>
                <w:rFonts w:hint="eastAsia" w:ascii="仿宋_GB2312" w:hAnsi="仿宋_GB2312" w:eastAsia="仿宋_GB2312" w:cs="仿宋_GB2312"/>
                <w:b w:val="0"/>
                <w:bCs/>
                <w:color w:val="auto"/>
                <w:sz w:val="20"/>
                <w:szCs w:val="20"/>
                <w:highlight w:val="none"/>
                <w:lang w:eastAsia="zh-CN"/>
              </w:rPr>
              <w:t>投资者在</w:t>
            </w:r>
            <w:r>
              <w:rPr>
                <w:rFonts w:hint="eastAsia" w:ascii="仿宋_GB2312" w:hAnsi="仿宋_GB2312" w:eastAsia="仿宋_GB2312" w:cs="仿宋_GB2312"/>
                <w:b w:val="0"/>
                <w:bCs/>
                <w:color w:val="auto"/>
                <w:sz w:val="20"/>
                <w:szCs w:val="20"/>
                <w:highlight w:val="none"/>
                <w:lang w:val="en-US" w:eastAsia="zh-CN"/>
              </w:rPr>
              <w:t>赎回时间</w:t>
            </w:r>
            <w:r>
              <w:rPr>
                <w:rFonts w:hint="eastAsia" w:ascii="仿宋_GB2312" w:hAnsi="仿宋_GB2312" w:eastAsia="仿宋_GB2312" w:cs="仿宋_GB2312"/>
                <w:b w:val="0"/>
                <w:bCs/>
                <w:color w:val="auto"/>
                <w:sz w:val="20"/>
                <w:szCs w:val="20"/>
                <w:highlight w:val="none"/>
                <w:lang w:eastAsia="zh-CN"/>
              </w:rPr>
              <w:t>内提</w:t>
            </w:r>
            <w:r>
              <w:rPr>
                <w:rFonts w:hint="eastAsia" w:ascii="仿宋_GB2312" w:hAnsi="仿宋_GB2312" w:eastAsia="仿宋_GB2312" w:cs="仿宋_GB2312"/>
                <w:b w:val="0"/>
                <w:bCs/>
                <w:color w:val="auto"/>
                <w:sz w:val="20"/>
                <w:szCs w:val="20"/>
                <w:highlight w:val="none"/>
                <w:lang w:val="en-US" w:eastAsia="zh-CN"/>
              </w:rPr>
              <w:t>出的赎回</w:t>
            </w:r>
            <w:r>
              <w:rPr>
                <w:rFonts w:hint="eastAsia" w:ascii="仿宋_GB2312" w:hAnsi="仿宋_GB2312" w:eastAsia="仿宋_GB2312" w:cs="仿宋_GB2312"/>
                <w:b w:val="0"/>
                <w:bCs/>
                <w:color w:val="auto"/>
                <w:sz w:val="20"/>
                <w:szCs w:val="20"/>
                <w:highlight w:val="none"/>
                <w:lang w:eastAsia="zh-CN"/>
              </w:rPr>
              <w:t>申请</w:t>
            </w:r>
            <w:r>
              <w:rPr>
                <w:rFonts w:hint="eastAsia" w:ascii="仿宋_GB2312" w:hAnsi="仿宋_GB2312" w:eastAsia="仿宋_GB2312" w:cs="仿宋_GB2312"/>
                <w:b w:val="0"/>
                <w:bCs/>
                <w:color w:val="auto"/>
                <w:sz w:val="20"/>
                <w:szCs w:val="20"/>
                <w:highlight w:val="none"/>
                <w:lang w:val="en-US" w:eastAsia="zh-CN"/>
              </w:rPr>
              <w:t>，提出赎回</w:t>
            </w:r>
            <w:r>
              <w:rPr>
                <w:rFonts w:hint="eastAsia" w:ascii="仿宋_GB2312" w:hAnsi="仿宋_GB2312" w:eastAsia="仿宋_GB2312" w:cs="仿宋_GB2312"/>
                <w:b w:val="0"/>
                <w:bCs/>
                <w:color w:val="auto"/>
                <w:sz w:val="20"/>
                <w:szCs w:val="20"/>
                <w:highlight w:val="none"/>
                <w:lang w:eastAsia="zh-CN"/>
              </w:rPr>
              <w:t>申请</w:t>
            </w:r>
            <w:r>
              <w:rPr>
                <w:rFonts w:hint="eastAsia" w:ascii="仿宋_GB2312" w:hAnsi="仿宋_GB2312" w:eastAsia="仿宋_GB2312" w:cs="仿宋_GB2312"/>
                <w:b w:val="0"/>
                <w:bCs/>
                <w:color w:val="auto"/>
                <w:sz w:val="20"/>
                <w:szCs w:val="20"/>
                <w:highlight w:val="none"/>
                <w:lang w:val="en-US" w:eastAsia="zh-CN"/>
              </w:rPr>
              <w:t>日</w:t>
            </w:r>
            <w:r>
              <w:rPr>
                <w:rFonts w:hint="eastAsia" w:ascii="仿宋_GB2312" w:hAnsi="仿宋_GB2312" w:eastAsia="仿宋_GB2312" w:cs="仿宋_GB2312"/>
                <w:b w:val="0"/>
                <w:bCs/>
                <w:color w:val="auto"/>
                <w:sz w:val="20"/>
                <w:szCs w:val="20"/>
                <w:highlight w:val="none"/>
                <w:lang w:eastAsia="zh-CN"/>
              </w:rPr>
              <w:t>至</w:t>
            </w:r>
            <w:r>
              <w:rPr>
                <w:rFonts w:hint="eastAsia" w:ascii="仿宋_GB2312" w:hAnsi="仿宋_GB2312" w:eastAsia="仿宋_GB2312" w:cs="仿宋_GB2312"/>
                <w:b w:val="0"/>
                <w:bCs/>
                <w:i w:val="0"/>
                <w:iCs w:val="0"/>
                <w:color w:val="auto"/>
                <w:kern w:val="0"/>
                <w:sz w:val="20"/>
                <w:szCs w:val="20"/>
                <w:highlight w:val="none"/>
                <w:u w:val="none"/>
                <w:lang w:val="en-US" w:eastAsia="zh-CN" w:bidi="ar"/>
              </w:rPr>
              <w:t>赎回确认日</w:t>
            </w:r>
            <w:r>
              <w:rPr>
                <w:rFonts w:hint="eastAsia" w:ascii="仿宋_GB2312" w:hAnsi="仿宋_GB2312" w:eastAsia="仿宋_GB2312" w:cs="仿宋_GB2312"/>
                <w:b w:val="0"/>
                <w:bCs/>
                <w:color w:val="auto"/>
                <w:sz w:val="20"/>
                <w:szCs w:val="20"/>
                <w:highlight w:val="none"/>
                <w:lang w:eastAsia="zh-CN"/>
              </w:rPr>
              <w:t>（</w:t>
            </w:r>
            <w:r>
              <w:rPr>
                <w:rFonts w:hint="eastAsia" w:ascii="仿宋_GB2312" w:hAnsi="仿宋_GB2312" w:eastAsia="仿宋_GB2312" w:cs="仿宋_GB2312"/>
                <w:b w:val="0"/>
                <w:bCs/>
                <w:color w:val="auto"/>
                <w:sz w:val="20"/>
                <w:szCs w:val="20"/>
                <w:highlight w:val="none"/>
                <w:lang w:val="en-US" w:eastAsia="zh-CN"/>
              </w:rPr>
              <w:t>不含</w:t>
            </w:r>
            <w:r>
              <w:rPr>
                <w:rFonts w:hint="eastAsia" w:ascii="仿宋_GB2312" w:hAnsi="仿宋_GB2312" w:eastAsia="仿宋_GB2312" w:cs="仿宋_GB2312"/>
                <w:b w:val="0"/>
                <w:bCs/>
                <w:color w:val="auto"/>
                <w:sz w:val="20"/>
                <w:szCs w:val="20"/>
                <w:highlight w:val="none"/>
                <w:lang w:eastAsia="zh-CN"/>
              </w:rPr>
              <w:t>）</w:t>
            </w:r>
            <w:r>
              <w:rPr>
                <w:rFonts w:hint="eastAsia" w:ascii="仿宋_GB2312" w:hAnsi="仿宋_GB2312" w:eastAsia="仿宋_GB2312" w:cs="仿宋_GB2312"/>
                <w:b w:val="0"/>
                <w:bCs/>
                <w:color w:val="auto"/>
                <w:sz w:val="20"/>
                <w:szCs w:val="20"/>
                <w:highlight w:val="none"/>
                <w:lang w:val="en-US" w:eastAsia="zh-CN"/>
              </w:rPr>
              <w:t>之间继续享有分配权，不</w:t>
            </w:r>
            <w:r>
              <w:rPr>
                <w:rFonts w:hint="eastAsia" w:ascii="仿宋_GB2312" w:hAnsi="仿宋_GB2312" w:eastAsia="仿宋_GB2312" w:cs="仿宋_GB2312"/>
                <w:b w:val="0"/>
                <w:bCs/>
                <w:color w:val="auto"/>
                <w:sz w:val="20"/>
                <w:szCs w:val="20"/>
                <w:highlight w:val="none"/>
                <w:lang w:eastAsia="zh-CN"/>
              </w:rPr>
              <w:t>计算活期存款利息，</w:t>
            </w:r>
            <w:r>
              <w:rPr>
                <w:rFonts w:hint="eastAsia" w:ascii="仿宋_GB2312" w:hAnsi="仿宋_GB2312" w:eastAsia="仿宋_GB2312" w:cs="仿宋_GB2312"/>
                <w:b w:val="0"/>
                <w:bCs/>
                <w:i w:val="0"/>
                <w:iCs w:val="0"/>
                <w:color w:val="auto"/>
                <w:kern w:val="0"/>
                <w:sz w:val="20"/>
                <w:szCs w:val="20"/>
                <w:highlight w:val="none"/>
                <w:u w:val="none"/>
                <w:lang w:val="en-US" w:eastAsia="zh-CN" w:bidi="ar"/>
              </w:rPr>
              <w:t>赎回确认日赎回资金到账</w:t>
            </w:r>
            <w:r>
              <w:rPr>
                <w:rFonts w:hint="eastAsia" w:ascii="仿宋_GB2312" w:hAnsi="仿宋_GB2312" w:eastAsia="仿宋_GB2312" w:cs="仿宋_GB2312"/>
                <w:b w:val="0"/>
                <w:bCs/>
                <w:color w:val="auto"/>
                <w:sz w:val="20"/>
                <w:szCs w:val="20"/>
                <w:highlight w:val="none"/>
                <w:lang w:eastAsia="zh-CN"/>
              </w:rPr>
              <w:t>。</w:t>
            </w:r>
          </w:p>
        </w:tc>
      </w:tr>
      <w:tr w14:paraId="6D1902BF">
        <w:tblPrEx>
          <w:tblCellMar>
            <w:top w:w="0" w:type="dxa"/>
            <w:left w:w="0" w:type="dxa"/>
            <w:bottom w:w="0" w:type="dxa"/>
            <w:right w:w="0" w:type="dxa"/>
          </w:tblCellMar>
        </w:tblPrEx>
        <w:trPr>
          <w:trHeight w:val="64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984C75F">
            <w:pPr>
              <w:pStyle w:val="18"/>
              <w:jc w:val="center"/>
              <w:rPr>
                <w:rFonts w:hint="default"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552F0770">
            <w:pPr>
              <w:keepNext w:val="0"/>
              <w:keepLines w:val="0"/>
              <w:widowControl/>
              <w:numPr>
                <w:ilvl w:val="-1"/>
                <w:numId w:val="0"/>
              </w:numPr>
              <w:suppressLineNumbers w:val="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3.巨额赎回:</w:t>
            </w:r>
          </w:p>
          <w:p w14:paraId="4C2BC0EC">
            <w:pPr>
              <w:keepNext w:val="0"/>
              <w:keepLines w:val="0"/>
              <w:widowControl/>
              <w:numPr>
                <w:ilvl w:val="-1"/>
                <w:numId w:val="0"/>
              </w:numPr>
              <w:suppressLineNumbers w:val="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发生巨额赎回时，管理人可根据实际情况暂停接受赎回申请或延迟支付赎回款项，并根据实际情况再确定恢复接受赎回申请或支付赎回款项的时间。</w:t>
            </w:r>
          </w:p>
          <w:p w14:paraId="7C4DF336">
            <w:pPr>
              <w:keepNext w:val="0"/>
              <w:keepLines w:val="0"/>
              <w:widowControl/>
              <w:suppressLineNumbers w:val="0"/>
              <w:ind w:firstLine="0" w:firstLineChars="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当产品管理人认为支付投资者的赎回申请有困难或认为支付投资者的赎回申请可能会对理财产品净值造成较大波动时，在当日接受赎回比例不低于前一日终理财产品总份额的10％的前提下，产品管理人对其余赎回申请予以暂停接受或延期办理，</w:t>
            </w:r>
            <w:r>
              <w:rPr>
                <w:rFonts w:hint="eastAsia" w:ascii="仿宋_GB2312" w:hAnsi="仿宋_GB2312" w:eastAsia="仿宋_GB2312" w:cs="仿宋_GB2312"/>
                <w:color w:val="auto"/>
                <w:sz w:val="20"/>
                <w:szCs w:val="20"/>
                <w:highlight w:val="none"/>
                <w:lang w:eastAsia="zh-CN" w:bidi="ar"/>
              </w:rPr>
              <w:t>管理人有权于开放日按照投资者赎回递交申请的顺序，依照时间优先（即先申请、先赎回）的原则确认当日受理的赎回申请；</w:t>
            </w:r>
          </w:p>
          <w:p w14:paraId="526E6237">
            <w:pPr>
              <w:keepNext w:val="0"/>
              <w:keepLines w:val="0"/>
              <w:widowControl/>
              <w:suppressLineNumbers w:val="0"/>
              <w:ind w:firstLine="0" w:firstLineChars="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连续2个以上开放日发生巨额赎回的，对于已经接受的赎回申请，产品管理人可以延缓支付赎回款项，但延缓期限不得超过20个工作日。</w:t>
            </w:r>
          </w:p>
          <w:p w14:paraId="1F90A9ED">
            <w:pPr>
              <w:keepNext w:val="0"/>
              <w:keepLines w:val="0"/>
              <w:widowControl/>
              <w:numPr>
                <w:ilvl w:val="-1"/>
                <w:numId w:val="0"/>
              </w:numPr>
              <w:suppressLineNumbers w:val="0"/>
              <w:jc w:val="both"/>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4.特别规定：</w:t>
            </w:r>
          </w:p>
          <w:p w14:paraId="6467818E">
            <w:pPr>
              <w:keepNext w:val="0"/>
              <w:keepLines w:val="0"/>
              <w:widowControl/>
              <w:numPr>
                <w:ilvl w:val="-1"/>
                <w:numId w:val="0"/>
              </w:numPr>
              <w:suppressLineNumbers w:val="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开放期内，单个投资者持有的单只产品单个自然日的赎回金额在1万元（含）以内的，投资者在提交赎回当日取得赎回资金。</w:t>
            </w:r>
          </w:p>
          <w:p w14:paraId="0381C19D">
            <w:pPr>
              <w:keepNext w:val="0"/>
              <w:keepLines w:val="0"/>
              <w:widowControl/>
              <w:suppressLineNumbers w:val="0"/>
              <w:jc w:val="both"/>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kern w:val="0"/>
                <w:sz w:val="20"/>
                <w:szCs w:val="20"/>
                <w:highlight w:val="none"/>
                <w:lang w:val="en-US" w:eastAsia="zh-CN" w:bidi="ar"/>
              </w:rPr>
              <w:t>5.管理人可拒绝接受或暂停接受投资者赎回申请的情形：</w:t>
            </w:r>
          </w:p>
          <w:p w14:paraId="78EA2109">
            <w:pPr>
              <w:keepNext w:val="0"/>
              <w:keepLines w:val="0"/>
              <w:widowControl/>
              <w:suppressLineNumbers w:val="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（1）因不可抗力或国家经济金融政策发生变化等原因导致管理人不能支付赎回款项；</w:t>
            </w:r>
          </w:p>
          <w:p w14:paraId="478C0461">
            <w:pPr>
              <w:keepNext w:val="0"/>
              <w:keepLines w:val="0"/>
              <w:widowControl/>
              <w:suppressLineNumbers w:val="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（2）证券交易场所或银行间债券市场依法决定停市等情形；</w:t>
            </w:r>
          </w:p>
          <w:p w14:paraId="5B5BCCD3">
            <w:pPr>
              <w:keepNext w:val="0"/>
              <w:keepLines w:val="0"/>
              <w:widowControl/>
              <w:suppressLineNumbers w:val="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（3）本产品投资的公开或非公开交易市场的资产无法变现，或经管理人基于审慎的原则判断资产变现可能会对本产品投资收益造成重大不利影响的；</w:t>
            </w:r>
          </w:p>
          <w:p w14:paraId="02EE50F8">
            <w:pPr>
              <w:keepNext w:val="0"/>
              <w:keepLines w:val="0"/>
              <w:widowControl/>
              <w:suppressLineNumbers w:val="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（4）当管理人认为某笔赎回申请会有损于本产品其他份额持有人利益时；</w:t>
            </w:r>
          </w:p>
          <w:p w14:paraId="3D92C664">
            <w:pPr>
              <w:keepNext w:val="0"/>
              <w:keepLines w:val="0"/>
              <w:widowControl/>
              <w:suppressLineNumbers w:val="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（5）当影子定价确定的本产品资产净值与摊余成本法计算的资产净值负偏离度绝对值连续两个交易日超过0.5%时；</w:t>
            </w:r>
          </w:p>
          <w:p w14:paraId="039FDFA3">
            <w:pPr>
              <w:keepNext w:val="0"/>
              <w:keepLines w:val="0"/>
              <w:widowControl/>
              <w:suppressLineNumbers w:val="0"/>
              <w:jc w:val="both"/>
              <w:rPr>
                <w:rFonts w:hint="default" w:ascii="仿宋_GB2312" w:hAnsi="仿宋_GB2312" w:eastAsia="仿宋_GB2312" w:cs="仿宋_GB2312"/>
                <w:color w:val="auto"/>
                <w:kern w:val="0"/>
                <w:sz w:val="20"/>
                <w:szCs w:val="20"/>
                <w:highlight w:val="none"/>
                <w:vertAlign w:val="baseline"/>
                <w:lang w:val="en-US" w:eastAsia="zh-CN" w:bidi="ar"/>
              </w:rPr>
            </w:pPr>
            <w:r>
              <w:rPr>
                <w:rFonts w:hint="eastAsia" w:ascii="仿宋_GB2312" w:hAnsi="仿宋_GB2312" w:eastAsia="仿宋_GB2312" w:cs="仿宋_GB2312"/>
                <w:color w:val="auto"/>
                <w:kern w:val="0"/>
                <w:sz w:val="20"/>
                <w:szCs w:val="20"/>
                <w:highlight w:val="none"/>
                <w:lang w:val="en-US" w:eastAsia="zh-CN" w:bidi="ar"/>
              </w:rPr>
              <w:t>（6）法律法规规定或管理人基于投资运作、风险控制需要和审慎考虑认定的其他情形。</w:t>
            </w:r>
          </w:p>
        </w:tc>
      </w:tr>
      <w:tr w14:paraId="227E0FB8">
        <w:tblPrEx>
          <w:tblCellMar>
            <w:top w:w="0" w:type="dxa"/>
            <w:left w:w="0" w:type="dxa"/>
            <w:bottom w:w="0" w:type="dxa"/>
            <w:right w:w="0" w:type="dxa"/>
          </w:tblCellMar>
        </w:tblPrEx>
        <w:trPr>
          <w:trHeight w:val="124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B0A1E2E">
            <w:pPr>
              <w:pStyle w:val="18"/>
              <w:jc w:val="center"/>
              <w:rPr>
                <w:rFonts w:hint="default"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产品费用</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826F8F">
            <w:pPr>
              <w:pStyle w:val="3"/>
              <w:spacing w:before="0"/>
              <w:ind w:left="0" w:leftChars="0" w:right="153" w:firstLine="0" w:firstLineChars="0"/>
              <w:jc w:val="both"/>
              <w:rPr>
                <w:rFonts w:ascii="仿宋_GB2312" w:eastAsia="仿宋_GB2312" w:cs="Times New Roman" w:hAnsiTheme="minorEastAsia"/>
                <w:b w:val="0"/>
                <w:bCs w:val="0"/>
                <w:color w:val="auto"/>
                <w:sz w:val="20"/>
                <w:highlight w:val="none"/>
                <w:lang w:eastAsia="zh-CN"/>
              </w:rPr>
            </w:pPr>
            <w:r>
              <w:rPr>
                <w:rFonts w:ascii="仿宋_GB2312" w:eastAsia="仿宋_GB2312" w:cs="Times New Roman" w:hAnsiTheme="minorEastAsia"/>
                <w:b w:val="0"/>
                <w:bCs w:val="0"/>
                <w:color w:val="auto"/>
                <w:sz w:val="20"/>
                <w:highlight w:val="none"/>
                <w:lang w:eastAsia="zh-CN"/>
              </w:rPr>
              <w:t>本产品不收取认购费、申购费</w:t>
            </w:r>
            <w:r>
              <w:rPr>
                <w:rFonts w:hint="eastAsia" w:ascii="仿宋_GB2312" w:eastAsia="仿宋_GB2312" w:cs="Times New Roman" w:hAnsiTheme="minorEastAsia"/>
                <w:b w:val="0"/>
                <w:bCs w:val="0"/>
                <w:color w:val="auto"/>
                <w:sz w:val="20"/>
                <w:highlight w:val="none"/>
                <w:lang w:eastAsia="zh-CN"/>
              </w:rPr>
              <w:t>，</w:t>
            </w:r>
            <w:r>
              <w:rPr>
                <w:rFonts w:hint="eastAsia" w:ascii="仿宋_GB2312" w:eastAsia="仿宋_GB2312" w:cs="Times New Roman" w:hAnsiTheme="minorEastAsia"/>
                <w:b w:val="0"/>
                <w:bCs w:val="0"/>
                <w:color w:val="auto"/>
                <w:sz w:val="20"/>
                <w:highlight w:val="none"/>
                <w:lang w:val="en-US" w:eastAsia="zh-CN"/>
              </w:rPr>
              <w:t>特殊情况下可能收取强制赎回费</w:t>
            </w:r>
            <w:r>
              <w:rPr>
                <w:rFonts w:ascii="仿宋_GB2312" w:eastAsia="仿宋_GB2312" w:cs="Times New Roman" w:hAnsiTheme="minorEastAsia"/>
                <w:b w:val="0"/>
                <w:bCs w:val="0"/>
                <w:color w:val="auto"/>
                <w:sz w:val="20"/>
                <w:highlight w:val="none"/>
                <w:lang w:eastAsia="zh-CN"/>
              </w:rPr>
              <w:t>。</w:t>
            </w:r>
          </w:p>
          <w:p w14:paraId="0013701F">
            <w:pPr>
              <w:keepNext w:val="0"/>
              <w:keepLines w:val="0"/>
              <w:widowControl/>
              <w:suppressLineNumbers w:val="0"/>
              <w:ind w:firstLine="0" w:firstLineChars="0"/>
              <w:jc w:val="both"/>
              <w:rPr>
                <w:rFonts w:hint="default" w:ascii="仿宋_GB2312" w:eastAsia="仿宋_GB2312" w:cs="Times New Roman" w:hAnsiTheme="minorEastAsia"/>
                <w:b w:val="0"/>
                <w:bCs w:val="0"/>
                <w:color w:val="auto"/>
                <w:sz w:val="20"/>
                <w:highlight w:val="none"/>
                <w:lang w:val="en-US" w:eastAsia="zh-CN"/>
              </w:rPr>
            </w:pPr>
            <w:r>
              <w:rPr>
                <w:rFonts w:ascii="仿宋_GB2312" w:eastAsia="仿宋_GB2312" w:cs="Times New Roman" w:hAnsiTheme="minorEastAsia"/>
                <w:b w:val="0"/>
                <w:bCs w:val="0"/>
                <w:color w:val="auto"/>
                <w:sz w:val="20"/>
                <w:highlight w:val="none"/>
                <w:lang w:eastAsia="zh-CN"/>
              </w:rPr>
              <w:t>本产品收取</w:t>
            </w:r>
            <w:r>
              <w:rPr>
                <w:rFonts w:ascii="仿宋_GB2312" w:eastAsia="仿宋_GB2312" w:cs="Times New Roman" w:hAnsiTheme="minorEastAsia"/>
                <w:b/>
                <w:bCs/>
                <w:color w:val="auto"/>
                <w:sz w:val="20"/>
                <w:highlight w:val="none"/>
                <w:lang w:eastAsia="zh-CN"/>
              </w:rPr>
              <w:t>固定销售费</w:t>
            </w:r>
            <w:r>
              <w:rPr>
                <w:rFonts w:hint="eastAsia" w:ascii="仿宋_GB2312" w:eastAsia="仿宋_GB2312" w:cs="Times New Roman" w:hAnsiTheme="minorEastAsia"/>
                <w:b/>
                <w:bCs/>
                <w:color w:val="auto"/>
                <w:sz w:val="20"/>
                <w:highlight w:val="none"/>
                <w:u w:val="single"/>
                <w:lang w:val="en-US" w:eastAsia="zh-CN"/>
              </w:rPr>
              <w:t>0.15</w:t>
            </w:r>
            <w:r>
              <w:rPr>
                <w:rFonts w:ascii="仿宋_GB2312" w:eastAsia="仿宋_GB2312" w:cs="Times New Roman" w:hAnsiTheme="minorEastAsia"/>
                <w:b/>
                <w:bCs/>
                <w:color w:val="auto"/>
                <w:sz w:val="20"/>
                <w:highlight w:val="none"/>
                <w:u w:val="none"/>
                <w:lang w:eastAsia="zh-CN"/>
              </w:rPr>
              <w:t>%/年、固定管理费</w:t>
            </w:r>
            <w:r>
              <w:rPr>
                <w:rFonts w:hint="eastAsia" w:ascii="仿宋_GB2312" w:eastAsia="仿宋_GB2312" w:cs="Times New Roman" w:hAnsiTheme="minorEastAsia"/>
                <w:b/>
                <w:bCs/>
                <w:color w:val="auto"/>
                <w:sz w:val="20"/>
                <w:highlight w:val="none"/>
                <w:u w:val="single"/>
                <w:lang w:val="en-US" w:eastAsia="zh-CN"/>
              </w:rPr>
              <w:t>0.15</w:t>
            </w:r>
            <w:r>
              <w:rPr>
                <w:rFonts w:ascii="仿宋_GB2312" w:eastAsia="仿宋_GB2312" w:cs="Times New Roman" w:hAnsiTheme="minorEastAsia"/>
                <w:b/>
                <w:bCs/>
                <w:color w:val="auto"/>
                <w:sz w:val="20"/>
                <w:highlight w:val="none"/>
                <w:u w:val="none"/>
                <w:lang w:eastAsia="zh-CN"/>
              </w:rPr>
              <w:t>%/年、固定托管费</w:t>
            </w:r>
            <w:r>
              <w:rPr>
                <w:rFonts w:hint="eastAsia" w:ascii="仿宋_GB2312" w:eastAsia="仿宋_GB2312" w:cs="Times New Roman" w:hAnsiTheme="minorEastAsia"/>
                <w:b/>
                <w:bCs/>
                <w:color w:val="auto"/>
                <w:sz w:val="20"/>
                <w:highlight w:val="none"/>
                <w:u w:val="single"/>
                <w:lang w:val="en-US" w:eastAsia="zh-CN"/>
              </w:rPr>
              <w:t>0.01</w:t>
            </w:r>
            <w:r>
              <w:rPr>
                <w:rFonts w:ascii="仿宋_GB2312" w:eastAsia="仿宋_GB2312" w:cs="Times New Roman" w:hAnsiTheme="minorEastAsia"/>
                <w:b/>
                <w:bCs/>
                <w:color w:val="auto"/>
                <w:sz w:val="20"/>
                <w:highlight w:val="none"/>
                <w:u w:val="none"/>
                <w:lang w:eastAsia="zh-CN"/>
              </w:rPr>
              <w:t>%/</w:t>
            </w:r>
            <w:r>
              <w:rPr>
                <w:rFonts w:ascii="仿宋_GB2312" w:eastAsia="仿宋_GB2312" w:cs="Times New Roman" w:hAnsiTheme="minorEastAsia"/>
                <w:b/>
                <w:bCs/>
                <w:color w:val="auto"/>
                <w:sz w:val="20"/>
                <w:highlight w:val="none"/>
                <w:lang w:eastAsia="zh-CN"/>
              </w:rPr>
              <w:t>年</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超额业绩报酬（如有）、强制赎回费（如有）及其他相关费用。</w:t>
            </w:r>
          </w:p>
          <w:p w14:paraId="2ACC6328">
            <w:pPr>
              <w:keepNext w:val="0"/>
              <w:keepLines w:val="0"/>
              <w:widowControl/>
              <w:suppressLineNumbers w:val="0"/>
              <w:ind w:firstLine="0" w:firstLineChars="0"/>
              <w:jc w:val="both"/>
              <w:rPr>
                <w:rFonts w:hint="eastAsia"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val="0"/>
                <w:bCs w:val="0"/>
                <w:color w:val="auto"/>
                <w:sz w:val="20"/>
                <w:highlight w:val="none"/>
                <w:lang w:val="en-US" w:eastAsia="zh-CN"/>
              </w:rPr>
              <w:t>详见本理财产品说明书“七、理财收益与费用、税收说明：（一）费用”。</w:t>
            </w:r>
          </w:p>
        </w:tc>
      </w:tr>
      <w:tr w14:paraId="081EB4A1">
        <w:tblPrEx>
          <w:tblCellMar>
            <w:top w:w="0" w:type="dxa"/>
            <w:left w:w="0" w:type="dxa"/>
            <w:bottom w:w="0" w:type="dxa"/>
            <w:right w:w="0" w:type="dxa"/>
          </w:tblCellMar>
        </w:tblPrEx>
        <w:trPr>
          <w:trHeight w:val="96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29F9FB0">
            <w:pPr>
              <w:pStyle w:val="18"/>
              <w:jc w:val="center"/>
              <w:rPr>
                <w:rFonts w:hint="default"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理财产品单位净值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F1EED2">
            <w:pPr>
              <w:keepNext w:val="0"/>
              <w:keepLines w:val="0"/>
              <w:widowControl/>
              <w:suppressLineNumbers w:val="0"/>
              <w:ind w:firstLine="0" w:firstLineChars="0"/>
              <w:jc w:val="both"/>
              <w:rPr>
                <w:rFonts w:hint="eastAsia" w:ascii="仿宋_GB2312" w:eastAsia="仿宋_GB2312" w:cs="Times New Roman" w:hAnsiTheme="minorEastAsia"/>
                <w:color w:val="auto"/>
                <w:spacing w:val="0"/>
                <w:sz w:val="20"/>
                <w:szCs w:val="18"/>
                <w:highlight w:val="none"/>
                <w:lang w:eastAsia="zh-CN"/>
              </w:rPr>
            </w:pPr>
            <w:r>
              <w:rPr>
                <w:rFonts w:hint="eastAsia" w:ascii="仿宋_GB2312" w:eastAsia="仿宋_GB2312" w:cs="Times New Roman" w:hAnsiTheme="minorEastAsia"/>
                <w:color w:val="auto"/>
                <w:spacing w:val="0"/>
                <w:sz w:val="20"/>
                <w:szCs w:val="18"/>
                <w:highlight w:val="none"/>
                <w:lang w:val="en-US" w:eastAsia="zh-CN" w:bidi="ar-SA"/>
              </w:rPr>
              <w:t>本理财产品每一份额采用1元固定份额净值交易方式，</w:t>
            </w:r>
            <w:r>
              <w:rPr>
                <w:rFonts w:hint="eastAsia" w:ascii="仿宋_GB2312" w:eastAsia="仿宋_GB2312" w:cs="Times New Roman" w:hAnsiTheme="minorEastAsia"/>
                <w:color w:val="auto"/>
                <w:sz w:val="20"/>
                <w:szCs w:val="18"/>
                <w:highlight w:val="none"/>
                <w:lang w:val="en-US" w:eastAsia="zh-CN"/>
              </w:rPr>
              <w:t>理财产品单位</w:t>
            </w:r>
            <w:r>
              <w:rPr>
                <w:rFonts w:hint="eastAsia" w:ascii="仿宋_GB2312" w:eastAsia="仿宋_GB2312" w:cs="Times New Roman" w:hAnsiTheme="minorEastAsia"/>
                <w:color w:val="auto"/>
                <w:spacing w:val="0"/>
                <w:sz w:val="20"/>
                <w:szCs w:val="18"/>
                <w:highlight w:val="none"/>
                <w:lang w:val="en-US" w:eastAsia="zh-CN" w:bidi="ar-SA"/>
              </w:rPr>
              <w:t>净值大于1的部分以红利再投的方式每日结转为份额，使本理财产品每一份额单位净值始终保持1元。</w:t>
            </w:r>
          </w:p>
        </w:tc>
      </w:tr>
      <w:tr w14:paraId="3DF05C86">
        <w:tblPrEx>
          <w:tblCellMar>
            <w:top w:w="0" w:type="dxa"/>
            <w:left w:w="0" w:type="dxa"/>
            <w:bottom w:w="0" w:type="dxa"/>
            <w:right w:w="0" w:type="dxa"/>
          </w:tblCellMar>
        </w:tblPrEx>
        <w:trPr>
          <w:trHeight w:val="440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61E24E">
            <w:pPr>
              <w:pStyle w:val="27"/>
              <w:spacing w:before="65" w:line="261" w:lineRule="auto"/>
              <w:ind w:left="641" w:leftChars="0" w:right="210" w:rightChars="0" w:hanging="420" w:firstLineChars="0"/>
              <w:jc w:val="left"/>
              <w:rPr>
                <w:rFonts w:hint="eastAsia" w:ascii="仿宋_GB2312" w:hAnsi="仿宋_GB2312" w:eastAsia="仿宋_GB2312" w:cs="仿宋_GB2312"/>
                <w:color w:val="auto"/>
                <w:sz w:val="20"/>
                <w:szCs w:val="20"/>
                <w:highlight w:val="none"/>
                <w:lang w:val="en-US" w:eastAsia="zh-CN" w:bidi="ar-SA"/>
              </w:rPr>
            </w:pPr>
            <w:r>
              <w:rPr>
                <w:rFonts w:hint="eastAsia" w:ascii="仿宋_GB2312" w:hAnsi="仿宋_GB2312" w:eastAsia="仿宋_GB2312" w:cs="仿宋_GB2312"/>
                <w:color w:val="auto"/>
                <w:spacing w:val="0"/>
                <w:highlight w:val="none"/>
                <w:lang w:eastAsia="zh-CN"/>
              </w:rPr>
              <w:t>产品的收益及</w:t>
            </w:r>
            <w:r>
              <w:rPr>
                <w:rFonts w:hint="eastAsia" w:ascii="仿宋_GB2312" w:hAnsi="仿宋_GB2312" w:eastAsia="仿宋_GB2312" w:cs="仿宋_GB2312"/>
                <w:color w:val="auto"/>
                <w:highlight w:val="none"/>
                <w:lang w:eastAsia="zh-CN"/>
              </w:rPr>
              <w:t>分配</w:t>
            </w:r>
          </w:p>
        </w:tc>
        <w:tc>
          <w:tcPr>
            <w:tcW w:w="6946" w:type="dxa"/>
            <w:tcBorders>
              <w:top w:val="single" w:color="000000" w:sz="4" w:space="0"/>
              <w:left w:val="single" w:color="000000" w:sz="4" w:space="0"/>
              <w:bottom w:val="single" w:color="000000" w:sz="4" w:space="0"/>
              <w:right w:val="single" w:color="000000" w:sz="12" w:space="0"/>
            </w:tcBorders>
            <w:vAlign w:val="top"/>
          </w:tcPr>
          <w:p w14:paraId="301C3A49">
            <w:pPr>
              <w:pStyle w:val="27"/>
              <w:spacing w:before="49" w:line="259" w:lineRule="auto"/>
              <w:ind w:left="0" w:leftChars="0" w:right="109" w:firstLine="0" w:firstLineChars="0"/>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1.本理财产品收益分配方式为</w:t>
            </w:r>
            <w:r>
              <w:rPr>
                <w:rFonts w:hint="eastAsia" w:ascii="仿宋_GB2312" w:hAnsi="仿宋_GB2312" w:eastAsia="仿宋_GB2312" w:cs="仿宋_GB2312"/>
                <w:b w:val="0"/>
                <w:bCs w:val="0"/>
                <w:color w:val="auto"/>
                <w:spacing w:val="0"/>
                <w:highlight w:val="none"/>
                <w:lang w:eastAsia="zh-CN"/>
              </w:rPr>
              <w:t>每日分红、按工作日分配</w:t>
            </w:r>
            <w:r>
              <w:rPr>
                <w:rFonts w:hint="eastAsia" w:ascii="仿宋_GB2312" w:hAnsi="仿宋_GB2312" w:eastAsia="仿宋_GB2312" w:cs="仿宋_GB2312"/>
                <w:color w:val="auto"/>
                <w:highlight w:val="none"/>
                <w:lang w:val="en-US" w:eastAsia="zh-CN"/>
              </w:rPr>
              <w:t>。本理财产品根据每日理财产品收益情况，以每万份收益为基准，</w:t>
            </w:r>
            <w:r>
              <w:rPr>
                <w:rFonts w:hint="eastAsia" w:ascii="仿宋_GB2312" w:hAnsi="仿宋_GB2312" w:eastAsia="仿宋_GB2312" w:cs="仿宋_GB2312"/>
                <w:b w:val="0"/>
                <w:bCs w:val="0"/>
                <w:color w:val="auto"/>
                <w:spacing w:val="0"/>
                <w:highlight w:val="none"/>
                <w:lang w:eastAsia="zh-CN"/>
              </w:rPr>
              <w:t>为投资人计算每日收益，且每</w:t>
            </w:r>
            <w:r>
              <w:rPr>
                <w:rFonts w:hint="eastAsia" w:ascii="仿宋_GB2312" w:hAnsi="仿宋_GB2312" w:eastAsia="仿宋_GB2312" w:cs="仿宋_GB2312"/>
                <w:b w:val="0"/>
                <w:bCs w:val="0"/>
                <w:color w:val="auto"/>
                <w:spacing w:val="0"/>
                <w:highlight w:val="none"/>
                <w:lang w:val="en-US" w:eastAsia="zh-CN"/>
              </w:rPr>
              <w:t>个</w:t>
            </w:r>
            <w:r>
              <w:rPr>
                <w:rFonts w:hint="eastAsia" w:ascii="仿宋_GB2312" w:hAnsi="仿宋_GB2312" w:eastAsia="仿宋_GB2312" w:cs="仿宋_GB2312"/>
                <w:b w:val="0"/>
                <w:bCs w:val="0"/>
                <w:color w:val="auto"/>
                <w:spacing w:val="0"/>
                <w:highlight w:val="none"/>
                <w:lang w:eastAsia="zh-CN"/>
              </w:rPr>
              <w:t>工作日进行分配并支付</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投资者当日收益分配的计算保留到小数点后</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位，小数点后第3位</w:t>
            </w:r>
            <w:r>
              <w:rPr>
                <w:rFonts w:hint="eastAsia" w:ascii="仿宋_GB2312" w:hAnsi="仿宋_GB2312" w:eastAsia="仿宋_GB2312" w:cs="仿宋_GB2312"/>
                <w:color w:val="auto"/>
                <w:highlight w:val="none"/>
                <w:lang w:val="en-US" w:eastAsia="zh-CN"/>
              </w:rPr>
              <w:t>按去尾原则处理，因去尾形成的余额进行再次分配，直到分完为止。</w:t>
            </w:r>
          </w:p>
          <w:p w14:paraId="3161B949">
            <w:pPr>
              <w:pStyle w:val="27"/>
              <w:spacing w:before="37" w:line="227" w:lineRule="auto"/>
              <w:ind w:left="0" w:firstLine="0" w:firstLineChars="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val="0"/>
                <w:bCs w:val="0"/>
                <w:color w:val="auto"/>
                <w:spacing w:val="0"/>
                <w:highlight w:val="none"/>
                <w:lang w:val="en-US" w:eastAsia="zh-CN"/>
              </w:rPr>
              <w:t>2.</w:t>
            </w:r>
            <w:r>
              <w:rPr>
                <w:rFonts w:hint="eastAsia" w:ascii="仿宋_GB2312" w:hAnsi="仿宋_GB2312" w:eastAsia="仿宋_GB2312" w:cs="仿宋_GB2312"/>
                <w:b w:val="0"/>
                <w:bCs w:val="0"/>
                <w:color w:val="auto"/>
                <w:spacing w:val="0"/>
                <w:highlight w:val="none"/>
                <w:lang w:eastAsia="zh-CN"/>
              </w:rPr>
              <w:t>本产品在工作日支付收益时，收益支付方式采用红利再投(即红利转产品份额)方式。</w:t>
            </w:r>
          </w:p>
          <w:p w14:paraId="19619E4E">
            <w:pPr>
              <w:pStyle w:val="27"/>
              <w:spacing w:before="49" w:line="259" w:lineRule="auto"/>
              <w:ind w:left="0" w:right="109" w:firstLine="0" w:firstLineChars="0"/>
              <w:jc w:val="both"/>
              <w:rPr>
                <w:rFonts w:hint="eastAsia" w:ascii="仿宋_GB2312" w:hAnsi="仿宋_GB2312" w:eastAsia="仿宋_GB2312" w:cs="仿宋_GB2312"/>
                <w:color w:val="auto"/>
                <w:spacing w:val="0"/>
                <w:highlight w:val="none"/>
                <w:lang w:eastAsia="zh-CN"/>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每万份理财产品份额已实现收益=当日理财产品份额已实现收益/当日理财产品份额×10000</w:t>
            </w:r>
          </w:p>
          <w:p w14:paraId="3FC7799A">
            <w:pPr>
              <w:pStyle w:val="27"/>
              <w:spacing w:before="39" w:line="230" w:lineRule="auto"/>
              <w:ind w:left="0" w:firstLine="0" w:firstLineChars="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0"/>
                <w:highlight w:val="none"/>
                <w:lang w:val="en-US" w:eastAsia="zh-CN"/>
              </w:rPr>
              <w:t>4.单一投资者</w:t>
            </w:r>
            <w:r>
              <w:rPr>
                <w:rFonts w:hint="eastAsia" w:ascii="仿宋_GB2312" w:hAnsi="仿宋_GB2312" w:eastAsia="仿宋_GB2312" w:cs="仿宋_GB2312"/>
                <w:color w:val="auto"/>
                <w:spacing w:val="0"/>
                <w:highlight w:val="none"/>
                <w:lang w:eastAsia="zh-CN"/>
              </w:rPr>
              <w:t>每日收益计算公式为：每日收益≈每万份产品每日收益×当日持有产品份额÷10000</w:t>
            </w:r>
          </w:p>
          <w:p w14:paraId="22C42F06">
            <w:pPr>
              <w:pStyle w:val="27"/>
              <w:spacing w:before="50" w:line="261" w:lineRule="auto"/>
              <w:ind w:left="0" w:right="109" w:firstLine="0" w:firstLineChars="0"/>
              <w:jc w:val="both"/>
              <w:rPr>
                <w:rFonts w:hint="eastAsia" w:ascii="仿宋_GB2312" w:hAnsi="仿宋_GB2312" w:eastAsia="仿宋_GB2312" w:cs="仿宋_GB2312"/>
                <w:b w:val="0"/>
                <w:bCs w:val="0"/>
                <w:color w:val="auto"/>
                <w:spacing w:val="0"/>
                <w:highlight w:val="none"/>
                <w:lang w:eastAsia="zh-CN"/>
              </w:rPr>
            </w:pPr>
            <w:r>
              <w:rPr>
                <w:rFonts w:hint="eastAsia" w:ascii="仿宋_GB2312" w:hAnsi="仿宋_GB2312" w:eastAsia="仿宋_GB2312" w:cs="仿宋_GB2312"/>
                <w:b w:val="0"/>
                <w:bCs w:val="0"/>
                <w:color w:val="auto"/>
                <w:spacing w:val="0"/>
                <w:highlight w:val="none"/>
                <w:lang w:val="en-US" w:eastAsia="zh-CN"/>
              </w:rPr>
              <w:t>5.</w:t>
            </w:r>
            <w:r>
              <w:rPr>
                <w:rFonts w:hint="eastAsia" w:ascii="仿宋_GB2312" w:hAnsi="仿宋_GB2312" w:eastAsia="仿宋_GB2312" w:cs="仿宋_GB2312"/>
                <w:b w:val="0"/>
                <w:bCs w:val="0"/>
                <w:color w:val="auto"/>
                <w:spacing w:val="0"/>
                <w:highlight w:val="none"/>
                <w:lang w:eastAsia="zh-CN"/>
              </w:rPr>
              <w:t>当日确认申购的产品份额自</w:t>
            </w:r>
            <w:r>
              <w:rPr>
                <w:rFonts w:hint="eastAsia" w:ascii="仿宋_GB2312" w:hAnsi="仿宋_GB2312" w:eastAsia="仿宋_GB2312" w:cs="仿宋_GB2312"/>
                <w:b w:val="0"/>
                <w:bCs w:val="0"/>
                <w:color w:val="auto"/>
                <w:spacing w:val="0"/>
                <w:highlight w:val="none"/>
                <w:lang w:val="en-US" w:eastAsia="zh-CN"/>
              </w:rPr>
              <w:t>确认申购之</w:t>
            </w:r>
            <w:r>
              <w:rPr>
                <w:rFonts w:hint="eastAsia" w:ascii="仿宋_GB2312" w:hAnsi="仿宋_GB2312" w:eastAsia="仿宋_GB2312" w:cs="仿宋_GB2312"/>
                <w:b w:val="0"/>
                <w:bCs w:val="0"/>
                <w:color w:val="auto"/>
                <w:spacing w:val="0"/>
                <w:highlight w:val="none"/>
                <w:lang w:eastAsia="zh-CN"/>
              </w:rPr>
              <w:t>日起，享有产品的收益分配权益；当日确认赎回的产品份额自</w:t>
            </w:r>
            <w:r>
              <w:rPr>
                <w:rFonts w:hint="eastAsia" w:ascii="仿宋_GB2312" w:hAnsi="仿宋_GB2312" w:eastAsia="仿宋_GB2312" w:cs="仿宋_GB2312"/>
                <w:b w:val="0"/>
                <w:bCs w:val="0"/>
                <w:color w:val="auto"/>
                <w:spacing w:val="0"/>
                <w:highlight w:val="none"/>
                <w:lang w:val="en-US" w:eastAsia="zh-CN"/>
              </w:rPr>
              <w:t>确认赎回之</w:t>
            </w:r>
            <w:r>
              <w:rPr>
                <w:rFonts w:hint="eastAsia" w:ascii="仿宋_GB2312" w:hAnsi="仿宋_GB2312" w:eastAsia="仿宋_GB2312" w:cs="仿宋_GB2312"/>
                <w:b w:val="0"/>
                <w:bCs w:val="0"/>
                <w:color w:val="auto"/>
                <w:spacing w:val="0"/>
                <w:highlight w:val="none"/>
                <w:lang w:eastAsia="zh-CN"/>
              </w:rPr>
              <w:t>日起，不享有产品的收益分配权益。</w:t>
            </w:r>
          </w:p>
          <w:p w14:paraId="40C6521E">
            <w:pPr>
              <w:pStyle w:val="27"/>
              <w:spacing w:before="35" w:line="245" w:lineRule="auto"/>
              <w:ind w:left="0" w:leftChars="0" w:right="109" w:rightChars="0" w:firstLine="0" w:firstLineChars="0"/>
              <w:jc w:val="both"/>
              <w:rPr>
                <w:rFonts w:hint="eastAsia" w:ascii="仿宋_GB2312" w:hAnsi="仿宋_GB2312" w:eastAsia="仿宋_GB2312" w:cs="仿宋_GB2312"/>
                <w:color w:val="auto"/>
                <w:sz w:val="20"/>
                <w:szCs w:val="20"/>
                <w:highlight w:val="none"/>
                <w:lang w:val="en-US" w:eastAsia="zh-CN" w:bidi="ar-SA"/>
              </w:rPr>
            </w:pPr>
            <w:r>
              <w:rPr>
                <w:rFonts w:hint="eastAsia" w:ascii="仿宋_GB2312" w:hAnsi="仿宋_GB2312" w:eastAsia="仿宋_GB2312" w:cs="仿宋_GB2312"/>
                <w:b/>
                <w:bCs/>
                <w:color w:val="auto"/>
                <w:spacing w:val="0"/>
                <w:highlight w:val="none"/>
                <w:lang w:eastAsia="zh-CN"/>
              </w:rPr>
              <w:t>理财非存款、产品有风险、投资须谨慎，发生基础资产无法回收任何本金和收益的最不利情况下，投资者将损失全部本金。</w:t>
            </w:r>
          </w:p>
        </w:tc>
      </w:tr>
      <w:tr w14:paraId="0B33BCA4">
        <w:tblPrEx>
          <w:tblCellMar>
            <w:top w:w="0" w:type="dxa"/>
            <w:left w:w="0" w:type="dxa"/>
            <w:bottom w:w="0" w:type="dxa"/>
            <w:right w:w="0" w:type="dxa"/>
          </w:tblCellMar>
        </w:tblPrEx>
        <w:trPr>
          <w:trHeight w:val="68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BD8CA2">
            <w:pPr>
              <w:pStyle w:val="18"/>
              <w:jc w:val="center"/>
              <w:rPr>
                <w:rFonts w:ascii="仿宋_GB2312" w:eastAsia="仿宋_GB2312" w:cs="Times New Roman" w:hAnsiTheme="minorEastAsia"/>
                <w:color w:val="auto"/>
                <w:sz w:val="20"/>
                <w:szCs w:val="18"/>
                <w:highlight w:val="none"/>
              </w:rPr>
            </w:pPr>
            <w:r>
              <w:rPr>
                <w:rFonts w:hint="eastAsia" w:ascii="仿宋_GB2312" w:eastAsia="仿宋_GB2312" w:cs="Times New Roman" w:hAnsiTheme="minorEastAsia"/>
                <w:color w:val="auto"/>
                <w:sz w:val="20"/>
                <w:szCs w:val="18"/>
                <w:highlight w:val="none"/>
              </w:rPr>
              <w:t>估值日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B5A373">
            <w:pPr>
              <w:pStyle w:val="2"/>
              <w:ind w:left="0" w:right="41" w:firstLine="0" w:firstLineChars="0"/>
              <w:jc w:val="both"/>
              <w:rPr>
                <w:rFonts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eastAsia="zh-CN"/>
              </w:rPr>
              <w:t>管理人于每</w:t>
            </w:r>
            <w:r>
              <w:rPr>
                <w:rFonts w:hint="eastAsia" w:ascii="仿宋_GB2312" w:eastAsia="仿宋_GB2312" w:cs="Times New Roman" w:hAnsiTheme="minorEastAsia"/>
                <w:color w:val="auto"/>
                <w:sz w:val="20"/>
                <w:szCs w:val="18"/>
                <w:highlight w:val="none"/>
                <w:lang w:val="en-US" w:eastAsia="zh-CN"/>
              </w:rPr>
              <w:t>个</w:t>
            </w:r>
            <w:r>
              <w:rPr>
                <w:rFonts w:hint="eastAsia" w:ascii="仿宋_GB2312" w:eastAsia="仿宋_GB2312" w:cs="Times New Roman" w:hAnsiTheme="minorEastAsia"/>
                <w:color w:val="auto"/>
                <w:sz w:val="20"/>
                <w:szCs w:val="18"/>
                <w:highlight w:val="none"/>
                <w:lang w:eastAsia="zh-CN"/>
              </w:rPr>
              <w:t>估值日计算</w:t>
            </w:r>
            <w:r>
              <w:rPr>
                <w:rFonts w:hint="eastAsia" w:ascii="仿宋_GB2312" w:eastAsia="仿宋_GB2312" w:cs="Times New Roman" w:hAnsiTheme="minorEastAsia"/>
                <w:color w:val="auto"/>
                <w:sz w:val="20"/>
                <w:szCs w:val="18"/>
                <w:highlight w:val="none"/>
                <w:lang w:val="en-US" w:eastAsia="zh-CN"/>
              </w:rPr>
              <w:t>当日</w:t>
            </w:r>
            <w:r>
              <w:rPr>
                <w:rFonts w:hint="eastAsia" w:ascii="仿宋_GB2312" w:eastAsia="仿宋_GB2312" w:cs="Times New Roman" w:hAnsiTheme="minorEastAsia"/>
                <w:color w:val="auto"/>
                <w:sz w:val="20"/>
                <w:szCs w:val="18"/>
                <w:highlight w:val="none"/>
                <w:lang w:eastAsia="zh-CN"/>
              </w:rPr>
              <w:t>本产品每万份收益和七日年化收益率，并于</w:t>
            </w:r>
            <w:r>
              <w:rPr>
                <w:rFonts w:hint="eastAsia" w:ascii="仿宋_GB2312" w:eastAsia="仿宋_GB2312" w:cs="Times New Roman" w:hAnsiTheme="minorEastAsia"/>
                <w:color w:val="auto"/>
                <w:sz w:val="20"/>
                <w:szCs w:val="18"/>
                <w:highlight w:val="none"/>
                <w:lang w:val="en-US" w:eastAsia="zh-CN"/>
              </w:rPr>
              <w:t>开放日</w:t>
            </w:r>
            <w:r>
              <w:rPr>
                <w:rFonts w:hint="eastAsia" w:ascii="仿宋_GB2312" w:eastAsia="仿宋_GB2312" w:cs="Times New Roman" w:hAnsiTheme="minorEastAsia"/>
                <w:color w:val="auto"/>
                <w:sz w:val="20"/>
                <w:szCs w:val="18"/>
                <w:highlight w:val="none"/>
                <w:lang w:eastAsia="zh-CN"/>
              </w:rPr>
              <w:t>后</w:t>
            </w:r>
            <w:r>
              <w:rPr>
                <w:rFonts w:hint="eastAsia" w:ascii="仿宋_GB2312" w:eastAsia="仿宋_GB2312" w:cs="Times New Roman" w:hAnsiTheme="minorEastAsia"/>
                <w:color w:val="auto"/>
                <w:sz w:val="20"/>
                <w:szCs w:val="18"/>
                <w:highlight w:val="none"/>
                <w:u w:val="none"/>
                <w:lang w:val="en-US" w:eastAsia="zh-CN"/>
              </w:rPr>
              <w:t>2</w:t>
            </w:r>
            <w:r>
              <w:rPr>
                <w:rFonts w:hint="eastAsia" w:ascii="仿宋_GB2312" w:eastAsia="仿宋_GB2312" w:cs="Times New Roman" w:hAnsiTheme="minorEastAsia"/>
                <w:color w:val="auto"/>
                <w:sz w:val="20"/>
                <w:szCs w:val="18"/>
                <w:highlight w:val="none"/>
                <w:lang w:eastAsia="zh-CN"/>
              </w:rPr>
              <w:t>个【工作日】</w:t>
            </w:r>
            <w:r>
              <w:rPr>
                <w:rFonts w:hint="eastAsia" w:ascii="仿宋_GB2312" w:eastAsia="仿宋_GB2312" w:cs="Times New Roman" w:hAnsiTheme="minorEastAsia"/>
                <w:color w:val="auto"/>
                <w:sz w:val="20"/>
                <w:szCs w:val="18"/>
                <w:highlight w:val="none"/>
                <w:lang w:val="en-US" w:eastAsia="zh-CN"/>
              </w:rPr>
              <w:t>内</w:t>
            </w:r>
            <w:r>
              <w:rPr>
                <w:rFonts w:hint="eastAsia" w:ascii="仿宋_GB2312" w:eastAsia="仿宋_GB2312" w:cs="Times New Roman" w:hAnsiTheme="minorEastAsia"/>
                <w:color w:val="auto"/>
                <w:sz w:val="20"/>
                <w:szCs w:val="18"/>
                <w:highlight w:val="none"/>
                <w:lang w:eastAsia="zh-CN"/>
              </w:rPr>
              <w:t>公布本产品的每万份收益和七日年化收益率。</w:t>
            </w:r>
          </w:p>
        </w:tc>
      </w:tr>
      <w:tr w14:paraId="3BF4B9C0">
        <w:tblPrEx>
          <w:tblCellMar>
            <w:top w:w="0" w:type="dxa"/>
            <w:left w:w="0" w:type="dxa"/>
            <w:bottom w:w="0" w:type="dxa"/>
            <w:right w:w="0" w:type="dxa"/>
          </w:tblCellMar>
        </w:tblPrEx>
        <w:trPr>
          <w:trHeight w:val="96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F7B4591">
            <w:pPr>
              <w:pStyle w:val="18"/>
              <w:ind w:right="7"/>
              <w:jc w:val="center"/>
              <w:rPr>
                <w:rFonts w:ascii="仿宋_GB2312" w:hAnsi="Times New Roman" w:eastAsia="仿宋_GB2312" w:cs="Times New Roman"/>
                <w:color w:val="auto"/>
                <w:sz w:val="20"/>
                <w:szCs w:val="18"/>
                <w:highlight w:val="none"/>
              </w:rPr>
            </w:pPr>
            <w:r>
              <w:rPr>
                <w:rFonts w:hint="eastAsia" w:ascii="仿宋_GB2312" w:eastAsia="仿宋_GB2312" w:cs="Times New Roman" w:hAnsiTheme="minorEastAsia"/>
                <w:color w:val="auto"/>
                <w:sz w:val="20"/>
                <w:szCs w:val="18"/>
                <w:highlight w:val="none"/>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1BB93D">
            <w:pPr>
              <w:pStyle w:val="18"/>
              <w:ind w:left="0" w:right="41" w:firstLine="0" w:firstLineChars="0"/>
              <w:jc w:val="both"/>
              <w:rPr>
                <w:rFonts w:ascii="仿宋_GB2312" w:hAnsi="Times New Roman" w:eastAsia="仿宋_GB2312" w:cs="Times New Roman"/>
                <w:color w:val="auto"/>
                <w:sz w:val="20"/>
                <w:szCs w:val="18"/>
                <w:highlight w:val="none"/>
                <w:lang w:eastAsia="zh-CN"/>
              </w:rPr>
            </w:pPr>
            <w:r>
              <w:rPr>
                <w:rFonts w:hint="eastAsia" w:ascii="仿宋_GB2312" w:eastAsia="仿宋_GB2312" w:cs="Times New Roman" w:hAnsiTheme="minorEastAsia"/>
                <w:color w:val="auto"/>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1B904C9C">
        <w:tblPrEx>
          <w:tblCellMar>
            <w:top w:w="0" w:type="dxa"/>
            <w:left w:w="0" w:type="dxa"/>
            <w:bottom w:w="0" w:type="dxa"/>
            <w:right w:w="0" w:type="dxa"/>
          </w:tblCellMar>
        </w:tblPrEx>
        <w:trPr>
          <w:trHeight w:val="2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0993A0C">
            <w:pPr>
              <w:pStyle w:val="18"/>
              <w:ind w:right="7"/>
              <w:jc w:val="center"/>
              <w:rPr>
                <w:rFonts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07E6FBA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3ECC92E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5DF6E6AC">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w:t>
            </w:r>
            <w:r>
              <w:rPr>
                <w:rFonts w:hint="eastAsia" w:ascii="仿宋_GB2312" w:hAnsi="仿宋_GB2312" w:eastAsia="仿宋_GB2312" w:cs="仿宋_GB2312"/>
                <w:color w:val="auto"/>
                <w:kern w:val="0"/>
                <w:sz w:val="20"/>
                <w:szCs w:val="18"/>
                <w:highlight w:val="none"/>
                <w:lang w:val="en-US" w:eastAsia="zh-CN" w:bidi="ar-SA"/>
              </w:rPr>
              <w:t>出现</w:t>
            </w:r>
            <w:r>
              <w:rPr>
                <w:rFonts w:hint="eastAsia" w:ascii="仿宋_GB2312" w:eastAsia="仿宋_GB2312" w:cs="Times New Roman" w:hAnsiTheme="minorEastAsia"/>
                <w:color w:val="auto"/>
                <w:kern w:val="0"/>
                <w:sz w:val="20"/>
                <w:szCs w:val="18"/>
                <w:highlight w:val="none"/>
                <w:lang w:val="en-US" w:eastAsia="zh-CN" w:bidi="ar-SA"/>
              </w:rPr>
              <w:t>折价变现</w:t>
            </w:r>
            <w:r>
              <w:rPr>
                <w:rFonts w:hint="eastAsia" w:ascii="仿宋_GB2312" w:hAnsi="仿宋_GB2312" w:eastAsia="仿宋_GB2312" w:cs="仿宋_GB2312"/>
                <w:color w:val="auto"/>
                <w:kern w:val="0"/>
                <w:sz w:val="20"/>
                <w:szCs w:val="18"/>
                <w:highlight w:val="none"/>
                <w:lang w:val="en-US" w:eastAsia="zh-CN" w:bidi="ar-SA"/>
              </w:rPr>
              <w:t>情形</w:t>
            </w:r>
            <w:r>
              <w:rPr>
                <w:rFonts w:hint="eastAsia" w:ascii="仿宋_GB2312" w:eastAsia="仿宋_GB2312" w:cs="Times New Roman" w:hAnsiTheme="minorEastAsia"/>
                <w:color w:val="auto"/>
                <w:kern w:val="0"/>
                <w:sz w:val="20"/>
                <w:szCs w:val="18"/>
                <w:highlight w:val="none"/>
                <w:lang w:val="en-US" w:eastAsia="zh-CN" w:bidi="ar-SA"/>
              </w:rPr>
              <w:t>，可能影响产品收益实现</w:t>
            </w:r>
            <w:r>
              <w:rPr>
                <w:rFonts w:hint="eastAsia" w:ascii="仿宋_GB2312" w:hAnsi="仿宋_GB2312" w:eastAsia="仿宋_GB2312" w:cs="仿宋_GB2312"/>
                <w:color w:val="auto"/>
                <w:kern w:val="0"/>
                <w:sz w:val="20"/>
                <w:szCs w:val="18"/>
                <w:highlight w:val="none"/>
                <w:lang w:val="en-US" w:eastAsia="zh-CN" w:bidi="ar-SA"/>
              </w:rPr>
              <w:t>，</w:t>
            </w:r>
            <w:r>
              <w:rPr>
                <w:rFonts w:hint="eastAsia" w:ascii="仿宋_GB2312" w:eastAsia="仿宋_GB2312" w:cs="Times New Roman" w:hAnsiTheme="minorEastAsia"/>
                <w:color w:val="auto"/>
                <w:kern w:val="0"/>
                <w:sz w:val="20"/>
                <w:szCs w:val="18"/>
                <w:highlight w:val="none"/>
                <w:lang w:val="en-US" w:eastAsia="zh-CN" w:bidi="ar-SA"/>
              </w:rPr>
              <w:t>乃至</w:t>
            </w:r>
            <w:r>
              <w:rPr>
                <w:rFonts w:hint="eastAsia" w:ascii="仿宋_GB2312" w:hAnsi="仿宋_GB2312" w:eastAsia="仿宋_GB2312" w:cs="仿宋_GB2312"/>
                <w:color w:val="auto"/>
                <w:kern w:val="0"/>
                <w:sz w:val="20"/>
                <w:szCs w:val="18"/>
                <w:highlight w:val="none"/>
                <w:lang w:val="en-US" w:eastAsia="zh-CN" w:bidi="ar-SA"/>
              </w:rPr>
              <w:t>影响</w:t>
            </w:r>
            <w:r>
              <w:rPr>
                <w:rFonts w:hint="eastAsia" w:ascii="仿宋_GB2312" w:eastAsia="仿宋_GB2312" w:cs="Times New Roman" w:hAnsiTheme="minorEastAsia"/>
                <w:color w:val="auto"/>
                <w:kern w:val="0"/>
                <w:sz w:val="20"/>
                <w:szCs w:val="18"/>
                <w:highlight w:val="none"/>
                <w:lang w:val="en-US" w:eastAsia="zh-CN" w:bidi="ar-SA"/>
              </w:rPr>
              <w:t>本金的全额收回。</w:t>
            </w:r>
          </w:p>
          <w:p w14:paraId="2EF08709">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0EBB99C9">
            <w:pPr>
              <w:pStyle w:val="18"/>
              <w:keepNext w:val="0"/>
              <w:keepLines w:val="0"/>
              <w:pageBreakBefore w:val="0"/>
              <w:kinsoku/>
              <w:wordWrap/>
              <w:overflowPunct/>
              <w:topLinePunct w:val="0"/>
              <w:autoSpaceDE/>
              <w:autoSpaceDN/>
              <w:bidi w:val="0"/>
              <w:adjustRightInd w:val="0"/>
              <w:snapToGrid w:val="0"/>
              <w:spacing w:after="0" w:line="240" w:lineRule="auto"/>
              <w:ind w:left="0" w:right="41" w:firstLine="0" w:firstLineChars="0"/>
              <w:jc w:val="both"/>
              <w:textAlignment w:val="auto"/>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5967FB19">
            <w:pPr>
              <w:pStyle w:val="18"/>
              <w:keepNext w:val="0"/>
              <w:keepLines w:val="0"/>
              <w:pageBreakBefore w:val="0"/>
              <w:kinsoku/>
              <w:wordWrap/>
              <w:overflowPunct/>
              <w:topLinePunct w:val="0"/>
              <w:autoSpaceDE/>
              <w:autoSpaceDN/>
              <w:bidi w:val="0"/>
              <w:adjustRightInd w:val="0"/>
              <w:snapToGrid w:val="0"/>
              <w:spacing w:after="0" w:line="240" w:lineRule="auto"/>
              <w:ind w:left="0" w:right="41" w:firstLine="0" w:firstLineChars="0"/>
              <w:jc w:val="both"/>
              <w:textAlignment w:val="auto"/>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F5B472C">
            <w:pPr>
              <w:pStyle w:val="18"/>
              <w:keepNext w:val="0"/>
              <w:keepLines w:val="0"/>
              <w:pageBreakBefore w:val="0"/>
              <w:kinsoku/>
              <w:wordWrap/>
              <w:overflowPunct/>
              <w:topLinePunct w:val="0"/>
              <w:autoSpaceDE/>
              <w:autoSpaceDN/>
              <w:bidi w:val="0"/>
              <w:adjustRightInd w:val="0"/>
              <w:snapToGrid w:val="0"/>
              <w:spacing w:after="0" w:line="240" w:lineRule="auto"/>
              <w:ind w:left="0" w:right="41" w:firstLine="0" w:firstLineChars="0"/>
              <w:jc w:val="both"/>
              <w:textAlignment w:val="auto"/>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7ED00BFA">
            <w:pPr>
              <w:widowControl/>
              <w:ind w:firstLine="0" w:firstLineChars="0"/>
              <w:jc w:val="both"/>
              <w:rPr>
                <w:rFonts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1A2A17A3">
      <w:pPr>
        <w:ind w:right="151" w:firstLine="480" w:firstLineChars="200"/>
        <w:rPr>
          <w:rFonts w:ascii="Times New Roman" w:hAnsi="Times New Roman" w:eastAsia="黑体" w:cs="Times New Roman"/>
          <w:color w:val="auto"/>
          <w:sz w:val="24"/>
          <w:szCs w:val="24"/>
          <w:highlight w:val="none"/>
          <w:lang w:eastAsia="zh-CN"/>
        </w:rPr>
      </w:pPr>
      <w:r>
        <w:rPr>
          <w:rFonts w:hint="eastAsia" w:ascii="Times New Roman" w:hAnsi="黑体" w:eastAsia="黑体" w:cs="Times New Roman"/>
          <w:color w:val="auto"/>
          <w:sz w:val="24"/>
          <w:szCs w:val="24"/>
          <w:highlight w:val="none"/>
          <w:lang w:val="en-US" w:eastAsia="zh-CN"/>
        </w:rPr>
        <w:t>四</w:t>
      </w:r>
      <w:r>
        <w:rPr>
          <w:rFonts w:ascii="Times New Roman" w:hAnsi="黑体" w:eastAsia="黑体" w:cs="Times New Roman"/>
          <w:color w:val="auto"/>
          <w:sz w:val="24"/>
          <w:szCs w:val="24"/>
          <w:highlight w:val="none"/>
          <w:lang w:eastAsia="zh-CN"/>
        </w:rPr>
        <w:t>、投资管理</w:t>
      </w:r>
    </w:p>
    <w:p w14:paraId="39BC35D2">
      <w:pPr>
        <w:pStyle w:val="3"/>
        <w:spacing w:before="0"/>
        <w:ind w:left="0" w:right="151" w:firstLine="402" w:firstLineChars="200"/>
        <w:rPr>
          <w:rFonts w:ascii="仿宋_GB2312" w:hAnsi="Times New Roman" w:eastAsia="仿宋_GB2312" w:cs="Times New Roman"/>
          <w:b/>
          <w:color w:val="auto"/>
          <w:sz w:val="20"/>
          <w:highlight w:val="none"/>
          <w:lang w:eastAsia="zh-CN"/>
        </w:rPr>
      </w:pPr>
      <w:r>
        <w:rPr>
          <w:rFonts w:ascii="仿宋_GB2312" w:eastAsia="仿宋_GB2312" w:cs="Times New Roman" w:hAnsiTheme="minorEastAsia"/>
          <w:b/>
          <w:color w:val="auto"/>
          <w:sz w:val="20"/>
          <w:highlight w:val="none"/>
          <w:lang w:eastAsia="zh-CN"/>
        </w:rPr>
        <w:t>（一）投资范围</w:t>
      </w:r>
    </w:p>
    <w:p w14:paraId="127D1DEA">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w:t>
      </w:r>
      <w:r>
        <w:rPr>
          <w:rFonts w:hint="eastAsia" w:ascii="仿宋_GB2312" w:eastAsia="仿宋_GB2312" w:cs="Times New Roman" w:hAnsiTheme="minorEastAsia"/>
          <w:color w:val="auto"/>
          <w:sz w:val="20"/>
          <w:highlight w:val="none"/>
          <w:lang w:val="en-US" w:eastAsia="zh-CN"/>
        </w:rPr>
        <w:t>产品为现金管理类产品。理财</w:t>
      </w:r>
      <w:r>
        <w:rPr>
          <w:rFonts w:hint="eastAsia" w:ascii="仿宋_GB2312" w:eastAsia="仿宋_GB2312" w:cs="Times New Roman" w:hAnsiTheme="minorEastAsia"/>
          <w:color w:val="auto"/>
          <w:sz w:val="20"/>
          <w:highlight w:val="none"/>
          <w:lang w:eastAsia="zh-CN"/>
        </w:rPr>
        <w:t>资金可直接或通过【</w:t>
      </w:r>
      <w:r>
        <w:rPr>
          <w:rFonts w:hint="eastAsia" w:ascii="仿宋_GB2312" w:eastAsia="仿宋_GB2312" w:cs="Times New Roman" w:hAnsiTheme="minorEastAsia"/>
          <w:color w:val="auto"/>
          <w:sz w:val="20"/>
          <w:highlight w:val="none"/>
          <w:lang w:val="en-US" w:eastAsia="zh-CN"/>
        </w:rPr>
        <w:t>信托、证券、基金、保险</w:t>
      </w:r>
      <w:r>
        <w:rPr>
          <w:rFonts w:hint="eastAsia" w:ascii="仿宋_GB2312" w:eastAsia="仿宋_GB2312" w:cs="Times New Roman" w:hAnsiTheme="minorEastAsia"/>
          <w:color w:val="auto"/>
          <w:sz w:val="20"/>
          <w:highlight w:val="none"/>
          <w:lang w:eastAsia="zh-CN"/>
        </w:rPr>
        <w:t>】</w:t>
      </w:r>
      <w:r>
        <w:rPr>
          <w:rFonts w:hint="eastAsia" w:ascii="仿宋_GB2312" w:eastAsia="仿宋_GB2312" w:cs="Times New Roman" w:hAnsiTheme="minorEastAsia"/>
          <w:color w:val="auto"/>
          <w:sz w:val="20"/>
          <w:highlight w:val="none"/>
          <w:lang w:val="en-US" w:eastAsia="zh-CN"/>
        </w:rPr>
        <w:t>等机构依法设立的资产管理产品</w:t>
      </w:r>
      <w:r>
        <w:rPr>
          <w:rFonts w:hint="eastAsia" w:ascii="仿宋_GB2312" w:eastAsia="仿宋_GB2312" w:cs="Times New Roman" w:hAnsiTheme="minorEastAsia"/>
          <w:color w:val="auto"/>
          <w:sz w:val="20"/>
          <w:highlight w:val="none"/>
          <w:lang w:eastAsia="zh-CN"/>
        </w:rPr>
        <w:t>间接投资于以下金融资产和金融工具：</w:t>
      </w:r>
    </w:p>
    <w:p w14:paraId="01C892C3">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（1）现金；</w:t>
      </w:r>
    </w:p>
    <w:p w14:paraId="2B775CD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（2）期限在1年以内（含1年）的银行存款、债券回购、中央银行票据、同业存单；</w:t>
      </w:r>
    </w:p>
    <w:p w14:paraId="0825CF90">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（3）剩余期限在397天以内（含397天）的债券、在银行间市场和证券交易所市场发行的资产支持证券；</w:t>
      </w:r>
    </w:p>
    <w:p w14:paraId="58DAD7BD">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（4）国家金融监督管理总局、中国人民银行认可的其他具有良好流动性的货币市场工具。</w:t>
      </w:r>
    </w:p>
    <w:p w14:paraId="66C7017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color w:val="auto"/>
          <w:sz w:val="20"/>
          <w:highlight w:val="none"/>
          <w:lang w:eastAsia="zh-CN"/>
        </w:rPr>
        <w:t>各类资产的投资比例为：符合前述投向的</w:t>
      </w:r>
      <w:r>
        <w:rPr>
          <w:rFonts w:hint="eastAsia" w:ascii="仿宋_GB2312" w:eastAsia="仿宋_GB2312" w:cs="Times New Roman" w:hAnsiTheme="minorEastAsia"/>
          <w:color w:val="auto"/>
          <w:sz w:val="20"/>
          <w:highlight w:val="none"/>
          <w:lang w:val="en-US" w:eastAsia="zh-CN"/>
        </w:rPr>
        <w:t>资产</w:t>
      </w:r>
      <w:r>
        <w:rPr>
          <w:rFonts w:ascii="仿宋_GB2312" w:eastAsia="仿宋_GB2312" w:cs="Times New Roman" w:hAnsiTheme="minorEastAsia"/>
          <w:color w:val="auto"/>
          <w:sz w:val="20"/>
          <w:highlight w:val="none"/>
          <w:lang w:eastAsia="zh-CN"/>
        </w:rPr>
        <w:t>比例为100%</w:t>
      </w:r>
      <w:r>
        <w:rPr>
          <w:rFonts w:hint="eastAsia" w:ascii="仿宋_GB2312" w:eastAsia="仿宋_GB2312" w:cs="Times New Roman" w:hAnsiTheme="minorEastAsia"/>
          <w:color w:val="auto"/>
          <w:sz w:val="20"/>
          <w:highlight w:val="none"/>
          <w:lang w:eastAsia="zh-CN"/>
        </w:rPr>
        <w:t>。</w:t>
      </w:r>
    </w:p>
    <w:p w14:paraId="075244BE">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ascii="仿宋_GB2312" w:eastAsia="仿宋_GB2312" w:cs="Times New Roman" w:hAnsiTheme="minorEastAsia"/>
          <w:color w:val="auto"/>
          <w:sz w:val="20"/>
          <w:highlight w:val="none"/>
          <w:lang w:eastAsia="zh-CN"/>
        </w:rPr>
        <w:t>贵阳农商银行秉承价值投资的理念，通过资产组合管理实现本产品安全性、流动性与收益性的平衡。</w:t>
      </w:r>
    </w:p>
    <w:p w14:paraId="6783AB79">
      <w:pPr>
        <w:pStyle w:val="3"/>
        <w:spacing w:before="0"/>
        <w:ind w:left="0" w:right="153"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二</w:t>
      </w:r>
      <w:r>
        <w:rPr>
          <w:rFonts w:hint="eastAsia" w:ascii="仿宋_GB2312" w:eastAsia="仿宋_GB2312" w:cs="Times New Roman" w:hAnsiTheme="minorEastAsia"/>
          <w:b/>
          <w:bCs/>
          <w:color w:val="auto"/>
          <w:sz w:val="20"/>
          <w:highlight w:val="none"/>
          <w:lang w:eastAsia="zh-CN"/>
        </w:rPr>
        <w:t>）投资限制</w:t>
      </w:r>
    </w:p>
    <w:p w14:paraId="19393BCF">
      <w:pPr>
        <w:pStyle w:val="3"/>
        <w:spacing w:before="0"/>
        <w:ind w:left="0" w:right="153"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1.集中度限制</w:t>
      </w:r>
    </w:p>
    <w:p w14:paraId="791BB937">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（1）本产品投资于同一机构发行的债券及其作为原始权益人的资产支持证券的比例合计不得超过产品资产净值的10%，投资于国债、中央银行票据、政策性金融债券的除外。</w:t>
      </w:r>
    </w:p>
    <w:p w14:paraId="49C8B9E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（2）本产品投资于所有主体信用评级低于AAA的机构发行的金融工具的比例合计不得超过产品资产净值的10%，其中单一机构发行的金融工具的比例合计不得超过产品资产净值的2%。</w:t>
      </w:r>
    </w:p>
    <w:p w14:paraId="5D62D7BB">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此处所称金融工具包括债券、银行存款、同业存单、相关机构作为原始权益人的资产支持证券及国务院银行业监督管理机构认可的其他金融工具。</w:t>
      </w:r>
    </w:p>
    <w:p w14:paraId="3B3A64EF">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3）本产品投资于有固定期限银行存款的比例合计不得超过产品资产净值30%，投资于有存款期限，根据协议可提前支取的银行存款除外；本产品投资于主体信用评级为AAA的同一商业银行的银行存款、同业存单占产品资产净值的比例合计不得超过20%。</w:t>
      </w:r>
    </w:p>
    <w:p w14:paraId="6BE013A6">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（4）管理人管理的全部现金管理类产品投资于同一商业银行的存款、同业存单和债券，不得超过该商业银行最近一个季度末净资产的10%。</w:t>
      </w:r>
    </w:p>
    <w:p w14:paraId="2CAA62E5">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（5）本产品投资于单只证券或单只公募证券投资基金的市值不超过本产品净资产的10%。投资于国债、地方政府债、央票、政府机构债、政策性银行债的除外。</w:t>
      </w:r>
    </w:p>
    <w:p w14:paraId="76EFC5E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（6）管理人发行的全部公募理财产品投资单只证券或者单只证券投资基金的市值不得超过该证券市值或者证券投资基金市值的30%。投资于国债、地方政府债、央票、政府机构债、政策性银行债的除外。</w:t>
      </w:r>
    </w:p>
    <w:p w14:paraId="16E47F51">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非因管理人主观因素导致突破本条（1）-（4）项比例限制的，管理人应当在10个交易日内调整至符合要求，</w:t>
      </w:r>
      <w:r>
        <w:rPr>
          <w:rFonts w:hint="eastAsia" w:ascii="仿宋_GB2312" w:hAnsi="仿宋_GB2312" w:eastAsia="仿宋_GB2312" w:cs="仿宋_GB2312"/>
          <w:color w:val="auto"/>
          <w:kern w:val="0"/>
          <w:sz w:val="20"/>
          <w:szCs w:val="20"/>
          <w:highlight w:val="none"/>
          <w:lang w:val="en-US" w:eastAsia="zh-CN" w:bidi="ar"/>
        </w:rPr>
        <w:t>监管机构</w:t>
      </w:r>
      <w:r>
        <w:rPr>
          <w:rFonts w:hint="eastAsia" w:ascii="仿宋_GB2312" w:eastAsia="仿宋_GB2312" w:cs="Times New Roman" w:hAnsiTheme="minorEastAsia"/>
          <w:color w:val="auto"/>
          <w:sz w:val="20"/>
          <w:highlight w:val="none"/>
          <w:lang w:eastAsia="zh-CN"/>
        </w:rPr>
        <w:t>规定的特殊情形除外；非因管理人主观因素致使不符合本条第（5）（6）项比例限制的，管理人将在流动性受限资产可出售、可转让或者恢复交易的10个交易日内调整至符合相关要求，</w:t>
      </w:r>
      <w:r>
        <w:rPr>
          <w:rFonts w:hint="eastAsia" w:ascii="仿宋_GB2312" w:hAnsi="仿宋_GB2312" w:eastAsia="仿宋_GB2312" w:cs="仿宋_GB2312"/>
          <w:color w:val="auto"/>
          <w:kern w:val="0"/>
          <w:sz w:val="20"/>
          <w:szCs w:val="20"/>
          <w:highlight w:val="none"/>
          <w:lang w:val="en-US" w:eastAsia="zh-CN" w:bidi="ar"/>
        </w:rPr>
        <w:t>监管机构</w:t>
      </w:r>
      <w:r>
        <w:rPr>
          <w:rFonts w:hint="eastAsia" w:ascii="仿宋_GB2312" w:eastAsia="仿宋_GB2312" w:cs="Times New Roman" w:hAnsiTheme="minorEastAsia"/>
          <w:color w:val="auto"/>
          <w:sz w:val="20"/>
          <w:highlight w:val="none"/>
          <w:lang w:eastAsia="zh-CN"/>
        </w:rPr>
        <w:t>规定的特殊情形除外。</w:t>
      </w:r>
    </w:p>
    <w:p w14:paraId="78C0651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本产品拟投资于主体信用评级低于AA＋的商业银行的银行存款与同业存单的，应当经管理人董事会审议批准，相关交易应当事先告知托管人，并作为重大事项履行信息披露程序。</w:t>
      </w:r>
    </w:p>
    <w:p w14:paraId="4BD811A4">
      <w:pPr>
        <w:pStyle w:val="3"/>
        <w:spacing w:before="0"/>
        <w:ind w:left="0" w:right="153"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2.流动性和杠杆管控要求</w:t>
      </w:r>
    </w:p>
    <w:p w14:paraId="5CE324DA">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（1）本产品持有不低于产品资产净值5%的现金、国债、中央银行票据、政策性金融债券；</w:t>
      </w:r>
    </w:p>
    <w:p w14:paraId="42DEA4AC">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（2）本产品持有不低于产品资产净值10%的现金、国债、中央银行票据、政策性金融债券以及五个交易日内到期的其他金融工具；</w:t>
      </w:r>
    </w:p>
    <w:p w14:paraId="16BF86A5">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3）本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产品资产净值的10%；</w:t>
      </w:r>
    </w:p>
    <w:p w14:paraId="5C0BBB82">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（4）本产品的杠杆水平不得超过120%，发生巨额赎回、连续3个交易日累计赎回20%以上或者连续5个交易日累计赎回30%以上的情形除外。</w:t>
      </w:r>
    </w:p>
    <w:p w14:paraId="172611EF">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非因管理人主观因素导致突破本条第（2）（4）项比例限制的，管理人应当在10个交易日内调整至符合要求；非因管理人主观因素导致突破本条第（3）项比例限制的，管理人不得主动新增流动性受限资产的投资。</w:t>
      </w:r>
    </w:p>
    <w:p w14:paraId="5B751B06">
      <w:pPr>
        <w:pStyle w:val="3"/>
        <w:spacing w:before="0"/>
        <w:ind w:left="0" w:right="153"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3.投资组合久期管理</w:t>
      </w:r>
    </w:p>
    <w:p w14:paraId="05F9D024">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本产品投资组合的平均剩余期限不超过120天，平均剩余存续期限不超过240天。</w:t>
      </w:r>
    </w:p>
    <w:p w14:paraId="69E90865">
      <w:pPr>
        <w:pStyle w:val="3"/>
        <w:spacing w:before="0"/>
        <w:ind w:left="0" w:right="153"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4.投资者集中度限制</w:t>
      </w:r>
    </w:p>
    <w:p w14:paraId="3BA5D9D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1）当本产品前10名投资者的持有份额合计超过产品总份额的50%时，投资组合的平均剩余期限不得超过60天，平均剩余存续期限不得超过120天，投资组合中现金、国债、中央银行票据、政策性金融债券以及5个交易日内到期的其他金融工具占该产品资产净值的比例合计不得低于30%。</w:t>
      </w:r>
    </w:p>
    <w:p w14:paraId="721FDE6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2）当本产品前10名投资者的持有份额合计超过产品总份额的20%时，投资组合的平均剩余期限不得超过90天，平均剩余存续期限不得超过180天，投资组合中现金、国债、中央银行票据、政策性金融债券以及5个交易日内到期的其他金融工具占该产品资产净值的比例合计不得低于20%。</w:t>
      </w:r>
    </w:p>
    <w:p w14:paraId="5ACB5447">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非因管理人主观因素导致突破本条（</w:t>
      </w: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w:t>
      </w: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）项比例限制的，管理人应当在10个交易日内调整至符合要求，</w:t>
      </w:r>
      <w:r>
        <w:rPr>
          <w:rFonts w:hint="eastAsia" w:ascii="仿宋_GB2312" w:hAnsi="仿宋_GB2312" w:eastAsia="仿宋_GB2312" w:cs="仿宋_GB2312"/>
          <w:color w:val="auto"/>
          <w:kern w:val="0"/>
          <w:sz w:val="20"/>
          <w:szCs w:val="20"/>
          <w:highlight w:val="none"/>
          <w:lang w:val="en-US" w:eastAsia="zh-CN" w:bidi="ar"/>
        </w:rPr>
        <w:t>国家金融监督管理总局</w:t>
      </w:r>
      <w:r>
        <w:rPr>
          <w:rFonts w:hint="eastAsia" w:ascii="仿宋_GB2312" w:eastAsia="仿宋_GB2312" w:cs="Times New Roman" w:hAnsiTheme="minorEastAsia"/>
          <w:color w:val="auto"/>
          <w:sz w:val="20"/>
          <w:highlight w:val="none"/>
          <w:lang w:eastAsia="zh-CN"/>
        </w:rPr>
        <w:t>规定的特殊情形除外。</w:t>
      </w:r>
    </w:p>
    <w:p w14:paraId="2ECFD068">
      <w:pPr>
        <w:pStyle w:val="3"/>
        <w:spacing w:before="0"/>
        <w:ind w:left="0" w:right="153"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5.产品不得同时出现下述情形:</w:t>
      </w:r>
    </w:p>
    <w:p w14:paraId="627E2689">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（1）计划投资不存在活跃交易市场，并且需要采用估值技术确定公允价值的资产；</w:t>
      </w:r>
    </w:p>
    <w:p w14:paraId="25BD5E9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（2）计划投资上述资产的比例达到产品净资产50%以上。</w:t>
      </w:r>
    </w:p>
    <w:p w14:paraId="0233B755">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非因管理人主观因素导致突破本条（</w:t>
      </w: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w:t>
      </w: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）项比例限制的，不得新增投资上述资产。</w:t>
      </w:r>
    </w:p>
    <w:p w14:paraId="488E9D0D">
      <w:pPr>
        <w:pStyle w:val="3"/>
        <w:spacing w:before="0"/>
        <w:ind w:left="0" w:right="153" w:firstLine="402"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b/>
          <w:bCs/>
          <w:color w:val="auto"/>
          <w:sz w:val="20"/>
          <w:highlight w:val="none"/>
          <w:lang w:eastAsia="zh-CN"/>
        </w:rPr>
        <w:t>6.</w:t>
      </w:r>
      <w:r>
        <w:rPr>
          <w:rFonts w:hint="eastAsia" w:ascii="仿宋_GB2312" w:eastAsia="仿宋_GB2312" w:cs="Times New Roman" w:hAnsiTheme="minorEastAsia"/>
          <w:color w:val="auto"/>
          <w:sz w:val="20"/>
          <w:highlight w:val="none"/>
          <w:lang w:eastAsia="zh-CN"/>
        </w:rPr>
        <w:t>产品每日日终现金或者到期日在一年以内的国债、中央银行票据和政策性金融债券比例不低于产品净资产的5%。在开放日前一工作日内，产品7个工作日可变现资产的可变现价值应当不低于产品资产净值的10%。</w:t>
      </w:r>
    </w:p>
    <w:p w14:paraId="72854009">
      <w:pPr>
        <w:pStyle w:val="3"/>
        <w:spacing w:before="0"/>
        <w:ind w:left="0" w:right="153" w:firstLine="402" w:firstLineChars="200"/>
        <w:jc w:val="both"/>
        <w:rPr>
          <w:rFonts w:hint="eastAsia"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7.本理财产品投资组合平均剩余期限的计算公式为：</w:t>
      </w:r>
    </w:p>
    <w:p w14:paraId="0192D862">
      <w:pPr>
        <w:pStyle w:val="3"/>
        <w:spacing w:before="0"/>
        <w:ind w:left="0" w:right="153"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（Σ本理财产品的资产×剩余期限—Σ本理财产品的负债×剩余期限＋债券卖出回购×剩余期限）/（本理财产品的资产—本理财产品的负债＋债券卖出回购）</w:t>
      </w:r>
    </w:p>
    <w:p w14:paraId="1B266550">
      <w:pPr>
        <w:pStyle w:val="3"/>
        <w:spacing w:before="0"/>
        <w:ind w:left="0" w:right="153" w:firstLine="402" w:firstLineChars="200"/>
        <w:jc w:val="both"/>
        <w:rPr>
          <w:rFonts w:hint="eastAsia"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本理财产品投资组合平均剩余存续期限的计算公式为：</w:t>
      </w:r>
    </w:p>
    <w:p w14:paraId="4CFC667F">
      <w:pPr>
        <w:pStyle w:val="3"/>
        <w:spacing w:before="0"/>
        <w:ind w:left="0" w:right="153"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（Σ本理财产品的资产×剩余存续期限—Σ本理财产品的负债×剩余存续期限＋债券卖出回购×剩余存续期限）/（本理财产品的资产—本理财产品的负债＋债券卖出回购）</w:t>
      </w:r>
    </w:p>
    <w:p w14:paraId="1D204DAA">
      <w:pPr>
        <w:pStyle w:val="3"/>
        <w:spacing w:before="0"/>
        <w:ind w:left="0" w:right="153" w:firstLine="400" w:firstLineChars="200"/>
        <w:jc w:val="both"/>
        <w:rPr>
          <w:rFonts w:hint="default"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投资组合中债券的剩余期限和剩余存续期限是指计算日至债券到期日为止所剩余的天数，以下情况除外：允许投资的可变利率或者浮动利率债券的剩余期限以计算日至下一个利率调整日的实际剩余天数计算；允许投资的可变利率或者浮动利率债券的剩余存续期限以计算日至债券到期日的实际剩余天数计算。</w:t>
      </w:r>
    </w:p>
    <w:p w14:paraId="3F5CE6D8">
      <w:pPr>
        <w:pStyle w:val="3"/>
        <w:spacing w:before="0"/>
        <w:ind w:left="0" w:right="153"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三</w:t>
      </w:r>
      <w:r>
        <w:rPr>
          <w:rFonts w:hint="eastAsia" w:ascii="仿宋_GB2312" w:eastAsia="仿宋_GB2312" w:cs="Times New Roman" w:hAnsiTheme="minorEastAsia"/>
          <w:b/>
          <w:bCs/>
          <w:color w:val="auto"/>
          <w:sz w:val="20"/>
          <w:highlight w:val="none"/>
          <w:lang w:eastAsia="zh-CN"/>
        </w:rPr>
        <w:t>）投资禁止</w:t>
      </w:r>
    </w:p>
    <w:p w14:paraId="66C57B23">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本</w:t>
      </w:r>
      <w:r>
        <w:rPr>
          <w:rFonts w:hint="eastAsia" w:ascii="仿宋_GB2312" w:eastAsia="仿宋_GB2312" w:cs="Times New Roman" w:hAnsiTheme="minorEastAsia"/>
          <w:color w:val="auto"/>
          <w:sz w:val="20"/>
          <w:highlight w:val="none"/>
          <w:lang w:eastAsia="zh-CN"/>
        </w:rPr>
        <w:t>理财产品不得投资于以下金融工具：</w:t>
      </w:r>
    </w:p>
    <w:p w14:paraId="421F78E9">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1.股票；</w:t>
      </w:r>
    </w:p>
    <w:p w14:paraId="147CC77B">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2.可转换债券、可交换债券；</w:t>
      </w:r>
    </w:p>
    <w:p w14:paraId="2B390889">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3.以定期存款利率为基准利率的浮动利率债券，已进入最后一个利率调整期的除外；</w:t>
      </w:r>
    </w:p>
    <w:p w14:paraId="0E3D979B">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4.信用等级在AA+以下的债券、资产支持证券；</w:t>
      </w:r>
    </w:p>
    <w:p w14:paraId="7B63AD8B">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5.国家金融监督管理总局、中国人民银行禁止投资的其他金融工具。</w:t>
      </w:r>
    </w:p>
    <w:p w14:paraId="54F24CE3">
      <w:pPr>
        <w:pStyle w:val="3"/>
        <w:numPr>
          <w:ilvl w:val="0"/>
          <w:numId w:val="0"/>
        </w:numPr>
        <w:spacing w:before="0"/>
        <w:ind w:leftChars="200" w:right="151" w:rightChars="0"/>
        <w:jc w:val="both"/>
        <w:rPr>
          <w:rFonts w:hint="eastAsia" w:ascii="仿宋_GB2312" w:eastAsia="仿宋_GB2312" w:cs="Times New Roman" w:hAnsiTheme="minorEastAsia"/>
          <w:b/>
          <w:color w:val="auto"/>
          <w:sz w:val="20"/>
          <w:highlight w:val="none"/>
          <w:lang w:val="en-US" w:eastAsia="zh-CN"/>
        </w:rPr>
      </w:pPr>
      <w:r>
        <w:rPr>
          <w:rFonts w:hint="eastAsia" w:ascii="仿宋_GB2312" w:eastAsia="仿宋_GB2312" w:cs="Times New Roman" w:hAnsiTheme="minorEastAsia"/>
          <w:b/>
          <w:color w:val="auto"/>
          <w:sz w:val="20"/>
          <w:highlight w:val="none"/>
          <w:lang w:val="en-US" w:eastAsia="zh-CN"/>
        </w:rPr>
        <w:t>（四）产品管理人、产品托管人、理财投资合作机构的基本信息及主要职责</w:t>
      </w:r>
    </w:p>
    <w:p w14:paraId="6805D275">
      <w:pPr>
        <w:pStyle w:val="3"/>
        <w:numPr>
          <w:ilvl w:val="-1"/>
          <w:numId w:val="0"/>
        </w:numPr>
        <w:spacing w:before="0"/>
        <w:ind w:left="440" w:leftChars="200" w:right="151" w:firstLine="0" w:firstLineChars="0"/>
        <w:jc w:val="both"/>
        <w:rPr>
          <w:rFonts w:hint="eastAsia" w:ascii="仿宋_GB2312" w:eastAsia="仿宋_GB2312" w:cs="Times New Roman" w:hAnsiTheme="minorEastAsia"/>
          <w:b/>
          <w:color w:val="auto"/>
          <w:sz w:val="20"/>
          <w:highlight w:val="none"/>
          <w:lang w:val="en-US" w:eastAsia="zh-CN"/>
        </w:rPr>
      </w:pPr>
      <w:r>
        <w:rPr>
          <w:rFonts w:hint="eastAsia" w:ascii="仿宋_GB2312" w:eastAsia="仿宋_GB2312" w:cs="Times New Roman" w:hAnsiTheme="minorEastAsia"/>
          <w:b/>
          <w:color w:val="auto"/>
          <w:sz w:val="20"/>
          <w:highlight w:val="none"/>
          <w:lang w:val="en-US" w:eastAsia="zh-CN"/>
        </w:rPr>
        <w:t>1.产品管理人：贵阳农村商业银行股份有限公司</w:t>
      </w:r>
    </w:p>
    <w:p w14:paraId="7A808213">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主要职责：产品管理人负责</w:t>
      </w:r>
      <w:r>
        <w:rPr>
          <w:rFonts w:hint="eastAsia" w:ascii="仿宋_GB2312" w:eastAsia="仿宋_GB2312" w:cs="Times New Roman" w:hAnsiTheme="minorEastAsia"/>
          <w:color w:val="auto"/>
          <w:kern w:val="0"/>
          <w:sz w:val="20"/>
          <w:szCs w:val="18"/>
          <w:highlight w:val="none"/>
          <w:lang w:val="en-US" w:eastAsia="zh-CN" w:bidi="ar-SA"/>
        </w:rPr>
        <w:t>理财产品宣传推广；投资者风险承受能力评估和投资者适当性管理；信息披露；对投资者提出的理财产品份额认购/申购/赎回申请进行管理；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color w:val="auto"/>
          <w:kern w:val="0"/>
          <w:sz w:val="20"/>
          <w:szCs w:val="18"/>
          <w:highlight w:val="none"/>
          <w:lang w:val="en-US" w:eastAsia="zh-CN" w:bidi="ar-SA"/>
        </w:rPr>
        <w:t>与投资者签订理财产品销售文件；</w:t>
      </w:r>
      <w:r>
        <w:rPr>
          <w:rFonts w:hint="eastAsia" w:ascii="仿宋_GB2312" w:eastAsia="仿宋_GB2312" w:cs="Times New Roman" w:hAnsiTheme="minorEastAsia"/>
          <w:color w:val="auto"/>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695E01DD">
      <w:pPr>
        <w:pStyle w:val="3"/>
        <w:numPr>
          <w:ilvl w:val="-1"/>
          <w:numId w:val="0"/>
        </w:numPr>
        <w:spacing w:before="19"/>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color w:val="auto"/>
          <w:sz w:val="20"/>
          <w:highlight w:val="none"/>
          <w:lang w:val="en-US" w:eastAsia="zh-CN"/>
        </w:rPr>
        <w:t>2.产品托管人</w:t>
      </w:r>
      <w:r>
        <w:rPr>
          <w:rFonts w:hint="eastAsia" w:ascii="仿宋_GB2312" w:eastAsia="仿宋_GB2312" w:cs="Times New Roman" w:hAnsiTheme="minorEastAsia"/>
          <w:b/>
          <w:color w:val="auto"/>
          <w:sz w:val="20"/>
          <w:highlight w:val="none"/>
          <w:u w:val="none"/>
          <w:lang w:val="en-US" w:eastAsia="zh-CN"/>
        </w:rPr>
        <w:t>：中国银行股份有限公司</w:t>
      </w:r>
    </w:p>
    <w:p w14:paraId="0F855506">
      <w:pPr>
        <w:pStyle w:val="3"/>
        <w:spacing w:before="0"/>
        <w:ind w:left="0" w:leftChars="0" w:right="153" w:firstLine="400" w:firstLineChars="200"/>
        <w:jc w:val="both"/>
        <w:rPr>
          <w:rFonts w:hint="default"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主要职责：产品托管人主要负责依法依规提供账户开立、财产保管、清算交割、会计核算、资产估值复核、信息披露、投资监督以及托管合同约定的相关服务。</w:t>
      </w:r>
    </w:p>
    <w:p w14:paraId="61E39A7B">
      <w:pPr>
        <w:pStyle w:val="3"/>
        <w:numPr>
          <w:ilvl w:val="-1"/>
          <w:numId w:val="0"/>
        </w:numPr>
        <w:ind w:left="0" w:leftChars="0" w:right="151" w:firstLine="402" w:firstLineChars="200"/>
        <w:jc w:val="both"/>
        <w:rPr>
          <w:rFonts w:hint="eastAsia" w:ascii="仿宋_GB2312" w:eastAsia="仿宋_GB2312" w:cs="Times New Roman" w:hAnsiTheme="minorEastAsia"/>
          <w:color w:val="auto"/>
          <w:sz w:val="20"/>
          <w:szCs w:val="18"/>
          <w:highlight w:val="none"/>
        </w:rPr>
      </w:pPr>
      <w:r>
        <w:rPr>
          <w:rFonts w:hint="eastAsia" w:ascii="仿宋_GB2312" w:eastAsia="仿宋_GB2312" w:cs="Times New Roman" w:hAnsiTheme="minorEastAsia"/>
          <w:b/>
          <w:color w:val="auto"/>
          <w:sz w:val="20"/>
          <w:highlight w:val="none"/>
          <w:lang w:val="en-US" w:eastAsia="zh-CN"/>
        </w:rPr>
        <w:t>3.理财投资合作机构</w:t>
      </w:r>
    </w:p>
    <w:p w14:paraId="5822F8C8">
      <w:pPr>
        <w:pStyle w:val="3"/>
        <w:numPr>
          <w:ilvl w:val="-1"/>
          <w:numId w:val="0"/>
        </w:numPr>
        <w:ind w:left="0" w:leftChars="0" w:right="153" w:firstLine="400" w:firstLineChars="20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本理财产品目前无特定具体理财投资合作机构，具体以管理人后续在</w:t>
      </w:r>
      <w:r>
        <w:rPr>
          <w:rFonts w:hint="eastAsia" w:ascii="仿宋_GB2312" w:eastAsia="仿宋_GB2312" w:cs="Times New Roman" w:hAnsiTheme="minorEastAsia"/>
          <w:color w:val="auto"/>
          <w:sz w:val="20"/>
          <w:szCs w:val="18"/>
          <w:highlight w:val="none"/>
          <w:lang w:val="en-US" w:eastAsia="zh-CN"/>
        </w:rPr>
        <w:t>贵阳农商银行官方网站</w:t>
      </w:r>
      <w:r>
        <w:rPr>
          <w:rFonts w:hint="eastAsia" w:ascii="仿宋_GB2312" w:eastAsia="仿宋_GB2312" w:cs="Times New Roman" w:hAnsiTheme="minorEastAsia"/>
          <w:b w:val="0"/>
          <w:bCs w:val="0"/>
          <w:color w:val="auto"/>
          <w:sz w:val="20"/>
          <w:szCs w:val="18"/>
          <w:highlight w:val="none"/>
          <w:lang w:val="en-US" w:eastAsia="zh-CN"/>
        </w:rPr>
        <w:t>等渠道</w:t>
      </w:r>
      <w:r>
        <w:rPr>
          <w:rFonts w:hint="eastAsia" w:ascii="仿宋_GB2312" w:eastAsia="仿宋_GB2312" w:cs="Times New Roman" w:hAnsiTheme="minorEastAsia"/>
          <w:color w:val="auto"/>
          <w:sz w:val="20"/>
          <w:szCs w:val="18"/>
          <w:highlight w:val="none"/>
          <w:lang w:val="en-US" w:eastAsia="zh-CN"/>
        </w:rPr>
        <w:t>公布的</w:t>
      </w:r>
      <w:r>
        <w:rPr>
          <w:rFonts w:hint="eastAsia" w:ascii="仿宋_GB2312" w:eastAsia="仿宋_GB2312" w:cs="Times New Roman" w:hAnsiTheme="minorEastAsia"/>
          <w:color w:val="auto"/>
          <w:kern w:val="0"/>
          <w:sz w:val="20"/>
          <w:szCs w:val="18"/>
          <w:highlight w:val="none"/>
          <w:lang w:val="en-US" w:eastAsia="zh-CN" w:bidi="ar-SA"/>
        </w:rPr>
        <w:t>信息披露为准。</w:t>
      </w:r>
    </w:p>
    <w:p w14:paraId="584FFF57">
      <w:pPr>
        <w:pStyle w:val="3"/>
        <w:numPr>
          <w:ilvl w:val="0"/>
          <w:numId w:val="0"/>
        </w:numPr>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主要职责：</w:t>
      </w:r>
      <w:r>
        <w:rPr>
          <w:rFonts w:hint="eastAsia" w:ascii="仿宋_GB2312" w:eastAsia="仿宋_GB2312" w:cs="Times New Roman" w:hAnsiTheme="minorEastAsia"/>
          <w:color w:val="auto"/>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68D398E9">
      <w:pPr>
        <w:ind w:right="151" w:firstLine="480" w:firstLineChars="200"/>
        <w:jc w:val="both"/>
        <w:rPr>
          <w:rFonts w:hint="default" w:ascii="Times New Roman" w:hAnsi="Times New Roman" w:eastAsia="黑体" w:cs="Times New Roman"/>
          <w:color w:val="auto"/>
          <w:sz w:val="24"/>
          <w:szCs w:val="24"/>
          <w:highlight w:val="none"/>
          <w:lang w:val="en-US" w:eastAsia="zh-CN"/>
        </w:rPr>
      </w:pPr>
      <w:r>
        <w:rPr>
          <w:rFonts w:hint="eastAsia" w:ascii="Times New Roman" w:hAnsi="黑体" w:eastAsia="黑体" w:cs="Times New Roman"/>
          <w:color w:val="auto"/>
          <w:sz w:val="24"/>
          <w:szCs w:val="24"/>
          <w:highlight w:val="none"/>
          <w:lang w:val="en-US" w:eastAsia="zh-CN"/>
        </w:rPr>
        <w:t>五</w:t>
      </w:r>
      <w:r>
        <w:rPr>
          <w:rFonts w:ascii="Times New Roman" w:hAnsi="黑体" w:eastAsia="黑体" w:cs="Times New Roman"/>
          <w:color w:val="auto"/>
          <w:sz w:val="24"/>
          <w:szCs w:val="24"/>
          <w:highlight w:val="none"/>
          <w:lang w:eastAsia="zh-CN"/>
        </w:rPr>
        <w:t>、产品运作说明</w:t>
      </w:r>
    </w:p>
    <w:p w14:paraId="56836BCC">
      <w:pPr>
        <w:pStyle w:val="3"/>
        <w:spacing w:before="0"/>
        <w:ind w:left="0" w:right="153" w:firstLine="402" w:firstLineChars="200"/>
        <w:jc w:val="both"/>
        <w:rPr>
          <w:rFonts w:ascii="仿宋_GB2312" w:hAnsi="Times New Roman" w:eastAsia="仿宋_GB2312" w:cs="Times New Roman"/>
          <w:b/>
          <w:color w:val="auto"/>
          <w:sz w:val="20"/>
          <w:highlight w:val="none"/>
          <w:lang w:eastAsia="zh-CN"/>
        </w:rPr>
      </w:pPr>
      <w:r>
        <w:rPr>
          <w:rFonts w:ascii="仿宋_GB2312" w:eastAsia="仿宋_GB2312" w:cs="Times New Roman" w:hAnsiTheme="minorEastAsia"/>
          <w:b/>
          <w:color w:val="auto"/>
          <w:sz w:val="20"/>
          <w:highlight w:val="none"/>
          <w:lang w:eastAsia="zh-CN"/>
        </w:rPr>
        <w:t>（一）存续期产品规模</w:t>
      </w:r>
    </w:p>
    <w:p w14:paraId="46B9985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1.本期产品规模上限：</w:t>
      </w:r>
      <w:r>
        <w:rPr>
          <w:rFonts w:hint="eastAsia" w:ascii="仿宋_GB2312" w:hAnsi="仿宋_GB2312" w:eastAsia="仿宋_GB2312" w:cs="仿宋_GB2312"/>
          <w:b/>
          <w:bCs/>
          <w:color w:val="auto"/>
          <w:sz w:val="20"/>
          <w:szCs w:val="20"/>
          <w:highlight w:val="none"/>
          <w:u w:val="none"/>
          <w:lang w:val="en-US" w:eastAsia="zh-CN"/>
        </w:rPr>
        <w:t>450000万</w:t>
      </w:r>
      <w:r>
        <w:rPr>
          <w:rFonts w:hint="eastAsia" w:ascii="仿宋_GB2312" w:hAnsi="仿宋_GB2312" w:eastAsia="仿宋_GB2312" w:cs="仿宋_GB2312"/>
          <w:b/>
          <w:bCs/>
          <w:color w:val="auto"/>
          <w:sz w:val="20"/>
          <w:szCs w:val="20"/>
          <w:highlight w:val="none"/>
          <w:lang w:val="en-US" w:eastAsia="zh-CN"/>
        </w:rPr>
        <w:t>元</w:t>
      </w:r>
      <w:r>
        <w:rPr>
          <w:rFonts w:hint="eastAsia" w:ascii="仿宋_GB2312" w:hAnsi="仿宋_GB2312" w:eastAsia="仿宋_GB2312" w:cs="仿宋_GB2312"/>
          <w:color w:val="auto"/>
          <w:sz w:val="20"/>
          <w:szCs w:val="20"/>
          <w:highlight w:val="none"/>
          <w:lang w:eastAsia="zh-CN"/>
        </w:rPr>
        <w:t>。在本期产品募集期</w:t>
      </w:r>
      <w:r>
        <w:rPr>
          <w:rFonts w:hint="eastAsia" w:ascii="仿宋_GB2312" w:hAnsi="仿宋_GB2312" w:eastAsia="仿宋_GB2312" w:cs="仿宋_GB2312"/>
          <w:color w:val="auto"/>
          <w:sz w:val="20"/>
          <w:szCs w:val="20"/>
          <w:highlight w:val="none"/>
          <w:lang w:val="en-US" w:eastAsia="zh-CN"/>
        </w:rPr>
        <w:t>和存续期</w:t>
      </w:r>
      <w:r>
        <w:rPr>
          <w:rFonts w:hint="eastAsia" w:ascii="仿宋_GB2312" w:hAnsi="仿宋_GB2312" w:eastAsia="仿宋_GB2312" w:cs="仿宋_GB2312"/>
          <w:color w:val="auto"/>
          <w:sz w:val="20"/>
          <w:szCs w:val="20"/>
          <w:highlight w:val="none"/>
          <w:lang w:eastAsia="zh-CN"/>
        </w:rPr>
        <w:t>内，对本期产品的认购</w:t>
      </w:r>
      <w:r>
        <w:rPr>
          <w:rFonts w:hint="eastAsia" w:ascii="仿宋_GB2312" w:hAnsi="仿宋_GB2312" w:eastAsia="仿宋_GB2312" w:cs="仿宋_GB2312"/>
          <w:color w:val="auto"/>
          <w:sz w:val="20"/>
          <w:szCs w:val="20"/>
          <w:highlight w:val="none"/>
          <w:lang w:val="en-US" w:eastAsia="zh-CN"/>
        </w:rPr>
        <w:t>/申购金额</w:t>
      </w:r>
      <w:r>
        <w:rPr>
          <w:rFonts w:hint="eastAsia" w:ascii="仿宋_GB2312" w:hAnsi="仿宋_GB2312" w:eastAsia="仿宋_GB2312" w:cs="仿宋_GB2312"/>
          <w:color w:val="auto"/>
          <w:sz w:val="20"/>
          <w:szCs w:val="20"/>
          <w:highlight w:val="none"/>
          <w:lang w:eastAsia="zh-CN"/>
        </w:rPr>
        <w:t>达到本期理财产品规模上限，则贵阳农商银行有权自行决定是否即时停止本期产品的认购</w:t>
      </w:r>
      <w:r>
        <w:rPr>
          <w:rFonts w:hint="eastAsia" w:ascii="仿宋_GB2312" w:hAnsi="仿宋_GB2312" w:eastAsia="仿宋_GB2312" w:cs="仿宋_GB2312"/>
          <w:color w:val="auto"/>
          <w:sz w:val="20"/>
          <w:szCs w:val="20"/>
          <w:highlight w:val="none"/>
          <w:lang w:val="en-US" w:eastAsia="zh-CN"/>
        </w:rPr>
        <w:t>/申购</w:t>
      </w:r>
      <w:r>
        <w:rPr>
          <w:rFonts w:hint="eastAsia" w:ascii="仿宋_GB2312" w:hAnsi="仿宋_GB2312" w:eastAsia="仿宋_GB2312" w:cs="仿宋_GB2312"/>
          <w:color w:val="auto"/>
          <w:sz w:val="20"/>
          <w:szCs w:val="20"/>
          <w:highlight w:val="none"/>
          <w:lang w:eastAsia="zh-CN"/>
        </w:rPr>
        <w:t>，已经认购</w:t>
      </w:r>
      <w:r>
        <w:rPr>
          <w:rFonts w:hint="eastAsia" w:ascii="仿宋_GB2312" w:hAnsi="仿宋_GB2312" w:eastAsia="仿宋_GB2312" w:cs="仿宋_GB2312"/>
          <w:color w:val="auto"/>
          <w:sz w:val="20"/>
          <w:szCs w:val="20"/>
          <w:highlight w:val="none"/>
          <w:lang w:val="en-US" w:eastAsia="zh-CN"/>
        </w:rPr>
        <w:t>/申购</w:t>
      </w:r>
      <w:r>
        <w:rPr>
          <w:rFonts w:hint="eastAsia" w:ascii="仿宋_GB2312" w:hAnsi="仿宋_GB2312" w:eastAsia="仿宋_GB2312" w:cs="仿宋_GB2312"/>
          <w:color w:val="auto"/>
          <w:sz w:val="20"/>
          <w:szCs w:val="20"/>
          <w:highlight w:val="none"/>
          <w:lang w:eastAsia="zh-CN"/>
        </w:rPr>
        <w:t>成功的投资者投资权益不受影响。</w:t>
      </w:r>
    </w:p>
    <w:p w14:paraId="0713F707">
      <w:pPr>
        <w:pStyle w:val="3"/>
        <w:spacing w:before="0" w:beforeLines="-2147483648" w:after="0" w:afterLines="-2147483648" w:line="240" w:lineRule="auto"/>
        <w:ind w:left="0" w:right="153" w:firstLine="400"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color w:val="auto"/>
          <w:sz w:val="20"/>
          <w:szCs w:val="20"/>
          <w:highlight w:val="none"/>
          <w:lang w:eastAsia="zh-CN"/>
        </w:rPr>
        <w:t>2.</w:t>
      </w:r>
      <w:r>
        <w:rPr>
          <w:rFonts w:hint="eastAsia" w:ascii="仿宋_GB2312" w:hAnsi="仿宋_GB2312" w:eastAsia="仿宋_GB2312" w:cs="仿宋_GB2312"/>
          <w:sz w:val="20"/>
          <w:szCs w:val="20"/>
          <w:lang w:eastAsia="zh-CN"/>
        </w:rPr>
        <w:t>本期产品募集期届满，募集</w:t>
      </w:r>
      <w:r>
        <w:rPr>
          <w:rFonts w:hint="eastAsia" w:ascii="仿宋_GB2312" w:hAnsi="仿宋_GB2312" w:eastAsia="仿宋_GB2312" w:cs="仿宋_GB2312"/>
          <w:sz w:val="20"/>
          <w:szCs w:val="20"/>
          <w:lang w:val="en-US" w:eastAsia="zh-CN"/>
        </w:rPr>
        <w:t>金额</w:t>
      </w:r>
      <w:r>
        <w:rPr>
          <w:rFonts w:hint="eastAsia" w:ascii="仿宋_GB2312" w:hAnsi="仿宋_GB2312" w:eastAsia="仿宋_GB2312" w:cs="仿宋_GB2312"/>
          <w:sz w:val="20"/>
          <w:szCs w:val="20"/>
          <w:lang w:eastAsia="zh-CN"/>
        </w:rPr>
        <w:t>低于</w:t>
      </w:r>
      <w:r>
        <w:rPr>
          <w:rFonts w:hint="eastAsia" w:ascii="仿宋_GB2312" w:hAnsi="仿宋_GB2312" w:eastAsia="仿宋_GB2312" w:cs="仿宋_GB2312"/>
          <w:b w:val="0"/>
          <w:sz w:val="20"/>
          <w:szCs w:val="20"/>
          <w:u w:val="none"/>
          <w:lang w:val="en-US" w:eastAsia="zh-CN"/>
        </w:rPr>
        <w:t>100</w:t>
      </w:r>
      <w:r>
        <w:rPr>
          <w:rFonts w:hint="eastAsia" w:ascii="仿宋_GB2312" w:hAnsi="仿宋_GB2312" w:eastAsia="仿宋_GB2312" w:cs="仿宋_GB2312"/>
          <w:b w:val="0"/>
          <w:bCs w:val="0"/>
          <w:sz w:val="20"/>
          <w:szCs w:val="20"/>
          <w:u w:val="none"/>
          <w:lang w:val="en-US" w:eastAsia="zh-CN"/>
        </w:rPr>
        <w:t>万</w:t>
      </w:r>
      <w:r>
        <w:rPr>
          <w:rFonts w:hint="eastAsia" w:ascii="仿宋_GB2312" w:hAnsi="仿宋_GB2312" w:eastAsia="仿宋_GB2312" w:cs="仿宋_GB2312"/>
          <w:sz w:val="20"/>
          <w:szCs w:val="20"/>
          <w:lang w:eastAsia="zh-CN"/>
        </w:rPr>
        <w:t>元时，</w:t>
      </w:r>
      <w:r>
        <w:rPr>
          <w:rFonts w:hint="eastAsia" w:ascii="仿宋_GB2312" w:hAnsi="仿宋_GB2312" w:eastAsia="仿宋_GB2312" w:cs="仿宋_GB2312"/>
          <w:color w:val="auto"/>
          <w:sz w:val="20"/>
          <w:szCs w:val="20"/>
          <w:highlight w:val="none"/>
          <w:lang w:eastAsia="zh-CN"/>
        </w:rPr>
        <w:t>贵阳农商银行</w:t>
      </w:r>
      <w:r>
        <w:rPr>
          <w:rFonts w:hint="eastAsia" w:ascii="仿宋_GB2312" w:hAnsi="仿宋_GB2312" w:eastAsia="仿宋_GB2312" w:cs="仿宋_GB2312"/>
          <w:spacing w:val="0"/>
          <w:sz w:val="20"/>
          <w:szCs w:val="20"/>
          <w:lang w:eastAsia="zh-CN"/>
        </w:rPr>
        <w:t>有权宣布产品</w:t>
      </w:r>
      <w:r>
        <w:rPr>
          <w:rFonts w:hint="eastAsia" w:ascii="仿宋_GB2312" w:hAnsi="仿宋_GB2312" w:eastAsia="仿宋_GB2312" w:cs="仿宋_GB2312"/>
          <w:sz w:val="20"/>
          <w:szCs w:val="20"/>
          <w:lang w:eastAsia="zh-CN"/>
        </w:rPr>
        <w:t>不成立。</w:t>
      </w:r>
      <w:r>
        <w:rPr>
          <w:rFonts w:hint="eastAsia" w:ascii="仿宋_GB2312" w:hAnsi="仿宋_GB2312" w:eastAsia="仿宋_GB2312" w:cs="仿宋_GB2312"/>
          <w:b w:val="0"/>
          <w:sz w:val="20"/>
          <w:szCs w:val="20"/>
          <w:lang w:eastAsia="zh-CN"/>
        </w:rPr>
        <w:t>贵阳农商银行</w:t>
      </w:r>
      <w:r>
        <w:rPr>
          <w:rFonts w:hint="eastAsia" w:ascii="仿宋_GB2312" w:hAnsi="仿宋_GB2312" w:eastAsia="仿宋_GB2312" w:cs="仿宋_GB2312"/>
          <w:spacing w:val="0"/>
          <w:sz w:val="20"/>
          <w:szCs w:val="20"/>
          <w:lang w:eastAsia="zh-CN"/>
        </w:rPr>
        <w:t>宣布产品</w:t>
      </w:r>
      <w:r>
        <w:rPr>
          <w:rFonts w:hint="eastAsia" w:ascii="仿宋_GB2312" w:hAnsi="仿宋_GB2312" w:eastAsia="仿宋_GB2312" w:cs="仿宋_GB2312"/>
          <w:sz w:val="20"/>
          <w:szCs w:val="20"/>
          <w:lang w:eastAsia="zh-CN"/>
        </w:rPr>
        <w:t>不成立</w:t>
      </w:r>
      <w:r>
        <w:rPr>
          <w:rFonts w:hint="eastAsia" w:ascii="仿宋_GB2312" w:hAnsi="仿宋_GB2312" w:eastAsia="仿宋_GB2312" w:cs="仿宋_GB2312"/>
          <w:b w:val="0"/>
          <w:sz w:val="20"/>
          <w:szCs w:val="20"/>
          <w:lang w:eastAsia="zh-CN"/>
        </w:rPr>
        <w:t>时，将在募集期结束后</w:t>
      </w:r>
      <w:r>
        <w:rPr>
          <w:rFonts w:hint="eastAsia" w:ascii="仿宋_GB2312" w:hAnsi="仿宋_GB2312" w:eastAsia="仿宋_GB2312" w:cs="仿宋_GB2312"/>
          <w:b w:val="0"/>
          <w:sz w:val="20"/>
          <w:szCs w:val="20"/>
          <w:u w:val="none"/>
          <w:lang w:val="en-US" w:eastAsia="zh-CN"/>
        </w:rPr>
        <w:t>2个</w:t>
      </w:r>
      <w:r>
        <w:rPr>
          <w:rFonts w:hint="eastAsia" w:ascii="仿宋_GB2312" w:hAnsi="仿宋_GB2312" w:eastAsia="仿宋_GB2312" w:cs="仿宋_GB2312"/>
          <w:b w:val="0"/>
          <w:sz w:val="20"/>
          <w:szCs w:val="20"/>
          <w:lang w:eastAsia="zh-CN"/>
        </w:rPr>
        <w:t>工作日</w:t>
      </w:r>
      <w:r>
        <w:rPr>
          <w:rFonts w:hint="eastAsia" w:ascii="仿宋_GB2312" w:hAnsi="仿宋_GB2312" w:eastAsia="仿宋_GB2312" w:cs="仿宋_GB2312"/>
          <w:b w:val="0"/>
          <w:bCs w:val="0"/>
          <w:sz w:val="20"/>
          <w:szCs w:val="20"/>
          <w:lang w:val="en-US" w:eastAsia="zh-CN"/>
        </w:rPr>
        <w:t>内通过贵阳农商银行官方网站等渠道公布，</w:t>
      </w:r>
      <w:r>
        <w:rPr>
          <w:rFonts w:hint="eastAsia" w:ascii="仿宋_GB2312" w:hAnsi="仿宋_GB2312" w:eastAsia="仿宋_GB2312" w:cs="仿宋_GB2312"/>
          <w:b w:val="0"/>
          <w:sz w:val="20"/>
          <w:szCs w:val="20"/>
          <w:lang w:eastAsia="zh-CN"/>
        </w:rPr>
        <w:t>并在募集期结束</w:t>
      </w:r>
      <w:r>
        <w:rPr>
          <w:rFonts w:hint="eastAsia" w:ascii="仿宋_GB2312" w:hAnsi="仿宋_GB2312" w:eastAsia="仿宋_GB2312" w:cs="仿宋_GB2312"/>
          <w:b w:val="0"/>
          <w:sz w:val="20"/>
          <w:szCs w:val="20"/>
          <w:highlight w:val="none"/>
          <w:lang w:eastAsia="zh-CN"/>
        </w:rPr>
        <w:t>后</w:t>
      </w:r>
      <w:r>
        <w:rPr>
          <w:rFonts w:hint="eastAsia" w:ascii="仿宋_GB2312" w:hAnsi="仿宋_GB2312" w:eastAsia="仿宋_GB2312" w:cs="仿宋_GB2312"/>
          <w:b w:val="0"/>
          <w:sz w:val="20"/>
          <w:szCs w:val="20"/>
          <w:u w:val="none"/>
          <w:lang w:val="en-US" w:eastAsia="zh-CN"/>
        </w:rPr>
        <w:t>2</w:t>
      </w:r>
      <w:r>
        <w:rPr>
          <w:rFonts w:hint="eastAsia" w:ascii="仿宋_GB2312" w:hAnsi="仿宋_GB2312" w:eastAsia="仿宋_GB2312" w:cs="仿宋_GB2312"/>
          <w:b w:val="0"/>
          <w:sz w:val="20"/>
          <w:szCs w:val="20"/>
          <w:lang w:eastAsia="zh-CN"/>
        </w:rPr>
        <w:t>个工作日内将投资者的认购资金解冻。</w:t>
      </w:r>
    </w:p>
    <w:p w14:paraId="27EB1A8C">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rPr>
        <w:t>.贵阳农商银行</w:t>
      </w:r>
      <w:r>
        <w:rPr>
          <w:rFonts w:hint="eastAsia" w:ascii="仿宋_GB2312" w:hAnsi="仿宋_GB2312" w:eastAsia="仿宋_GB2312" w:cs="仿宋_GB2312"/>
          <w:color w:val="auto"/>
          <w:sz w:val="20"/>
          <w:szCs w:val="20"/>
          <w:highlight w:val="none"/>
          <w:lang w:eastAsia="zh-CN"/>
        </w:rPr>
        <w:t>可根据市场情况等调整产品规模上、下限，并至少于调整规模上下限之</w:t>
      </w:r>
      <w:r>
        <w:rPr>
          <w:rFonts w:hint="eastAsia" w:ascii="仿宋_GB2312" w:hAnsi="仿宋_GB2312" w:eastAsia="仿宋_GB2312" w:cs="仿宋_GB2312"/>
          <w:sz w:val="20"/>
          <w:szCs w:val="20"/>
          <w:highlight w:val="none"/>
          <w:lang w:eastAsia="zh-CN"/>
        </w:rPr>
        <w:t>日之前</w:t>
      </w:r>
      <w:r>
        <w:rPr>
          <w:rFonts w:hint="eastAsia" w:ascii="仿宋_GB2312" w:hAnsi="仿宋_GB2312" w:eastAsia="仿宋_GB2312" w:cs="仿宋_GB2312"/>
          <w:b w:val="0"/>
          <w:sz w:val="20"/>
          <w:szCs w:val="20"/>
          <w:u w:val="none"/>
          <w:lang w:val="en-US" w:eastAsia="zh-CN"/>
        </w:rPr>
        <w:t>2</w:t>
      </w:r>
      <w:r>
        <w:rPr>
          <w:rFonts w:hint="eastAsia" w:ascii="仿宋_GB2312" w:hAnsi="仿宋_GB2312" w:eastAsia="仿宋_GB2312" w:cs="仿宋_GB2312"/>
          <w:color w:val="auto"/>
          <w:sz w:val="20"/>
          <w:szCs w:val="20"/>
          <w:highlight w:val="none"/>
          <w:lang w:eastAsia="zh-CN"/>
        </w:rPr>
        <w:t>个工作日</w:t>
      </w:r>
      <w:r>
        <w:rPr>
          <w:rFonts w:hint="eastAsia" w:ascii="仿宋_GB2312" w:hAnsi="仿宋_GB2312" w:eastAsia="仿宋_GB2312" w:cs="仿宋_GB2312"/>
          <w:color w:val="auto"/>
          <w:sz w:val="20"/>
          <w:szCs w:val="20"/>
          <w:highlight w:val="none"/>
          <w:lang w:val="en-US" w:eastAsia="zh-CN"/>
        </w:rPr>
        <w:t>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Style w:val="13"/>
          <w:rFonts w:hint="eastAsia" w:ascii="仿宋_GB2312" w:hAnsi="仿宋_GB2312" w:eastAsia="仿宋_GB2312" w:cs="仿宋_GB2312"/>
          <w:color w:val="auto"/>
          <w:sz w:val="20"/>
          <w:szCs w:val="20"/>
          <w:highlight w:val="none"/>
          <w:lang w:eastAsia="zh-CN"/>
        </w:rPr>
        <w:t>。</w:t>
      </w:r>
    </w:p>
    <w:p w14:paraId="6F4EC4A7">
      <w:pPr>
        <w:pStyle w:val="3"/>
        <w:spacing w:before="0"/>
        <w:ind w:left="0" w:right="153" w:firstLine="402" w:firstLineChars="200"/>
        <w:jc w:val="both"/>
        <w:rPr>
          <w:rFonts w:hint="default" w:ascii="仿宋_GB2312" w:eastAsia="仿宋_GB2312" w:cs="Times New Roman" w:hAnsiTheme="minorEastAsia"/>
          <w:b/>
          <w:color w:val="auto"/>
          <w:sz w:val="20"/>
          <w:highlight w:val="none"/>
          <w:lang w:val="en-US" w:eastAsia="zh-CN"/>
        </w:rPr>
      </w:pPr>
      <w:r>
        <w:rPr>
          <w:rFonts w:hint="eastAsia" w:ascii="仿宋_GB2312" w:eastAsia="仿宋_GB2312" w:cs="Times New Roman" w:hAnsiTheme="minorEastAsia"/>
          <w:b/>
          <w:color w:val="auto"/>
          <w:sz w:val="20"/>
          <w:highlight w:val="none"/>
          <w:lang w:eastAsia="zh-CN"/>
        </w:rPr>
        <w:t>（二）认购/申购</w:t>
      </w:r>
      <w:r>
        <w:rPr>
          <w:rFonts w:hint="eastAsia" w:ascii="仿宋_GB2312" w:eastAsia="仿宋_GB2312" w:cs="Times New Roman" w:hAnsiTheme="minorEastAsia"/>
          <w:b/>
          <w:color w:val="auto"/>
          <w:sz w:val="20"/>
          <w:highlight w:val="none"/>
          <w:lang w:val="en-US" w:eastAsia="zh-CN"/>
        </w:rPr>
        <w:t>/赎回</w:t>
      </w:r>
    </w:p>
    <w:p w14:paraId="155113C7">
      <w:pPr>
        <w:pStyle w:val="3"/>
        <w:spacing w:before="0"/>
        <w:ind w:left="0" w:right="153" w:firstLine="402" w:firstLineChars="200"/>
        <w:jc w:val="both"/>
        <w:rPr>
          <w:rFonts w:hint="eastAsia" w:ascii="仿宋_GB2312" w:eastAsia="仿宋_GB2312" w:cs="Times New Roman" w:hAnsiTheme="minorEastAsia"/>
          <w:b/>
          <w:bCs w:val="0"/>
          <w:color w:val="auto"/>
          <w:sz w:val="20"/>
          <w:highlight w:val="none"/>
          <w:lang w:eastAsia="zh-CN"/>
        </w:rPr>
      </w:pPr>
      <w:r>
        <w:rPr>
          <w:rFonts w:hint="eastAsia" w:ascii="仿宋_GB2312" w:eastAsia="仿宋_GB2312" w:cs="Times New Roman" w:hAnsiTheme="minorEastAsia"/>
          <w:b/>
          <w:bCs w:val="0"/>
          <w:color w:val="auto"/>
          <w:sz w:val="20"/>
          <w:highlight w:val="none"/>
          <w:lang w:val="en-US" w:eastAsia="zh-CN"/>
        </w:rPr>
        <w:t>1.</w:t>
      </w:r>
      <w:r>
        <w:rPr>
          <w:rFonts w:hint="eastAsia" w:ascii="仿宋_GB2312" w:eastAsia="仿宋_GB2312" w:cs="Times New Roman" w:hAnsiTheme="minorEastAsia"/>
          <w:b/>
          <w:bCs w:val="0"/>
          <w:color w:val="auto"/>
          <w:sz w:val="20"/>
          <w:highlight w:val="none"/>
          <w:lang w:eastAsia="zh-CN"/>
        </w:rPr>
        <w:t>募集期/开放期</w:t>
      </w:r>
      <w:r>
        <w:rPr>
          <w:rFonts w:hint="eastAsia" w:ascii="仿宋_GB2312" w:eastAsia="仿宋_GB2312" w:cs="Times New Roman" w:hAnsiTheme="minorEastAsia"/>
          <w:b/>
          <w:bCs w:val="0"/>
          <w:color w:val="auto"/>
          <w:sz w:val="20"/>
          <w:highlight w:val="none"/>
          <w:lang w:val="en-US" w:eastAsia="zh-CN"/>
        </w:rPr>
        <w:t>内</w:t>
      </w:r>
      <w:r>
        <w:rPr>
          <w:rFonts w:hint="eastAsia" w:ascii="仿宋_GB2312" w:eastAsia="仿宋_GB2312" w:cs="Times New Roman" w:hAnsiTheme="minorEastAsia"/>
          <w:b/>
          <w:bCs w:val="0"/>
          <w:color w:val="auto"/>
          <w:sz w:val="20"/>
          <w:highlight w:val="none"/>
          <w:lang w:eastAsia="zh-CN"/>
        </w:rPr>
        <w:t>，投资者认购/申购本产品，应提前将认购/申购资金存入投资者认购</w:t>
      </w:r>
      <w:r>
        <w:rPr>
          <w:rFonts w:hint="eastAsia" w:ascii="仿宋_GB2312" w:eastAsia="仿宋_GB2312" w:cs="Times New Roman" w:hAnsiTheme="minorEastAsia"/>
          <w:b/>
          <w:bCs w:val="0"/>
          <w:color w:val="auto"/>
          <w:sz w:val="20"/>
          <w:highlight w:val="none"/>
          <w:lang w:val="en-US" w:eastAsia="zh-CN"/>
        </w:rPr>
        <w:t>/申购</w:t>
      </w:r>
      <w:r>
        <w:rPr>
          <w:rFonts w:hint="eastAsia" w:ascii="仿宋_GB2312" w:eastAsia="仿宋_GB2312" w:cs="Times New Roman" w:hAnsiTheme="minorEastAsia"/>
          <w:b/>
          <w:bCs w:val="0"/>
          <w:color w:val="auto"/>
          <w:sz w:val="20"/>
          <w:highlight w:val="none"/>
          <w:lang w:eastAsia="zh-CN"/>
        </w:rPr>
        <w:t>账户，认购/申购</w:t>
      </w:r>
      <w:r>
        <w:rPr>
          <w:rFonts w:hint="eastAsia" w:ascii="仿宋_GB2312" w:eastAsia="仿宋_GB2312" w:cs="Times New Roman" w:hAnsiTheme="minorEastAsia"/>
          <w:b/>
          <w:bCs w:val="0"/>
          <w:color w:val="auto"/>
          <w:sz w:val="20"/>
          <w:highlight w:val="none"/>
          <w:lang w:val="en-US" w:eastAsia="zh-CN"/>
        </w:rPr>
        <w:t>资金实时</w:t>
      </w:r>
      <w:r>
        <w:rPr>
          <w:rFonts w:hint="eastAsia" w:ascii="仿宋_GB2312" w:eastAsia="仿宋_GB2312" w:cs="Times New Roman" w:hAnsiTheme="minorEastAsia"/>
          <w:b/>
          <w:bCs w:val="0"/>
          <w:color w:val="auto"/>
          <w:sz w:val="20"/>
          <w:highlight w:val="none"/>
          <w:lang w:eastAsia="zh-CN"/>
        </w:rPr>
        <w:t>冻结，贵阳农商银行于产品成立日/</w:t>
      </w:r>
      <w:r>
        <w:rPr>
          <w:rFonts w:hint="eastAsia" w:ascii="仿宋_GB2312" w:eastAsia="仿宋_GB2312" w:cs="Times New Roman" w:hAnsiTheme="minorEastAsia"/>
          <w:b/>
          <w:bCs w:val="0"/>
          <w:color w:val="auto"/>
          <w:sz w:val="20"/>
          <w:highlight w:val="none"/>
          <w:lang w:val="en-US" w:eastAsia="zh-CN"/>
        </w:rPr>
        <w:t>下一开放</w:t>
      </w:r>
      <w:r>
        <w:rPr>
          <w:rFonts w:hint="eastAsia" w:ascii="仿宋_GB2312" w:eastAsia="仿宋_GB2312" w:cs="Times New Roman" w:hAnsiTheme="minorEastAsia"/>
          <w:b/>
          <w:bCs w:val="0"/>
          <w:color w:val="auto"/>
          <w:sz w:val="20"/>
          <w:highlight w:val="none"/>
          <w:lang w:eastAsia="zh-CN"/>
        </w:rPr>
        <w:t>日进行认购</w:t>
      </w:r>
      <w:r>
        <w:rPr>
          <w:rFonts w:hint="eastAsia" w:ascii="仿宋_GB2312" w:eastAsia="仿宋_GB2312" w:cs="Times New Roman" w:hAnsiTheme="minorEastAsia"/>
          <w:b/>
          <w:bCs w:val="0"/>
          <w:color w:val="auto"/>
          <w:sz w:val="20"/>
          <w:highlight w:val="none"/>
          <w:lang w:val="en-US" w:eastAsia="zh-CN"/>
        </w:rPr>
        <w:t>/申购</w:t>
      </w:r>
      <w:r>
        <w:rPr>
          <w:rFonts w:hint="eastAsia" w:ascii="仿宋_GB2312" w:eastAsia="仿宋_GB2312" w:cs="Times New Roman" w:hAnsiTheme="minorEastAsia"/>
          <w:b/>
          <w:bCs w:val="0"/>
          <w:color w:val="auto"/>
          <w:sz w:val="20"/>
          <w:highlight w:val="none"/>
          <w:lang w:eastAsia="zh-CN"/>
        </w:rPr>
        <w:t>资金扣划。产品募集期/开放期内，投资者将认购/申购</w:t>
      </w:r>
      <w:r>
        <w:rPr>
          <w:rFonts w:hint="eastAsia" w:ascii="仿宋_GB2312" w:eastAsia="仿宋_GB2312" w:cs="Times New Roman" w:hAnsiTheme="minorEastAsia"/>
          <w:b/>
          <w:bCs w:val="0"/>
          <w:color w:val="auto"/>
          <w:sz w:val="20"/>
          <w:highlight w:val="none"/>
          <w:lang w:val="en-US" w:eastAsia="zh-CN"/>
        </w:rPr>
        <w:t>资</w:t>
      </w:r>
      <w:r>
        <w:rPr>
          <w:rFonts w:hint="eastAsia" w:ascii="仿宋_GB2312" w:eastAsia="仿宋_GB2312" w:cs="Times New Roman" w:hAnsiTheme="minorEastAsia"/>
          <w:b/>
          <w:bCs w:val="0"/>
          <w:color w:val="auto"/>
          <w:sz w:val="20"/>
          <w:highlight w:val="none"/>
          <w:lang w:eastAsia="zh-CN"/>
        </w:rPr>
        <w:t>金存入投资者认购/申购账户之日至本产品成立日</w:t>
      </w:r>
      <w:r>
        <w:rPr>
          <w:rFonts w:hint="eastAsia" w:ascii="仿宋_GB2312" w:eastAsia="仿宋_GB2312" w:cs="Times New Roman" w:hAnsiTheme="minorEastAsia"/>
          <w:b/>
          <w:bCs w:val="0"/>
          <w:color w:val="auto"/>
          <w:sz w:val="20"/>
          <w:highlight w:val="none"/>
          <w:lang w:val="en-US" w:eastAsia="zh-CN"/>
        </w:rPr>
        <w:t>/下一开放日</w:t>
      </w:r>
      <w:r>
        <w:rPr>
          <w:rFonts w:hint="eastAsia" w:ascii="仿宋_GB2312" w:eastAsia="仿宋_GB2312" w:cs="Times New Roman" w:hAnsiTheme="minorEastAsia"/>
          <w:b/>
          <w:bCs w:val="0"/>
          <w:color w:val="auto"/>
          <w:sz w:val="20"/>
          <w:highlight w:val="none"/>
          <w:lang w:eastAsia="zh-CN"/>
        </w:rPr>
        <w:t>（不含）期间，认购/申购资金的活期存款利息（</w:t>
      </w:r>
      <w:r>
        <w:rPr>
          <w:rFonts w:hint="eastAsia" w:ascii="仿宋_GB2312" w:eastAsia="仿宋_GB2312" w:cs="Times New Roman" w:hAnsiTheme="minorEastAsia"/>
          <w:b/>
          <w:bCs w:val="0"/>
          <w:color w:val="auto"/>
          <w:sz w:val="20"/>
          <w:highlight w:val="none"/>
          <w:lang w:val="en-US" w:eastAsia="zh-CN"/>
        </w:rPr>
        <w:t>单利</w:t>
      </w:r>
      <w:r>
        <w:rPr>
          <w:rFonts w:hint="eastAsia" w:ascii="仿宋_GB2312" w:eastAsia="仿宋_GB2312" w:cs="Times New Roman" w:hAnsiTheme="minorEastAsia"/>
          <w:b/>
          <w:bCs w:val="0"/>
          <w:color w:val="auto"/>
          <w:sz w:val="20"/>
          <w:highlight w:val="none"/>
          <w:lang w:eastAsia="zh-CN"/>
        </w:rPr>
        <w:t>）</w:t>
      </w:r>
      <w:r>
        <w:rPr>
          <w:rFonts w:hint="eastAsia" w:ascii="仿宋_GB2312" w:hAnsi="仿宋_GB2312" w:eastAsia="仿宋_GB2312" w:cs="仿宋_GB2312"/>
          <w:b/>
          <w:sz w:val="20"/>
          <w:szCs w:val="20"/>
          <w:highlight w:val="none"/>
          <w:lang w:eastAsia="zh-CN"/>
        </w:rPr>
        <w:t>将转入投资者认购</w:t>
      </w:r>
      <w:r>
        <w:rPr>
          <w:rFonts w:hint="eastAsia" w:ascii="仿宋_GB2312" w:hAnsi="仿宋_GB2312" w:eastAsia="仿宋_GB2312" w:cs="仿宋_GB2312"/>
          <w:b/>
          <w:sz w:val="20"/>
          <w:szCs w:val="20"/>
          <w:highlight w:val="none"/>
          <w:lang w:val="en-US" w:eastAsia="zh-CN"/>
        </w:rPr>
        <w:t>/申购</w:t>
      </w:r>
      <w:r>
        <w:rPr>
          <w:rFonts w:hint="eastAsia" w:ascii="仿宋_GB2312" w:hAnsi="仿宋_GB2312" w:eastAsia="仿宋_GB2312" w:cs="仿宋_GB2312"/>
          <w:b/>
          <w:sz w:val="20"/>
          <w:szCs w:val="20"/>
          <w:highlight w:val="none"/>
          <w:lang w:eastAsia="zh-CN"/>
        </w:rPr>
        <w:t>账户</w:t>
      </w:r>
      <w:r>
        <w:rPr>
          <w:rFonts w:hint="eastAsia" w:ascii="仿宋_GB2312" w:eastAsia="仿宋_GB2312" w:cs="Times New Roman" w:hAnsiTheme="minorEastAsia"/>
          <w:b/>
          <w:bCs w:val="0"/>
          <w:color w:val="auto"/>
          <w:sz w:val="20"/>
          <w:highlight w:val="none"/>
          <w:lang w:eastAsia="zh-CN"/>
        </w:rPr>
        <w:t>，</w:t>
      </w:r>
      <w:r>
        <w:rPr>
          <w:rFonts w:hint="eastAsia" w:ascii="仿宋_GB2312" w:eastAsia="仿宋_GB2312" w:cs="Times New Roman" w:hAnsiTheme="minorEastAsia"/>
          <w:b/>
          <w:bCs w:val="0"/>
          <w:color w:val="auto"/>
          <w:sz w:val="20"/>
          <w:highlight w:val="none"/>
          <w:lang w:val="en-US" w:eastAsia="zh-CN"/>
        </w:rPr>
        <w:t>但</w:t>
      </w:r>
      <w:r>
        <w:rPr>
          <w:rFonts w:hint="eastAsia" w:ascii="仿宋_GB2312" w:eastAsia="仿宋_GB2312" w:cs="Times New Roman" w:hAnsiTheme="minorEastAsia"/>
          <w:b/>
          <w:bCs w:val="0"/>
          <w:color w:val="auto"/>
          <w:sz w:val="20"/>
          <w:highlight w:val="none"/>
          <w:lang w:eastAsia="zh-CN"/>
        </w:rPr>
        <w:t>募集期/开放期内的活期存款利息（</w:t>
      </w:r>
      <w:r>
        <w:rPr>
          <w:rFonts w:hint="eastAsia" w:ascii="仿宋_GB2312" w:eastAsia="仿宋_GB2312" w:cs="Times New Roman" w:hAnsiTheme="minorEastAsia"/>
          <w:b/>
          <w:bCs w:val="0"/>
          <w:color w:val="auto"/>
          <w:sz w:val="20"/>
          <w:highlight w:val="none"/>
          <w:lang w:val="en-US" w:eastAsia="zh-CN"/>
        </w:rPr>
        <w:t>单利</w:t>
      </w:r>
      <w:r>
        <w:rPr>
          <w:rFonts w:hint="eastAsia" w:ascii="仿宋_GB2312" w:eastAsia="仿宋_GB2312" w:cs="Times New Roman" w:hAnsiTheme="minorEastAsia"/>
          <w:b/>
          <w:bCs w:val="0"/>
          <w:color w:val="auto"/>
          <w:sz w:val="20"/>
          <w:highlight w:val="none"/>
          <w:lang w:eastAsia="zh-CN"/>
        </w:rPr>
        <w:t>）不计入认购/申购资金。</w:t>
      </w:r>
    </w:p>
    <w:p w14:paraId="323AE20E">
      <w:pPr>
        <w:pStyle w:val="3"/>
        <w:spacing w:before="0"/>
        <w:ind w:left="0" w:right="153" w:firstLine="402" w:firstLineChars="200"/>
        <w:jc w:val="both"/>
        <w:rPr>
          <w:rFonts w:hint="eastAsia" w:ascii="仿宋_GB2312" w:eastAsia="仿宋_GB2312" w:cs="Times New Roman" w:hAnsiTheme="minorEastAsia"/>
          <w:b/>
          <w:bCs w:val="0"/>
          <w:color w:val="auto"/>
          <w:sz w:val="20"/>
          <w:highlight w:val="none"/>
          <w:lang w:eastAsia="zh-CN"/>
        </w:rPr>
      </w:pPr>
      <w:r>
        <w:rPr>
          <w:rFonts w:hint="eastAsia" w:ascii="仿宋_GB2312" w:eastAsia="仿宋_GB2312" w:cs="Times New Roman" w:hAnsiTheme="minorEastAsia"/>
          <w:b/>
          <w:bCs w:val="0"/>
          <w:color w:val="auto"/>
          <w:sz w:val="20"/>
          <w:highlight w:val="none"/>
          <w:lang w:eastAsia="zh-CN"/>
        </w:rPr>
        <w:t>2.投资者在</w:t>
      </w:r>
      <w:r>
        <w:rPr>
          <w:rFonts w:hint="eastAsia" w:ascii="仿宋_GB2312" w:eastAsia="仿宋_GB2312" w:cs="Times New Roman" w:hAnsiTheme="minorEastAsia"/>
          <w:b/>
          <w:bCs w:val="0"/>
          <w:color w:val="auto"/>
          <w:sz w:val="20"/>
          <w:highlight w:val="none"/>
          <w:lang w:val="en-US" w:eastAsia="zh-CN"/>
        </w:rPr>
        <w:t>赎回时间</w:t>
      </w:r>
      <w:r>
        <w:rPr>
          <w:rFonts w:hint="eastAsia" w:ascii="仿宋_GB2312" w:eastAsia="仿宋_GB2312" w:cs="Times New Roman" w:hAnsiTheme="minorEastAsia"/>
          <w:b/>
          <w:bCs w:val="0"/>
          <w:color w:val="auto"/>
          <w:sz w:val="20"/>
          <w:highlight w:val="none"/>
          <w:lang w:eastAsia="zh-CN"/>
        </w:rPr>
        <w:t>内提</w:t>
      </w:r>
      <w:r>
        <w:rPr>
          <w:rFonts w:hint="eastAsia" w:ascii="仿宋_GB2312" w:eastAsia="仿宋_GB2312" w:cs="Times New Roman" w:hAnsiTheme="minorEastAsia"/>
          <w:b/>
          <w:bCs w:val="0"/>
          <w:color w:val="auto"/>
          <w:sz w:val="20"/>
          <w:highlight w:val="none"/>
          <w:lang w:val="en-US" w:eastAsia="zh-CN"/>
        </w:rPr>
        <w:t>出的赎回</w:t>
      </w:r>
      <w:r>
        <w:rPr>
          <w:rFonts w:hint="eastAsia" w:ascii="仿宋_GB2312" w:eastAsia="仿宋_GB2312" w:cs="Times New Roman" w:hAnsiTheme="minorEastAsia"/>
          <w:b/>
          <w:bCs w:val="0"/>
          <w:color w:val="auto"/>
          <w:sz w:val="20"/>
          <w:highlight w:val="none"/>
          <w:lang w:eastAsia="zh-CN"/>
        </w:rPr>
        <w:t>申请</w:t>
      </w:r>
      <w:r>
        <w:rPr>
          <w:rFonts w:hint="eastAsia" w:ascii="仿宋_GB2312" w:eastAsia="仿宋_GB2312" w:cs="Times New Roman" w:hAnsiTheme="minorEastAsia"/>
          <w:b/>
          <w:bCs w:val="0"/>
          <w:color w:val="auto"/>
          <w:sz w:val="20"/>
          <w:highlight w:val="none"/>
          <w:lang w:val="en-US" w:eastAsia="zh-CN"/>
        </w:rPr>
        <w:t>，提出赎回</w:t>
      </w:r>
      <w:r>
        <w:rPr>
          <w:rFonts w:hint="eastAsia" w:ascii="仿宋_GB2312" w:eastAsia="仿宋_GB2312" w:cs="Times New Roman" w:hAnsiTheme="minorEastAsia"/>
          <w:b/>
          <w:bCs w:val="0"/>
          <w:color w:val="auto"/>
          <w:sz w:val="20"/>
          <w:highlight w:val="none"/>
          <w:lang w:eastAsia="zh-CN"/>
        </w:rPr>
        <w:t>申请</w:t>
      </w:r>
      <w:r>
        <w:rPr>
          <w:rFonts w:hint="eastAsia" w:ascii="仿宋_GB2312" w:eastAsia="仿宋_GB2312" w:cs="Times New Roman" w:hAnsiTheme="minorEastAsia"/>
          <w:b/>
          <w:bCs w:val="0"/>
          <w:color w:val="auto"/>
          <w:sz w:val="20"/>
          <w:highlight w:val="none"/>
          <w:lang w:val="en-US" w:eastAsia="zh-CN"/>
        </w:rPr>
        <w:t>日</w:t>
      </w:r>
      <w:r>
        <w:rPr>
          <w:rFonts w:hint="eastAsia" w:ascii="仿宋_GB2312" w:eastAsia="仿宋_GB2312" w:cs="Times New Roman" w:hAnsiTheme="minorEastAsia"/>
          <w:b/>
          <w:bCs w:val="0"/>
          <w:color w:val="auto"/>
          <w:sz w:val="20"/>
          <w:highlight w:val="none"/>
          <w:lang w:eastAsia="zh-CN"/>
        </w:rPr>
        <w:t>至</w:t>
      </w:r>
      <w:r>
        <w:rPr>
          <w:rFonts w:hint="eastAsia" w:ascii="仿宋_GB2312" w:hAnsi="仿宋_GB2312" w:eastAsia="仿宋_GB2312" w:cs="仿宋_GB2312"/>
          <w:b/>
          <w:bCs w:val="0"/>
          <w:i w:val="0"/>
          <w:iCs w:val="0"/>
          <w:color w:val="auto"/>
          <w:kern w:val="0"/>
          <w:sz w:val="20"/>
          <w:szCs w:val="20"/>
          <w:highlight w:val="none"/>
          <w:u w:val="none"/>
          <w:lang w:val="en-US" w:eastAsia="zh-CN" w:bidi="ar"/>
        </w:rPr>
        <w:t>赎回确认日</w:t>
      </w:r>
      <w:r>
        <w:rPr>
          <w:rFonts w:hint="eastAsia" w:ascii="仿宋_GB2312" w:eastAsia="仿宋_GB2312" w:cs="Times New Roman" w:hAnsiTheme="minorEastAsia"/>
          <w:b/>
          <w:bCs w:val="0"/>
          <w:color w:val="auto"/>
          <w:sz w:val="20"/>
          <w:highlight w:val="none"/>
          <w:lang w:eastAsia="zh-CN"/>
        </w:rPr>
        <w:t>（</w:t>
      </w:r>
      <w:r>
        <w:rPr>
          <w:rFonts w:hint="eastAsia" w:ascii="仿宋_GB2312" w:eastAsia="仿宋_GB2312" w:cs="Times New Roman" w:hAnsiTheme="minorEastAsia"/>
          <w:b/>
          <w:bCs w:val="0"/>
          <w:color w:val="auto"/>
          <w:sz w:val="20"/>
          <w:highlight w:val="none"/>
          <w:lang w:val="en-US" w:eastAsia="zh-CN"/>
        </w:rPr>
        <w:t>不含</w:t>
      </w:r>
      <w:r>
        <w:rPr>
          <w:rFonts w:hint="eastAsia" w:ascii="仿宋_GB2312" w:eastAsia="仿宋_GB2312" w:cs="Times New Roman" w:hAnsiTheme="minorEastAsia"/>
          <w:b/>
          <w:bCs w:val="0"/>
          <w:color w:val="auto"/>
          <w:sz w:val="20"/>
          <w:highlight w:val="none"/>
          <w:lang w:eastAsia="zh-CN"/>
        </w:rPr>
        <w:t>）</w:t>
      </w:r>
      <w:r>
        <w:rPr>
          <w:rFonts w:hint="eastAsia" w:ascii="仿宋_GB2312" w:eastAsia="仿宋_GB2312" w:cs="Times New Roman" w:hAnsiTheme="minorEastAsia"/>
          <w:b/>
          <w:bCs w:val="0"/>
          <w:color w:val="auto"/>
          <w:sz w:val="20"/>
          <w:highlight w:val="none"/>
          <w:lang w:val="en-US" w:eastAsia="zh-CN"/>
        </w:rPr>
        <w:t>之间继续享有分配权，不</w:t>
      </w:r>
      <w:r>
        <w:rPr>
          <w:rFonts w:hint="eastAsia" w:ascii="仿宋_GB2312" w:eastAsia="仿宋_GB2312" w:cs="Times New Roman" w:hAnsiTheme="minorEastAsia"/>
          <w:b/>
          <w:bCs w:val="0"/>
          <w:color w:val="auto"/>
          <w:sz w:val="20"/>
          <w:highlight w:val="none"/>
          <w:lang w:eastAsia="zh-CN"/>
        </w:rPr>
        <w:t>计算活期存款利息，</w:t>
      </w:r>
      <w:r>
        <w:rPr>
          <w:rFonts w:hint="eastAsia" w:ascii="仿宋_GB2312" w:hAnsi="仿宋_GB2312" w:eastAsia="仿宋_GB2312" w:cs="仿宋_GB2312"/>
          <w:b/>
          <w:bCs w:val="0"/>
          <w:i w:val="0"/>
          <w:iCs w:val="0"/>
          <w:color w:val="auto"/>
          <w:kern w:val="0"/>
          <w:sz w:val="20"/>
          <w:szCs w:val="20"/>
          <w:highlight w:val="none"/>
          <w:u w:val="none"/>
          <w:lang w:val="en-US" w:eastAsia="zh-CN" w:bidi="ar"/>
        </w:rPr>
        <w:t>赎回确认日赎回资金到账</w:t>
      </w:r>
      <w:r>
        <w:rPr>
          <w:rFonts w:hint="eastAsia" w:ascii="仿宋_GB2312" w:eastAsia="仿宋_GB2312" w:cs="Times New Roman" w:hAnsiTheme="minorEastAsia"/>
          <w:b/>
          <w:bCs w:val="0"/>
          <w:color w:val="auto"/>
          <w:sz w:val="20"/>
          <w:highlight w:val="none"/>
          <w:lang w:eastAsia="zh-CN"/>
        </w:rPr>
        <w:t>。</w:t>
      </w:r>
    </w:p>
    <w:p w14:paraId="569FB801">
      <w:pPr>
        <w:pStyle w:val="16"/>
        <w:ind w:left="0" w:right="151" w:firstLine="480" w:firstLineChars="200"/>
        <w:jc w:val="both"/>
        <w:rPr>
          <w:rFonts w:ascii="Times New Roman" w:hAnsi="Times New Roman" w:eastAsia="黑体" w:cs="Times New Roman"/>
          <w:color w:val="auto"/>
          <w:highlight w:val="none"/>
          <w:lang w:eastAsia="zh-CN"/>
        </w:rPr>
      </w:pPr>
      <w:r>
        <w:rPr>
          <w:rFonts w:hint="eastAsia" w:ascii="Times New Roman" w:hAnsi="黑体" w:eastAsia="黑体" w:cs="Times New Roman"/>
          <w:color w:val="auto"/>
          <w:highlight w:val="none"/>
          <w:lang w:val="en-US" w:eastAsia="zh-CN"/>
        </w:rPr>
        <w:t>六</w:t>
      </w:r>
      <w:r>
        <w:rPr>
          <w:rFonts w:ascii="Times New Roman" w:hAnsi="黑体" w:eastAsia="黑体" w:cs="Times New Roman"/>
          <w:color w:val="auto"/>
          <w:highlight w:val="none"/>
          <w:lang w:eastAsia="zh-CN"/>
        </w:rPr>
        <w:t>、产品资产估值</w:t>
      </w:r>
    </w:p>
    <w:p w14:paraId="26208A5E">
      <w:pPr>
        <w:pStyle w:val="3"/>
        <w:spacing w:before="46"/>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（一）资产估值范围</w:t>
      </w:r>
    </w:p>
    <w:p w14:paraId="606284FE">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ascii="仿宋_GB2312" w:eastAsia="仿宋_GB2312" w:cs="Times New Roman" w:hAnsiTheme="minorEastAsia"/>
          <w:color w:val="auto"/>
          <w:sz w:val="20"/>
          <w:highlight w:val="none"/>
          <w:lang w:eastAsia="zh-CN"/>
        </w:rPr>
        <w:t>1.本产品资产总值包括理财产品项下现金类资产、货币市场工具、货币市场基金、标准化固定收益类资产和其他符合监管要求的资产总和。</w:t>
      </w:r>
    </w:p>
    <w:p w14:paraId="001CD23E">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ascii="仿宋_GB2312" w:eastAsia="仿宋_GB2312" w:cs="Times New Roman" w:hAnsiTheme="minorEastAsia"/>
          <w:color w:val="auto"/>
          <w:sz w:val="20"/>
          <w:highlight w:val="none"/>
          <w:lang w:eastAsia="zh-CN"/>
        </w:rPr>
        <w:t>2.产品资产估值的目的是客观、准确地反映资产价值，确定产品资产净值，并为产品份额的兑付提供计价依据。</w:t>
      </w:r>
    </w:p>
    <w:p w14:paraId="46B7E904">
      <w:pPr>
        <w:pStyle w:val="3"/>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（二）资产估值方法</w:t>
      </w:r>
    </w:p>
    <w:p w14:paraId="5C6A1AAE">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34A2D9E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25946632">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86D6747">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6D26E37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76269AC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理财产品所投资各类资产采用摊余成本法进行核算，并采用影子定价的风险控制手段对资产净值的公允性进行评估，核算方法如下：</w:t>
      </w:r>
    </w:p>
    <w:p w14:paraId="79B5897C">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w:t>
      </w: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）债券、同业存单、资产支持证券等固定收益类资产：以买入成本列示，按票面利率或商定利率并考虑其买入时的溢价与折价，在其剩余期限内按实际利率法进行摊销，每日计提收益。</w:t>
      </w:r>
    </w:p>
    <w:p w14:paraId="2B742745">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w:t>
      </w: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）银行存款：按照约定利率在持有期内逐日计提应收利息，在利息到账日以实收利息入账。</w:t>
      </w:r>
    </w:p>
    <w:p w14:paraId="24BB3A5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w:t>
      </w:r>
      <w:r>
        <w:rPr>
          <w:rFonts w:hint="eastAsia" w:ascii="仿宋_GB2312" w:eastAsia="仿宋_GB2312" w:cs="Times New Roman" w:hAnsiTheme="minorEastAsia"/>
          <w:color w:val="auto"/>
          <w:sz w:val="20"/>
          <w:highlight w:val="none"/>
          <w:lang w:val="en-US" w:eastAsia="zh-CN"/>
        </w:rPr>
        <w:t>3</w:t>
      </w:r>
      <w:r>
        <w:rPr>
          <w:rFonts w:hint="eastAsia" w:ascii="仿宋_GB2312" w:eastAsia="仿宋_GB2312" w:cs="Times New Roman" w:hAnsiTheme="minorEastAsia"/>
          <w:color w:val="auto"/>
          <w:sz w:val="20"/>
          <w:highlight w:val="none"/>
          <w:lang w:eastAsia="zh-CN"/>
        </w:rPr>
        <w:t>）债券回购（</w:t>
      </w:r>
      <w:r>
        <w:rPr>
          <w:rFonts w:hint="eastAsia" w:ascii="仿宋_GB2312" w:eastAsia="仿宋_GB2312" w:cs="Times New Roman" w:hAnsiTheme="minorEastAsia"/>
          <w:color w:val="auto"/>
          <w:sz w:val="20"/>
          <w:highlight w:val="none"/>
          <w:lang w:val="en-US" w:eastAsia="zh-CN"/>
        </w:rPr>
        <w:t>买入返售</w:t>
      </w:r>
      <w:r>
        <w:rPr>
          <w:rFonts w:hint="eastAsia" w:ascii="仿宋_GB2312" w:eastAsia="仿宋_GB2312" w:cs="Times New Roman" w:hAnsiTheme="minorEastAsia"/>
          <w:color w:val="auto"/>
          <w:sz w:val="20"/>
          <w:highlight w:val="none"/>
          <w:lang w:eastAsia="zh-CN"/>
        </w:rPr>
        <w:t>）：持有的回购协议以本金列示，按商定利率在实际持有期间内逐日计提利息。</w:t>
      </w:r>
    </w:p>
    <w:p w14:paraId="281ED042">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4）对于交易所上市交易型货币市场基金：如基金管理人披露份额净值，则按所投资基金的基金管理人披露的估值日份额净值进行估值；如基金管理人披露万份（百份）收益，则按所投资基金前一估值日后至估值日期间（含</w:t>
      </w:r>
      <w:r>
        <w:rPr>
          <w:rFonts w:hint="eastAsia" w:ascii="仿宋_GB2312" w:eastAsia="仿宋_GB2312" w:cs="Times New Roman" w:hAnsiTheme="minorEastAsia"/>
          <w:color w:val="auto"/>
          <w:sz w:val="20"/>
          <w:highlight w:val="none"/>
          <w:lang w:val="en-US" w:eastAsia="zh-CN"/>
        </w:rPr>
        <w:t>非工作</w:t>
      </w:r>
      <w:r>
        <w:rPr>
          <w:rFonts w:hint="eastAsia" w:ascii="仿宋_GB2312" w:eastAsia="仿宋_GB2312" w:cs="Times New Roman" w:hAnsiTheme="minorEastAsia"/>
          <w:color w:val="auto"/>
          <w:sz w:val="20"/>
          <w:highlight w:val="none"/>
          <w:lang w:eastAsia="zh-CN"/>
        </w:rPr>
        <w:t>日）的万份（百份）收益计提收益；对于未在交易所上市的货币市场基金，按基金管理公司披露的前一估值日后至估值日期间（含</w:t>
      </w:r>
      <w:r>
        <w:rPr>
          <w:rFonts w:hint="eastAsia" w:ascii="仿宋_GB2312" w:eastAsia="仿宋_GB2312" w:cs="Times New Roman" w:hAnsiTheme="minorEastAsia"/>
          <w:color w:val="auto"/>
          <w:sz w:val="20"/>
          <w:highlight w:val="none"/>
          <w:lang w:val="en-US" w:eastAsia="zh-CN"/>
        </w:rPr>
        <w:t>非工作</w:t>
      </w:r>
      <w:r>
        <w:rPr>
          <w:rFonts w:hint="eastAsia" w:ascii="仿宋_GB2312" w:eastAsia="仿宋_GB2312" w:cs="Times New Roman" w:hAnsiTheme="minorEastAsia"/>
          <w:color w:val="auto"/>
          <w:sz w:val="20"/>
          <w:highlight w:val="none"/>
          <w:lang w:eastAsia="zh-CN"/>
        </w:rPr>
        <w:t>日）的万份收益计提估值日收益。</w:t>
      </w:r>
    </w:p>
    <w:p w14:paraId="4622570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（5）资产管理计划、信托计划等</w:t>
      </w:r>
      <w:r>
        <w:rPr>
          <w:rFonts w:hint="eastAsia" w:ascii="仿宋_GB2312" w:eastAsia="仿宋_GB2312" w:cs="Times New Roman" w:hAnsiTheme="minorEastAsia"/>
          <w:color w:val="auto"/>
          <w:sz w:val="20"/>
          <w:highlight w:val="none"/>
          <w:lang w:val="en-US" w:eastAsia="zh-CN"/>
        </w:rPr>
        <w:t>资产管理产品</w:t>
      </w:r>
      <w:r>
        <w:rPr>
          <w:rFonts w:hint="eastAsia" w:ascii="仿宋_GB2312" w:eastAsia="仿宋_GB2312" w:cs="Times New Roman" w:hAnsiTheme="minorEastAsia"/>
          <w:color w:val="auto"/>
          <w:sz w:val="20"/>
          <w:highlight w:val="none"/>
          <w:lang w:eastAsia="zh-CN"/>
        </w:rPr>
        <w:t>：按合同约定的估值方案，以信托计划的受托人、资产管理计划或基金的管理人等和资产托管人共同确认的</w:t>
      </w:r>
      <w:r>
        <w:rPr>
          <w:rFonts w:hint="eastAsia" w:ascii="仿宋_GB2312" w:eastAsia="仿宋_GB2312" w:cs="Times New Roman" w:hAnsiTheme="minorEastAsia"/>
          <w:color w:val="auto"/>
          <w:sz w:val="20"/>
          <w:highlight w:val="none"/>
          <w:lang w:val="en-US" w:eastAsia="zh-CN"/>
        </w:rPr>
        <w:t>份额</w:t>
      </w:r>
      <w:r>
        <w:rPr>
          <w:rFonts w:hint="eastAsia" w:ascii="仿宋_GB2312" w:eastAsia="仿宋_GB2312" w:cs="Times New Roman" w:hAnsiTheme="minorEastAsia"/>
          <w:color w:val="auto"/>
          <w:sz w:val="20"/>
          <w:highlight w:val="none"/>
          <w:lang w:eastAsia="zh-CN"/>
        </w:rPr>
        <w:t>净值或投资收益情况进行估值。</w:t>
      </w:r>
    </w:p>
    <w:p w14:paraId="18179467">
      <w:pPr>
        <w:pStyle w:val="3"/>
        <w:spacing w:before="0"/>
        <w:ind w:left="0" w:right="153" w:firstLine="400" w:firstLineChars="200"/>
        <w:jc w:val="both"/>
        <w:rPr>
          <w:color w:val="auto"/>
          <w:sz w:val="20"/>
          <w:szCs w:val="20"/>
          <w:highlight w:val="none"/>
        </w:rPr>
      </w:pPr>
      <w:r>
        <w:rPr>
          <w:rFonts w:hint="eastAsia" w:ascii="仿宋_GB2312" w:eastAsia="仿宋_GB2312" w:cs="Times New Roman" w:hAnsiTheme="minorEastAsia"/>
          <w:color w:val="auto"/>
          <w:sz w:val="20"/>
          <w:szCs w:val="20"/>
          <w:highlight w:val="none"/>
          <w:lang w:eastAsia="zh-CN"/>
        </w:rPr>
        <w:t>（</w:t>
      </w:r>
      <w:r>
        <w:rPr>
          <w:rFonts w:hint="eastAsia" w:ascii="仿宋_GB2312" w:eastAsia="仿宋_GB2312" w:cs="Times New Roman" w:hAnsiTheme="minorEastAsia"/>
          <w:color w:val="auto"/>
          <w:sz w:val="20"/>
          <w:szCs w:val="20"/>
          <w:highlight w:val="none"/>
          <w:lang w:val="en-US" w:eastAsia="zh-CN"/>
        </w:rPr>
        <w:t>6</w:t>
      </w:r>
      <w:r>
        <w:rPr>
          <w:rFonts w:hint="eastAsia" w:ascii="仿宋_GB2312" w:eastAsia="仿宋_GB2312" w:cs="Times New Roman" w:hAnsiTheme="minorEastAsia"/>
          <w:color w:val="auto"/>
          <w:sz w:val="20"/>
          <w:szCs w:val="20"/>
          <w:highlight w:val="none"/>
          <w:lang w:eastAsia="zh-CN"/>
        </w:rPr>
        <w:t>）其他资产：其他资产存在并可以确定公允价值的，以估值日或最新可获取的公允价值为基础计算，公允价值不能确定的，按照国家最新规定进行估值。</w:t>
      </w:r>
    </w:p>
    <w:p w14:paraId="0F83B58C">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szCs w:val="20"/>
          <w:highlight w:val="none"/>
          <w:lang w:eastAsia="zh-CN"/>
        </w:rPr>
        <w:t>（</w:t>
      </w:r>
      <w:r>
        <w:rPr>
          <w:rFonts w:hint="eastAsia" w:ascii="仿宋_GB2312" w:eastAsia="仿宋_GB2312" w:cs="Times New Roman" w:hAnsiTheme="minorEastAsia"/>
          <w:color w:val="auto"/>
          <w:sz w:val="20"/>
          <w:szCs w:val="20"/>
          <w:highlight w:val="none"/>
          <w:lang w:val="en-US" w:eastAsia="zh-CN"/>
        </w:rPr>
        <w:t>7</w:t>
      </w:r>
      <w:r>
        <w:rPr>
          <w:rFonts w:hint="eastAsia" w:ascii="仿宋_GB2312" w:eastAsia="仿宋_GB2312" w:cs="Times New Roman" w:hAnsiTheme="minorEastAsia"/>
          <w:color w:val="auto"/>
          <w:sz w:val="20"/>
          <w:szCs w:val="20"/>
          <w:highlight w:val="none"/>
          <w:lang w:eastAsia="zh-CN"/>
        </w:rPr>
        <w:t>）由于按摊余成本法估</w:t>
      </w:r>
      <w:r>
        <w:rPr>
          <w:rFonts w:hint="eastAsia" w:ascii="仿宋_GB2312" w:eastAsia="仿宋_GB2312" w:cs="Times New Roman" w:hAnsiTheme="minorEastAsia"/>
          <w:color w:val="auto"/>
          <w:sz w:val="20"/>
          <w:highlight w:val="none"/>
          <w:lang w:eastAsia="zh-CN"/>
        </w:rPr>
        <w:t>值可能会出现被估值对象的其他可参考公允价值指标和摊余成本之间的偏离，为消除或减少因理财产品资产净值的背离导致理财产品投资者权益的稀释或其他不公平的结果，在实际操作中，管理人与托管人将采用估值技术，对理财产品持有的估值对象进行重新评估，即“影子定价”。当影子定价确定的本产品资产净值与摊余成本法计算的资产净值正偏离度绝对值达到0.5%时，管理人应当暂停接受申购并在5个交易日内将正偏离度绝对值调整到0.5%以内。当负偏离度绝对值达到0.25%时，管理人应当在5个交易日内将负偏离度绝对值调整到0.25%以内。当负偏离度绝对值达到0.5%时，管理人应当采取相应措施，将负偏离度绝对值控制在0.5%以内。当负偏离度绝对值连续两个交易日超过0.5%时，管理人应当采用公允价值估值方法对持有投资组合的账面价值进行调整，或者采取暂停接受所有赎回申请并终止理财产品协议进行财产清算等措施。当出现上述情形时，管理人将依据法律法规规定履行信息披露程序。</w:t>
      </w:r>
    </w:p>
    <w:p w14:paraId="061B443B">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影子定价与摊余成本法确定的现金管理类产品资产净值的偏离度＝（NAVs-NAVa）/NAVa，其中，NAVs为影子定价确定的现金管理类产品资产净值，NAVa为摊余成本法确定的现金管理类产品资产净值。</w:t>
      </w:r>
    </w:p>
    <w:p w14:paraId="55D0863C">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w:t>
      </w:r>
      <w:r>
        <w:rPr>
          <w:rFonts w:hint="eastAsia" w:ascii="仿宋_GB2312" w:eastAsia="仿宋_GB2312" w:cs="Times New Roman" w:hAnsiTheme="minorEastAsia"/>
          <w:color w:val="auto"/>
          <w:sz w:val="20"/>
          <w:highlight w:val="none"/>
          <w:lang w:val="en-US" w:eastAsia="zh-CN"/>
        </w:rPr>
        <w:t>8</w:t>
      </w:r>
      <w:r>
        <w:rPr>
          <w:rFonts w:hint="eastAsia" w:ascii="仿宋_GB2312" w:eastAsia="仿宋_GB2312" w:cs="Times New Roman" w:hAnsiTheme="minorEastAsia"/>
          <w:color w:val="auto"/>
          <w:sz w:val="20"/>
          <w:highlight w:val="none"/>
          <w:lang w:eastAsia="zh-CN"/>
        </w:rPr>
        <w:t>）对于以上估值方法，相关法律法规以及监管部门有另行规定的，按照监管最新规定执行。如监管并无明确规定和要求的，由管理人与托管人协商确定计算方法。</w:t>
      </w:r>
    </w:p>
    <w:p w14:paraId="0F7CE9F5">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（9）</w:t>
      </w:r>
      <w:r>
        <w:rPr>
          <w:rFonts w:hint="eastAsia" w:ascii="仿宋_GB2312" w:eastAsia="仿宋_GB2312" w:cs="Times New Roman" w:hAnsiTheme="minorEastAsia"/>
          <w:color w:val="auto"/>
          <w:sz w:val="20"/>
          <w:highlight w:val="none"/>
          <w:lang w:eastAsia="zh-CN"/>
        </w:rPr>
        <w:t>在任何情况下，产品管理人与理财产品托管人所共同认可的估值方式均视为客观、公允的估值方法。该产品估值均以产品公布的估值结果为准。如有确凿证据表明按上述方法进行估值不能客观反映其公允价值的，产品管理人可根据具体情况与产品托管人商定后，在符合监管规定和会计准则要求下，按最能反映公允价值的方法估值。</w:t>
      </w:r>
    </w:p>
    <w:p w14:paraId="50110AE2">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w:t>
      </w:r>
      <w:r>
        <w:rPr>
          <w:rFonts w:hint="eastAsia" w:ascii="仿宋_GB2312" w:eastAsia="仿宋_GB2312" w:cs="Times New Roman" w:hAnsiTheme="minorEastAsia"/>
          <w:color w:val="auto"/>
          <w:sz w:val="20"/>
          <w:highlight w:val="none"/>
          <w:lang w:val="en-US" w:eastAsia="zh-CN"/>
        </w:rPr>
        <w:t>10</w:t>
      </w:r>
      <w:r>
        <w:rPr>
          <w:rFonts w:hint="eastAsia" w:ascii="仿宋_GB2312" w:eastAsia="仿宋_GB2312" w:cs="Times New Roman" w:hAnsiTheme="minorEastAsia"/>
          <w:color w:val="auto"/>
          <w:sz w:val="20"/>
          <w:highlight w:val="none"/>
          <w:lang w:eastAsia="zh-CN"/>
        </w:rPr>
        <w:t>）产品存续期间，若关于产品估值的监管规定发生变化，则本产品估值方法也随之调整，产品管理人将在调整前发布相关信息披露报告。</w:t>
      </w:r>
    </w:p>
    <w:p w14:paraId="6AE7F656">
      <w:pPr>
        <w:pStyle w:val="3"/>
        <w:spacing w:before="76"/>
        <w:ind w:left="0" w:right="151" w:firstLine="402"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b/>
          <w:color w:val="auto"/>
          <w:sz w:val="20"/>
          <w:szCs w:val="20"/>
          <w:highlight w:val="none"/>
          <w:lang w:eastAsia="zh-CN"/>
        </w:rPr>
        <w:t>（三）估值错误的处理</w:t>
      </w:r>
    </w:p>
    <w:p w14:paraId="286B0F5A">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ascii="仿宋_GB2312" w:eastAsia="仿宋_GB2312" w:cs="Times New Roman" w:hAnsiTheme="minorEastAsia"/>
          <w:color w:val="auto"/>
          <w:sz w:val="20"/>
          <w:highlight w:val="none"/>
          <w:lang w:eastAsia="zh-CN"/>
        </w:rPr>
        <w:t>产品管理人和产品托管人将采取必要、适当</w:t>
      </w:r>
      <w:r>
        <w:rPr>
          <w:rFonts w:hint="eastAsia" w:ascii="仿宋_GB2312" w:eastAsia="仿宋_GB2312" w:cs="Times New Roman" w:hAnsiTheme="minorEastAsia"/>
          <w:color w:val="auto"/>
          <w:sz w:val="20"/>
          <w:highlight w:val="none"/>
          <w:lang w:eastAsia="zh-CN"/>
        </w:rPr>
        <w:t>、</w:t>
      </w:r>
      <w:r>
        <w:rPr>
          <w:rFonts w:ascii="仿宋_GB2312" w:eastAsia="仿宋_GB2312" w:cs="Times New Roman" w:hAnsiTheme="minorEastAsia"/>
          <w:color w:val="auto"/>
          <w:sz w:val="20"/>
          <w:highlight w:val="none"/>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hAnsi="仿宋_GB2312" w:eastAsia="仿宋_GB2312" w:cs="仿宋_GB2312"/>
          <w:color w:val="auto"/>
          <w:sz w:val="20"/>
          <w:szCs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0A1BBBD3">
      <w:pPr>
        <w:pStyle w:val="3"/>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（四）暂停估值</w:t>
      </w:r>
    </w:p>
    <w:p w14:paraId="20505A8F">
      <w:pPr>
        <w:pStyle w:val="3"/>
        <w:spacing w:before="0"/>
        <w:ind w:left="0" w:right="153" w:firstLine="400" w:firstLineChars="200"/>
        <w:jc w:val="both"/>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highlight w:val="none"/>
          <w:lang w:val="en-US" w:eastAsia="zh-CN"/>
        </w:rPr>
        <w:t>1.</w:t>
      </w:r>
      <w:r>
        <w:rPr>
          <w:rFonts w:ascii="仿宋_GB2312" w:eastAsia="仿宋_GB2312" w:cs="Times New Roman" w:hAnsiTheme="minorEastAsia"/>
          <w:color w:val="auto"/>
          <w:sz w:val="20"/>
          <w:highlight w:val="none"/>
          <w:lang w:eastAsia="zh-CN"/>
        </w:rPr>
        <w:t>当产品的估值</w:t>
      </w:r>
      <w:r>
        <w:rPr>
          <w:rFonts w:hint="eastAsia" w:ascii="仿宋_GB2312" w:eastAsia="仿宋_GB2312" w:cs="Times New Roman" w:hAnsiTheme="minorEastAsia"/>
          <w:color w:val="auto"/>
          <w:sz w:val="20"/>
          <w:highlight w:val="none"/>
          <w:lang w:eastAsia="zh-CN"/>
        </w:rPr>
        <w:t>由于估值所用的价格来源中出现错误、</w:t>
      </w:r>
      <w:r>
        <w:rPr>
          <w:rFonts w:ascii="仿宋_GB2312" w:eastAsia="仿宋_GB2312" w:cs="Times New Roman" w:hAnsiTheme="minorEastAsia"/>
          <w:color w:val="auto"/>
          <w:sz w:val="20"/>
          <w:highlight w:val="none"/>
          <w:lang w:eastAsia="zh-CN"/>
        </w:rPr>
        <w:t>不可抗力或其他情形致使产品管理人、托管人无法准确评估产品资产价值时或其他情形，产品管理人可暂停产品的估值</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color w:val="auto"/>
          <w:sz w:val="20"/>
          <w:highlight w:val="none"/>
          <w:lang w:val="en-US" w:eastAsia="zh-CN"/>
        </w:rPr>
        <w:t>暂停估值/恢复估值</w:t>
      </w:r>
      <w:r>
        <w:rPr>
          <w:rFonts w:hint="eastAsia" w:ascii="仿宋_GB2312" w:hAnsi="仿宋_GB2312" w:eastAsia="仿宋_GB2312" w:cs="仿宋_GB2312"/>
          <w:sz w:val="20"/>
          <w:szCs w:val="20"/>
          <w:highlight w:val="none"/>
          <w:lang w:val="en-US" w:eastAsia="zh-CN"/>
        </w:rPr>
        <w:t>时，</w:t>
      </w:r>
      <w:r>
        <w:rPr>
          <w:rFonts w:hint="eastAsia" w:ascii="仿宋_GB2312" w:eastAsia="仿宋_GB2312" w:cs="Times New Roman" w:hAnsiTheme="minorEastAsia"/>
          <w:color w:val="auto"/>
          <w:sz w:val="20"/>
          <w:szCs w:val="18"/>
          <w:highlight w:val="none"/>
          <w:lang w:val="en-US" w:eastAsia="zh-CN"/>
        </w:rPr>
        <w:t>贵阳农商银行</w:t>
      </w:r>
      <w:r>
        <w:rPr>
          <w:rFonts w:hint="eastAsia" w:ascii="仿宋_GB2312" w:hAnsi="仿宋_GB2312" w:eastAsia="仿宋_GB2312" w:cs="仿宋_GB2312"/>
          <w:sz w:val="20"/>
          <w:szCs w:val="20"/>
          <w:highlight w:val="none"/>
          <w:lang w:val="en-US" w:eastAsia="zh-CN"/>
        </w:rPr>
        <w:t>将于</w:t>
      </w:r>
      <w:r>
        <w:rPr>
          <w:rFonts w:hint="eastAsia" w:ascii="仿宋_GB2312" w:eastAsia="仿宋_GB2312" w:cs="Times New Roman" w:hAnsiTheme="minorEastAsia"/>
          <w:color w:val="auto"/>
          <w:sz w:val="20"/>
          <w:szCs w:val="18"/>
          <w:highlight w:val="none"/>
          <w:lang w:val="en-US" w:eastAsia="zh-CN"/>
        </w:rPr>
        <w:t>官方网站</w:t>
      </w:r>
      <w:r>
        <w:rPr>
          <w:rFonts w:hint="eastAsia" w:ascii="仿宋_GB2312" w:eastAsia="仿宋_GB2312" w:cs="Times New Roman" w:hAnsiTheme="minorEastAsia"/>
          <w:color w:val="auto"/>
          <w:sz w:val="20"/>
          <w:highlight w:val="none"/>
          <w:lang w:val="en-US" w:eastAsia="zh-CN"/>
        </w:rPr>
        <w:t>等渠道</w:t>
      </w:r>
      <w:r>
        <w:rPr>
          <w:rFonts w:hint="eastAsia" w:ascii="仿宋_GB2312" w:eastAsia="仿宋_GB2312" w:cs="Times New Roman" w:hAnsiTheme="minorEastAsia"/>
          <w:color w:val="auto"/>
          <w:sz w:val="20"/>
          <w:szCs w:val="18"/>
          <w:highlight w:val="none"/>
          <w:lang w:val="en-US" w:eastAsia="zh-CN"/>
        </w:rPr>
        <w:t>通知投资者。</w:t>
      </w:r>
    </w:p>
    <w:p w14:paraId="362F3B81">
      <w:pPr>
        <w:pStyle w:val="3"/>
        <w:spacing w:before="0"/>
        <w:ind w:left="0" w:right="153" w:firstLine="400" w:firstLineChars="200"/>
        <w:jc w:val="both"/>
        <w:rPr>
          <w:rFonts w:hint="eastAsia" w:ascii="仿宋_GB2312" w:eastAsia="仿宋_GB2312" w:cs="Times New Roman" w:hAnsiTheme="minorEastAsia"/>
          <w:color w:val="auto"/>
          <w:sz w:val="20"/>
          <w:szCs w:val="18"/>
          <w:highlight w:val="none"/>
          <w:lang w:val="en-US" w:eastAsia="zh-CN"/>
        </w:rPr>
      </w:pPr>
      <w:r>
        <w:rPr>
          <w:rFonts w:hint="eastAsia" w:ascii="仿宋_GB2312" w:eastAsia="仿宋_GB2312" w:cs="Times New Roman" w:hAnsiTheme="minorEastAsia"/>
          <w:color w:val="auto"/>
          <w:sz w:val="20"/>
          <w:szCs w:val="18"/>
          <w:highlight w:val="none"/>
          <w:lang w:val="en-US" w:eastAsia="zh-CN"/>
        </w:rPr>
        <w:t>2.当前一估值日产品资产净值50%以上的资产不具备活跃交易市场或者在活跃市场中无报价，且不能采用估值技术可靠计量公允价值时，产品管理人应当暂停该产品估值，并按照监管规定采取相应措施。</w:t>
      </w:r>
    </w:p>
    <w:p w14:paraId="4BB8AED1">
      <w:pPr>
        <w:pStyle w:val="16"/>
        <w:ind w:left="0" w:right="151" w:firstLine="480" w:firstLineChars="200"/>
        <w:jc w:val="both"/>
        <w:rPr>
          <w:rFonts w:ascii="Times New Roman" w:hAnsi="Times New Roman" w:eastAsia="黑体" w:cs="Times New Roman"/>
          <w:color w:val="auto"/>
          <w:highlight w:val="none"/>
          <w:lang w:eastAsia="zh-CN"/>
        </w:rPr>
      </w:pPr>
      <w:r>
        <w:rPr>
          <w:rFonts w:hint="eastAsia" w:ascii="Times New Roman" w:hAnsi="黑体" w:eastAsia="黑体" w:cs="Times New Roman"/>
          <w:color w:val="auto"/>
          <w:highlight w:val="none"/>
          <w:lang w:val="en-US" w:eastAsia="zh-CN"/>
        </w:rPr>
        <w:t>七</w:t>
      </w:r>
      <w:r>
        <w:rPr>
          <w:rFonts w:ascii="Times New Roman" w:hAnsi="黑体" w:eastAsia="黑体" w:cs="Times New Roman"/>
          <w:color w:val="auto"/>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color w:val="auto"/>
          <w:highlight w:val="none"/>
          <w:lang w:eastAsia="zh-CN"/>
        </w:rPr>
        <w:t>说明</w:t>
      </w:r>
    </w:p>
    <w:p w14:paraId="0CD499C1">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一</w:t>
      </w:r>
      <w:r>
        <w:rPr>
          <w:rFonts w:ascii="仿宋_GB2312" w:eastAsia="仿宋_GB2312" w:cs="Times New Roman" w:hAnsiTheme="minorEastAsia"/>
          <w:b/>
          <w:color w:val="auto"/>
          <w:sz w:val="20"/>
          <w:szCs w:val="20"/>
          <w:highlight w:val="none"/>
          <w:lang w:eastAsia="zh-CN"/>
        </w:rPr>
        <w:t>）费用</w:t>
      </w:r>
    </w:p>
    <w:p w14:paraId="3BDAB08A">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sz w:val="20"/>
          <w:highlight w:val="none"/>
          <w:lang w:val="en-US" w:eastAsia="zh-CN"/>
        </w:rPr>
        <w:t>1.</w:t>
      </w:r>
      <w:r>
        <w:rPr>
          <w:rFonts w:ascii="仿宋_GB2312" w:eastAsia="仿宋_GB2312" w:cs="Times New Roman" w:hAnsiTheme="minorEastAsia"/>
          <w:b/>
          <w:bCs/>
          <w:color w:val="auto"/>
          <w:sz w:val="20"/>
          <w:highlight w:val="none"/>
          <w:lang w:eastAsia="zh-CN"/>
        </w:rPr>
        <w:t>本产品</w:t>
      </w:r>
      <w:r>
        <w:rPr>
          <w:rFonts w:hint="eastAsia" w:ascii="仿宋_GB2312" w:eastAsia="仿宋_GB2312" w:cs="Times New Roman" w:hAnsiTheme="minorEastAsia"/>
          <w:b/>
          <w:bCs/>
          <w:sz w:val="20"/>
          <w:highlight w:val="none"/>
          <w:lang w:val="en-US" w:eastAsia="zh-CN"/>
        </w:rPr>
        <w:t>产生以下</w:t>
      </w:r>
      <w:r>
        <w:rPr>
          <w:rFonts w:hint="eastAsia" w:ascii="仿宋_GB2312" w:hAnsi="仿宋_GB2312" w:eastAsia="仿宋_GB2312" w:cs="仿宋_GB2312"/>
          <w:b/>
          <w:bCs/>
          <w:sz w:val="20"/>
          <w:highlight w:val="none"/>
          <w:lang w:eastAsia="zh-CN"/>
        </w:rPr>
        <w:t>费用</w:t>
      </w:r>
      <w:r>
        <w:rPr>
          <w:rFonts w:hint="eastAsia" w:ascii="仿宋_GB2312" w:eastAsia="仿宋_GB2312" w:cs="Times New Roman" w:hAnsiTheme="minorEastAsia"/>
          <w:b/>
          <w:bCs/>
          <w:sz w:val="20"/>
          <w:highlight w:val="none"/>
          <w:lang w:val="en-US" w:eastAsia="zh-CN"/>
        </w:rPr>
        <w:t>：</w:t>
      </w:r>
    </w:p>
    <w:p w14:paraId="198235E9">
      <w:pPr>
        <w:pStyle w:val="3"/>
        <w:spacing w:before="0"/>
        <w:ind w:left="0" w:right="153" w:firstLine="402" w:firstLineChars="200"/>
        <w:jc w:val="both"/>
        <w:rPr>
          <w:rFonts w:ascii="仿宋_GB2312" w:eastAsia="仿宋_GB2312" w:cs="Times New Roman" w:hAnsiTheme="minorEastAsia"/>
          <w:color w:val="auto"/>
          <w:sz w:val="20"/>
          <w:highlight w:val="none"/>
          <w:u w:val="none"/>
          <w:lang w:eastAsia="zh-CN"/>
        </w:rPr>
      </w:pP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w:t>
      </w:r>
      <w:r>
        <w:rPr>
          <w:rFonts w:ascii="仿宋_GB2312" w:eastAsia="仿宋_GB2312" w:cs="Times New Roman" w:hAnsiTheme="minorEastAsia"/>
          <w:b/>
          <w:bCs/>
          <w:color w:val="auto"/>
          <w:sz w:val="20"/>
          <w:highlight w:val="none"/>
          <w:lang w:eastAsia="zh-CN"/>
        </w:rPr>
        <w:t>固定销售费：</w:t>
      </w:r>
      <w:r>
        <w:rPr>
          <w:rFonts w:ascii="仿宋_GB2312" w:eastAsia="仿宋_GB2312" w:cs="Times New Roman" w:hAnsiTheme="minorEastAsia"/>
          <w:color w:val="auto"/>
          <w:sz w:val="20"/>
          <w:highlight w:val="none"/>
          <w:lang w:eastAsia="zh-CN"/>
        </w:rPr>
        <w:t>本产品销售费按</w:t>
      </w:r>
      <w:r>
        <w:rPr>
          <w:rFonts w:hint="eastAsia" w:ascii="仿宋_GB2312" w:eastAsia="仿宋_GB2312" w:cs="Times New Roman" w:hAnsiTheme="minorEastAsia"/>
          <w:color w:val="auto"/>
          <w:sz w:val="20"/>
          <w:highlight w:val="none"/>
          <w:lang w:val="en-US" w:eastAsia="zh-CN"/>
        </w:rPr>
        <w:t>当日理财</w:t>
      </w:r>
      <w:r>
        <w:rPr>
          <w:rFonts w:ascii="仿宋_GB2312" w:eastAsia="仿宋_GB2312" w:cs="Times New Roman" w:hAnsiTheme="minorEastAsia"/>
          <w:color w:val="auto"/>
          <w:sz w:val="20"/>
          <w:highlight w:val="none"/>
          <w:lang w:eastAsia="zh-CN"/>
        </w:rPr>
        <w:t>产品</w:t>
      </w:r>
      <w:r>
        <w:rPr>
          <w:rFonts w:hint="eastAsia" w:ascii="仿宋_GB2312" w:eastAsia="仿宋_GB2312" w:cs="Times New Roman" w:hAnsiTheme="minorEastAsia"/>
          <w:color w:val="auto"/>
          <w:sz w:val="20"/>
          <w:highlight w:val="none"/>
          <w:lang w:val="en-US" w:eastAsia="zh-CN"/>
        </w:rPr>
        <w:t>份额</w:t>
      </w:r>
      <w:r>
        <w:rPr>
          <w:rFonts w:ascii="仿宋_GB2312" w:eastAsia="仿宋_GB2312" w:cs="Times New Roman" w:hAnsiTheme="minorEastAsia"/>
          <w:color w:val="auto"/>
          <w:sz w:val="20"/>
          <w:highlight w:val="none"/>
          <w:lang w:eastAsia="zh-CN"/>
        </w:rPr>
        <w:t>的</w:t>
      </w:r>
      <w:r>
        <w:rPr>
          <w:rFonts w:hint="eastAsia" w:ascii="仿宋_GB2312" w:eastAsia="仿宋_GB2312" w:cs="Times New Roman" w:hAnsiTheme="minorEastAsia"/>
          <w:b/>
          <w:bCs/>
          <w:color w:val="auto"/>
          <w:sz w:val="20"/>
          <w:highlight w:val="none"/>
          <w:u w:val="none"/>
          <w:lang w:val="en-US" w:eastAsia="zh-CN"/>
        </w:rPr>
        <w:t>0.15</w:t>
      </w:r>
      <w:r>
        <w:rPr>
          <w:rFonts w:ascii="仿宋_GB2312" w:eastAsia="仿宋_GB2312" w:cs="Times New Roman" w:hAnsiTheme="minorEastAsia"/>
          <w:color w:val="auto"/>
          <w:sz w:val="20"/>
          <w:highlight w:val="none"/>
          <w:u w:val="none"/>
          <w:lang w:eastAsia="zh-CN"/>
        </w:rPr>
        <w:t>%年费率计提。S=E×</w:t>
      </w:r>
      <w:r>
        <w:rPr>
          <w:rFonts w:hint="eastAsia" w:ascii="仿宋_GB2312" w:eastAsia="仿宋_GB2312" w:cs="Times New Roman" w:hAnsiTheme="minorEastAsia"/>
          <w:b/>
          <w:bCs/>
          <w:color w:val="auto"/>
          <w:sz w:val="20"/>
          <w:highlight w:val="none"/>
          <w:u w:val="none"/>
          <w:lang w:val="en-US" w:eastAsia="zh-CN"/>
        </w:rPr>
        <w:t>0.15</w:t>
      </w:r>
      <w:r>
        <w:rPr>
          <w:rFonts w:ascii="仿宋_GB2312" w:eastAsia="仿宋_GB2312" w:cs="Times New Roman" w:hAnsiTheme="minorEastAsia"/>
          <w:color w:val="auto"/>
          <w:sz w:val="20"/>
          <w:highlight w:val="none"/>
          <w:u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color w:val="auto"/>
          <w:sz w:val="20"/>
          <w:highlight w:val="none"/>
          <w:u w:val="none"/>
          <w:lang w:eastAsia="zh-CN"/>
        </w:rPr>
        <w:t>应计提的销售费，E为</w:t>
      </w:r>
      <w:r>
        <w:rPr>
          <w:rFonts w:hint="eastAsia" w:ascii="仿宋_GB2312" w:eastAsia="仿宋_GB2312" w:cs="Times New Roman" w:hAnsiTheme="minorEastAsia"/>
          <w:color w:val="auto"/>
          <w:sz w:val="20"/>
          <w:highlight w:val="none"/>
          <w:lang w:val="en-US" w:eastAsia="zh-CN"/>
        </w:rPr>
        <w:t>当日理财</w:t>
      </w:r>
      <w:r>
        <w:rPr>
          <w:rFonts w:ascii="仿宋_GB2312" w:eastAsia="仿宋_GB2312" w:cs="Times New Roman" w:hAnsiTheme="minorEastAsia"/>
          <w:color w:val="auto"/>
          <w:sz w:val="20"/>
          <w:highlight w:val="none"/>
          <w:lang w:eastAsia="zh-CN"/>
        </w:rPr>
        <w:t>产品</w:t>
      </w:r>
      <w:r>
        <w:rPr>
          <w:rFonts w:hint="eastAsia" w:ascii="仿宋_GB2312" w:eastAsia="仿宋_GB2312" w:cs="Times New Roman" w:hAnsiTheme="minorEastAsia"/>
          <w:color w:val="auto"/>
          <w:sz w:val="20"/>
          <w:highlight w:val="none"/>
          <w:lang w:val="en-US" w:eastAsia="zh-CN"/>
        </w:rPr>
        <w:t>份额</w:t>
      </w:r>
      <w:r>
        <w:rPr>
          <w:rFonts w:ascii="仿宋_GB2312" w:eastAsia="仿宋_GB2312" w:cs="Times New Roman" w:hAnsiTheme="minorEastAsia"/>
          <w:color w:val="auto"/>
          <w:sz w:val="20"/>
          <w:highlight w:val="none"/>
          <w:u w:val="none"/>
          <w:lang w:eastAsia="zh-CN"/>
        </w:rPr>
        <w:t>（下同）</w:t>
      </w:r>
      <w:r>
        <w:rPr>
          <w:rFonts w:hint="eastAsia" w:ascii="仿宋_GB2312" w:eastAsia="仿宋_GB2312" w:cs="Times New Roman" w:hAnsiTheme="minorEastAsia"/>
          <w:color w:val="auto"/>
          <w:sz w:val="20"/>
          <w:highlight w:val="none"/>
          <w:u w:val="none"/>
          <w:lang w:eastAsia="zh-CN"/>
        </w:rPr>
        <w:t>，</w:t>
      </w:r>
      <w:r>
        <w:rPr>
          <w:rFonts w:hint="eastAsia" w:ascii="仿宋_GB2312" w:eastAsia="仿宋_GB2312" w:cs="Times New Roman" w:hAnsiTheme="minorEastAsia"/>
          <w:color w:val="auto"/>
          <w:sz w:val="20"/>
          <w:highlight w:val="none"/>
          <w:u w:val="none"/>
          <w:lang w:val="en-US" w:eastAsia="zh-CN"/>
        </w:rPr>
        <w:t>按自然日计提，按季收取</w:t>
      </w:r>
      <w:r>
        <w:rPr>
          <w:rFonts w:hint="eastAsia" w:ascii="仿宋_GB2312" w:hAnsi="仿宋_GB2312" w:eastAsia="仿宋_GB2312" w:cs="仿宋_GB2312"/>
          <w:sz w:val="20"/>
          <w:highlight w:val="none"/>
          <w:lang w:eastAsia="zh-CN"/>
        </w:rPr>
        <w:t>。</w:t>
      </w:r>
    </w:p>
    <w:p w14:paraId="2A058392">
      <w:pPr>
        <w:pStyle w:val="3"/>
        <w:spacing w:before="0"/>
        <w:ind w:left="0" w:right="153" w:firstLine="402" w:firstLineChars="200"/>
        <w:jc w:val="both"/>
        <w:rPr>
          <w:rFonts w:ascii="仿宋_GB2312" w:eastAsia="仿宋_GB2312" w:cs="Times New Roman" w:hAnsiTheme="minorEastAsia"/>
          <w:color w:val="auto"/>
          <w:sz w:val="20"/>
          <w:highlight w:val="none"/>
          <w:u w:val="none"/>
          <w:lang w:eastAsia="zh-CN"/>
        </w:rPr>
      </w:pP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w:t>
      </w:r>
      <w:r>
        <w:rPr>
          <w:rFonts w:ascii="仿宋_GB2312" w:eastAsia="仿宋_GB2312" w:cs="Times New Roman" w:hAnsiTheme="minorEastAsia"/>
          <w:b/>
          <w:bCs/>
          <w:color w:val="auto"/>
          <w:sz w:val="20"/>
          <w:highlight w:val="none"/>
          <w:u w:val="none"/>
          <w:lang w:eastAsia="zh-CN"/>
        </w:rPr>
        <w:t>固定管理费</w:t>
      </w:r>
      <w:r>
        <w:rPr>
          <w:rFonts w:ascii="仿宋_GB2312" w:eastAsia="仿宋_GB2312" w:cs="Times New Roman" w:hAnsiTheme="minorEastAsia"/>
          <w:color w:val="auto"/>
          <w:sz w:val="20"/>
          <w:highlight w:val="none"/>
          <w:u w:val="none"/>
          <w:lang w:eastAsia="zh-CN"/>
        </w:rPr>
        <w:t>：本产品管理费按</w:t>
      </w:r>
      <w:r>
        <w:rPr>
          <w:rFonts w:hint="eastAsia" w:ascii="仿宋_GB2312" w:eastAsia="仿宋_GB2312" w:cs="Times New Roman" w:hAnsiTheme="minorEastAsia"/>
          <w:color w:val="auto"/>
          <w:sz w:val="20"/>
          <w:highlight w:val="none"/>
          <w:lang w:val="en-US" w:eastAsia="zh-CN"/>
        </w:rPr>
        <w:t>当日理财</w:t>
      </w:r>
      <w:r>
        <w:rPr>
          <w:rFonts w:ascii="仿宋_GB2312" w:eastAsia="仿宋_GB2312" w:cs="Times New Roman" w:hAnsiTheme="minorEastAsia"/>
          <w:color w:val="auto"/>
          <w:sz w:val="20"/>
          <w:highlight w:val="none"/>
          <w:lang w:eastAsia="zh-CN"/>
        </w:rPr>
        <w:t>产品</w:t>
      </w:r>
      <w:r>
        <w:rPr>
          <w:rFonts w:hint="eastAsia" w:ascii="仿宋_GB2312" w:eastAsia="仿宋_GB2312" w:cs="Times New Roman" w:hAnsiTheme="minorEastAsia"/>
          <w:color w:val="auto"/>
          <w:sz w:val="20"/>
          <w:highlight w:val="none"/>
          <w:lang w:val="en-US" w:eastAsia="zh-CN"/>
        </w:rPr>
        <w:t>份额</w:t>
      </w:r>
      <w:r>
        <w:rPr>
          <w:rFonts w:ascii="仿宋_GB2312" w:eastAsia="仿宋_GB2312" w:cs="Times New Roman" w:hAnsiTheme="minorEastAsia"/>
          <w:color w:val="auto"/>
          <w:sz w:val="20"/>
          <w:highlight w:val="none"/>
          <w:u w:val="none"/>
          <w:lang w:eastAsia="zh-CN"/>
        </w:rPr>
        <w:t>的</w:t>
      </w:r>
      <w:r>
        <w:rPr>
          <w:rFonts w:hint="eastAsia" w:ascii="仿宋_GB2312" w:eastAsia="仿宋_GB2312" w:cs="Times New Roman" w:hAnsiTheme="minorEastAsia"/>
          <w:b/>
          <w:bCs/>
          <w:color w:val="auto"/>
          <w:sz w:val="20"/>
          <w:highlight w:val="none"/>
          <w:u w:val="none"/>
          <w:lang w:val="en-US" w:eastAsia="zh-CN"/>
        </w:rPr>
        <w:t>0.15</w:t>
      </w:r>
      <w:r>
        <w:rPr>
          <w:rFonts w:ascii="仿宋_GB2312" w:eastAsia="仿宋_GB2312" w:cs="Times New Roman" w:hAnsiTheme="minorEastAsia"/>
          <w:color w:val="auto"/>
          <w:sz w:val="20"/>
          <w:highlight w:val="none"/>
          <w:u w:val="none"/>
          <w:lang w:eastAsia="zh-CN"/>
        </w:rPr>
        <w:t>%年费率计提。M=E×</w:t>
      </w:r>
      <w:r>
        <w:rPr>
          <w:rFonts w:hint="eastAsia" w:ascii="仿宋_GB2312" w:eastAsia="仿宋_GB2312" w:cs="Times New Roman" w:hAnsiTheme="minorEastAsia"/>
          <w:b/>
          <w:bCs/>
          <w:color w:val="auto"/>
          <w:sz w:val="20"/>
          <w:highlight w:val="none"/>
          <w:u w:val="none"/>
          <w:lang w:val="en-US" w:eastAsia="zh-CN"/>
        </w:rPr>
        <w:t>0.15</w:t>
      </w:r>
      <w:r>
        <w:rPr>
          <w:rFonts w:ascii="仿宋_GB2312" w:eastAsia="仿宋_GB2312" w:cs="Times New Roman" w:hAnsiTheme="minorEastAsia"/>
          <w:color w:val="auto"/>
          <w:sz w:val="20"/>
          <w:highlight w:val="none"/>
          <w:u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color w:val="auto"/>
          <w:sz w:val="20"/>
          <w:highlight w:val="none"/>
          <w:u w:val="none"/>
          <w:lang w:eastAsia="zh-CN"/>
        </w:rPr>
        <w:t>应计提的管理费</w:t>
      </w:r>
      <w:r>
        <w:rPr>
          <w:rFonts w:hint="eastAsia" w:ascii="仿宋_GB2312" w:eastAsia="仿宋_GB2312" w:cs="Times New Roman" w:hAnsiTheme="minorEastAsia"/>
          <w:color w:val="auto"/>
          <w:sz w:val="20"/>
          <w:highlight w:val="none"/>
          <w:u w:val="none"/>
          <w:lang w:eastAsia="zh-CN"/>
        </w:rPr>
        <w:t>，</w:t>
      </w:r>
      <w:r>
        <w:rPr>
          <w:rFonts w:hint="eastAsia" w:ascii="仿宋_GB2312" w:eastAsia="仿宋_GB2312" w:cs="Times New Roman" w:hAnsiTheme="minorEastAsia"/>
          <w:color w:val="auto"/>
          <w:sz w:val="20"/>
          <w:highlight w:val="none"/>
          <w:u w:val="none"/>
          <w:lang w:val="en-US" w:eastAsia="zh-CN"/>
        </w:rPr>
        <w:t>按自然日计提，按季收取</w:t>
      </w:r>
      <w:r>
        <w:rPr>
          <w:rFonts w:hint="eastAsia" w:ascii="仿宋_GB2312" w:hAnsi="仿宋_GB2312" w:eastAsia="仿宋_GB2312" w:cs="仿宋_GB2312"/>
          <w:sz w:val="20"/>
          <w:highlight w:val="none"/>
          <w:lang w:eastAsia="zh-CN"/>
        </w:rPr>
        <w:t>。</w:t>
      </w:r>
    </w:p>
    <w:p w14:paraId="0D80D6F0">
      <w:pPr>
        <w:pStyle w:val="3"/>
        <w:spacing w:before="0"/>
        <w:ind w:left="0" w:right="153"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3</w:t>
      </w:r>
      <w:r>
        <w:rPr>
          <w:rFonts w:hint="eastAsia" w:ascii="仿宋_GB2312" w:eastAsia="仿宋_GB2312" w:cs="Times New Roman" w:hAnsiTheme="minorEastAsia"/>
          <w:b/>
          <w:bCs/>
          <w:color w:val="auto"/>
          <w:sz w:val="20"/>
          <w:highlight w:val="none"/>
          <w:lang w:eastAsia="zh-CN"/>
        </w:rPr>
        <w:t>）</w:t>
      </w:r>
      <w:r>
        <w:rPr>
          <w:rFonts w:ascii="仿宋_GB2312" w:eastAsia="仿宋_GB2312" w:cs="Times New Roman" w:hAnsiTheme="minorEastAsia"/>
          <w:b/>
          <w:bCs/>
          <w:color w:val="auto"/>
          <w:sz w:val="20"/>
          <w:highlight w:val="none"/>
          <w:u w:val="none"/>
          <w:lang w:eastAsia="zh-CN"/>
        </w:rPr>
        <w:t>固定托管费：</w:t>
      </w:r>
      <w:r>
        <w:rPr>
          <w:rFonts w:hint="eastAsia" w:ascii="仿宋_GB2312" w:eastAsia="仿宋_GB2312" w:cs="Times New Roman" w:hAnsiTheme="minorEastAsia"/>
          <w:color w:val="auto"/>
          <w:sz w:val="20"/>
          <w:highlight w:val="none"/>
          <w:u w:val="none"/>
          <w:lang w:eastAsia="zh-CN"/>
        </w:rPr>
        <w:t>本产品托管费按</w:t>
      </w:r>
      <w:r>
        <w:rPr>
          <w:rFonts w:hint="eastAsia" w:ascii="仿宋_GB2312" w:eastAsia="仿宋_GB2312" w:cs="Times New Roman" w:hAnsiTheme="minorEastAsia"/>
          <w:color w:val="auto"/>
          <w:sz w:val="20"/>
          <w:highlight w:val="none"/>
          <w:lang w:val="en-US" w:eastAsia="zh-CN"/>
        </w:rPr>
        <w:t>当日理财</w:t>
      </w:r>
      <w:r>
        <w:rPr>
          <w:rFonts w:ascii="仿宋_GB2312" w:eastAsia="仿宋_GB2312" w:cs="Times New Roman" w:hAnsiTheme="minorEastAsia"/>
          <w:color w:val="auto"/>
          <w:sz w:val="20"/>
          <w:highlight w:val="none"/>
          <w:lang w:eastAsia="zh-CN"/>
        </w:rPr>
        <w:t>产品</w:t>
      </w:r>
      <w:r>
        <w:rPr>
          <w:rFonts w:hint="eastAsia" w:ascii="仿宋_GB2312" w:eastAsia="仿宋_GB2312" w:cs="Times New Roman" w:hAnsiTheme="minorEastAsia"/>
          <w:color w:val="auto"/>
          <w:sz w:val="20"/>
          <w:highlight w:val="none"/>
          <w:lang w:val="en-US" w:eastAsia="zh-CN"/>
        </w:rPr>
        <w:t>份额</w:t>
      </w:r>
      <w:r>
        <w:rPr>
          <w:rFonts w:hint="eastAsia" w:ascii="仿宋_GB2312" w:eastAsia="仿宋_GB2312" w:cs="Times New Roman" w:hAnsiTheme="minorEastAsia"/>
          <w:color w:val="auto"/>
          <w:sz w:val="20"/>
          <w:highlight w:val="none"/>
          <w:u w:val="none"/>
          <w:lang w:eastAsia="zh-CN"/>
        </w:rPr>
        <w:t>的</w:t>
      </w:r>
      <w:r>
        <w:rPr>
          <w:rFonts w:hint="eastAsia" w:ascii="仿宋_GB2312" w:eastAsia="仿宋_GB2312" w:cs="Times New Roman" w:hAnsiTheme="minorEastAsia"/>
          <w:b/>
          <w:bCs/>
          <w:color w:val="auto"/>
          <w:sz w:val="20"/>
          <w:highlight w:val="none"/>
          <w:u w:val="none"/>
          <w:lang w:val="en-US" w:eastAsia="zh-CN"/>
        </w:rPr>
        <w:t>0.01</w:t>
      </w:r>
      <w:r>
        <w:rPr>
          <w:rFonts w:hint="eastAsia" w:ascii="仿宋_GB2312" w:eastAsia="仿宋_GB2312" w:cs="Times New Roman" w:hAnsiTheme="minorEastAsia"/>
          <w:color w:val="auto"/>
          <w:sz w:val="20"/>
          <w:highlight w:val="none"/>
          <w:u w:val="none"/>
          <w:lang w:eastAsia="zh-CN"/>
        </w:rPr>
        <w:t>%年费率计提。G=E</w:t>
      </w:r>
      <w:r>
        <w:rPr>
          <w:rFonts w:ascii="仿宋_GB2312" w:eastAsia="仿宋_GB2312" w:cs="Times New Roman" w:hAnsiTheme="minorEastAsia"/>
          <w:color w:val="auto"/>
          <w:sz w:val="20"/>
          <w:highlight w:val="none"/>
          <w:u w:val="none"/>
          <w:lang w:eastAsia="zh-CN"/>
        </w:rPr>
        <w:t>×</w:t>
      </w:r>
      <w:r>
        <w:rPr>
          <w:rFonts w:hint="eastAsia" w:ascii="仿宋_GB2312" w:eastAsia="仿宋_GB2312" w:cs="Times New Roman" w:hAnsiTheme="minorEastAsia"/>
          <w:b/>
          <w:bCs/>
          <w:color w:val="auto"/>
          <w:sz w:val="20"/>
          <w:highlight w:val="none"/>
          <w:u w:val="none"/>
          <w:lang w:val="en-US" w:eastAsia="zh-CN"/>
        </w:rPr>
        <w:t>0.01</w:t>
      </w:r>
      <w:r>
        <w:rPr>
          <w:rFonts w:hint="eastAsia" w:ascii="仿宋_GB2312" w:eastAsia="仿宋_GB2312" w:cs="Times New Roman" w:hAnsiTheme="minorEastAsia"/>
          <w:color w:val="auto"/>
          <w:sz w:val="20"/>
          <w:highlight w:val="none"/>
          <w:u w:val="none"/>
          <w:lang w:eastAsia="zh-CN"/>
        </w:rPr>
        <w:t>%÷</w:t>
      </w:r>
      <w:r>
        <w:rPr>
          <w:rFonts w:hint="eastAsia" w:ascii="仿宋_GB2312" w:eastAsia="仿宋_GB2312" w:cs="Times New Roman" w:hAnsiTheme="minorEastAsia"/>
          <w:color w:val="auto"/>
          <w:sz w:val="20"/>
          <w:highlight w:val="none"/>
          <w:lang w:eastAsia="zh-CN"/>
        </w:rPr>
        <w:t>当年天数，G为</w:t>
      </w:r>
      <w:r>
        <w:rPr>
          <w:rFonts w:hint="eastAsia" w:ascii="仿宋_GB2312" w:eastAsia="仿宋_GB2312" w:cs="Times New Roman" w:hAnsiTheme="minorEastAsia"/>
          <w:sz w:val="20"/>
          <w:highlight w:val="none"/>
          <w:lang w:eastAsia="zh-CN"/>
        </w:rPr>
        <w:t>每个自然日</w:t>
      </w:r>
      <w:r>
        <w:rPr>
          <w:rFonts w:hint="eastAsia" w:ascii="仿宋_GB2312" w:eastAsia="仿宋_GB2312" w:cs="Times New Roman" w:hAnsiTheme="minorEastAsia"/>
          <w:color w:val="auto"/>
          <w:sz w:val="20"/>
          <w:highlight w:val="none"/>
          <w:lang w:eastAsia="zh-CN"/>
        </w:rPr>
        <w:t>应计提的托管费</w:t>
      </w:r>
      <w:r>
        <w:rPr>
          <w:rFonts w:hint="eastAsia" w:ascii="仿宋_GB2312" w:eastAsia="仿宋_GB2312" w:cs="Times New Roman" w:hAnsiTheme="minorEastAsia"/>
          <w:color w:val="auto"/>
          <w:sz w:val="20"/>
          <w:highlight w:val="none"/>
          <w:u w:val="none"/>
          <w:lang w:eastAsia="zh-CN"/>
        </w:rPr>
        <w:t>，</w:t>
      </w:r>
      <w:r>
        <w:rPr>
          <w:rFonts w:hint="eastAsia" w:ascii="仿宋_GB2312" w:eastAsia="仿宋_GB2312" w:cs="Times New Roman" w:hAnsiTheme="minorEastAsia"/>
          <w:color w:val="auto"/>
          <w:sz w:val="20"/>
          <w:highlight w:val="none"/>
          <w:u w:val="none"/>
          <w:lang w:val="en-US" w:eastAsia="zh-CN"/>
        </w:rPr>
        <w:t>按自然日计提，按季收取</w:t>
      </w:r>
      <w:r>
        <w:rPr>
          <w:rFonts w:hint="eastAsia" w:ascii="仿宋_GB2312" w:hAnsi="仿宋_GB2312" w:eastAsia="仿宋_GB2312" w:cs="仿宋_GB2312"/>
          <w:color w:val="auto"/>
          <w:sz w:val="20"/>
          <w:highlight w:val="none"/>
          <w:lang w:eastAsia="zh-CN"/>
        </w:rPr>
        <w:t>。</w:t>
      </w:r>
    </w:p>
    <w:p w14:paraId="45B07433">
      <w:pPr>
        <w:pStyle w:val="3"/>
        <w:spacing w:before="0"/>
        <w:ind w:left="0" w:right="153" w:firstLine="402" w:firstLineChars="200"/>
        <w:jc w:val="both"/>
        <w:rPr>
          <w:rFonts w:hint="eastAsia" w:ascii="仿宋_GB2312" w:hAnsi="仿宋_GB2312" w:eastAsia="仿宋_GB2312" w:cs="仿宋_GB2312"/>
          <w:sz w:val="20"/>
          <w:highlight w:val="none"/>
          <w:lang w:eastAsia="zh-CN"/>
        </w:rPr>
      </w:pP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4</w:t>
      </w:r>
      <w:r>
        <w:rPr>
          <w:rFonts w:hint="eastAsia" w:ascii="仿宋_GB2312" w:eastAsia="仿宋_GB2312" w:cs="Times New Roman" w:hAnsiTheme="minorEastAsia"/>
          <w:b/>
          <w:bCs/>
          <w:color w:val="auto"/>
          <w:sz w:val="20"/>
          <w:highlight w:val="none"/>
          <w:lang w:eastAsia="zh-CN"/>
        </w:rPr>
        <w:t>）超额业绩报酬：</w:t>
      </w:r>
      <w:r>
        <w:rPr>
          <w:rFonts w:hint="eastAsia" w:ascii="仿宋_GB2312" w:eastAsia="仿宋_GB2312" w:cs="Times New Roman" w:hAnsiTheme="minorEastAsia"/>
          <w:color w:val="auto"/>
          <w:sz w:val="20"/>
          <w:highlight w:val="none"/>
          <w:lang w:val="en-US" w:eastAsia="zh-CN"/>
        </w:rPr>
        <w:t>当产品当日每万份收益对应的年化收益率＞</w:t>
      </w:r>
      <w:r>
        <w:rPr>
          <w:rFonts w:hint="eastAsia" w:ascii="仿宋_GB2312" w:eastAsia="仿宋_GB2312" w:cs="Times New Roman" w:hAnsiTheme="minorEastAsia"/>
          <w:b/>
          <w:bCs/>
          <w:color w:val="auto"/>
          <w:sz w:val="20"/>
          <w:highlight w:val="none"/>
          <w:u w:val="none"/>
          <w:lang w:val="en-US" w:eastAsia="zh-CN"/>
        </w:rPr>
        <w:t>1.7</w:t>
      </w:r>
      <w:r>
        <w:rPr>
          <w:rFonts w:hint="eastAsia" w:ascii="仿宋_GB2312" w:eastAsia="仿宋_GB2312" w:cs="Times New Roman" w:hAnsiTheme="minorEastAsia"/>
          <w:color w:val="auto"/>
          <w:sz w:val="20"/>
          <w:highlight w:val="none"/>
          <w:lang w:val="en-US" w:eastAsia="zh-CN"/>
        </w:rPr>
        <w:t>%时，</w:t>
      </w:r>
      <w:r>
        <w:rPr>
          <w:rFonts w:hint="eastAsia" w:ascii="仿宋_GB2312" w:hAnsi="仿宋_GB2312" w:eastAsia="仿宋_GB2312" w:cs="仿宋_GB2312"/>
          <w:sz w:val="20"/>
          <w:highlight w:val="none"/>
          <w:lang w:eastAsia="zh-CN"/>
        </w:rPr>
        <w:t>产品管理人有权收取超额业绩报酬。</w:t>
      </w:r>
    </w:p>
    <w:p w14:paraId="41804BD2">
      <w:pPr>
        <w:pStyle w:val="3"/>
        <w:spacing w:before="0"/>
        <w:ind w:left="0" w:right="153" w:firstLine="402"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b/>
          <w:bCs/>
          <w:color w:val="auto"/>
          <w:sz w:val="20"/>
          <w:highlight w:val="none"/>
          <w:lang w:eastAsia="zh-CN"/>
        </w:rPr>
        <w:t>超额业绩报酬计算方法</w:t>
      </w:r>
      <w:r>
        <w:rPr>
          <w:rFonts w:hint="eastAsia" w:ascii="仿宋_GB2312" w:eastAsia="仿宋_GB2312" w:cs="Times New Roman" w:hAnsiTheme="minorEastAsia"/>
          <w:color w:val="auto"/>
          <w:sz w:val="20"/>
          <w:highlight w:val="none"/>
          <w:lang w:eastAsia="zh-CN"/>
        </w:rPr>
        <w:t>：</w:t>
      </w:r>
      <w:r>
        <w:rPr>
          <w:rFonts w:hint="eastAsia" w:ascii="仿宋_GB2312" w:hAnsi="仿宋_GB2312" w:eastAsia="仿宋_GB2312" w:cs="仿宋_GB2312"/>
          <w:sz w:val="20"/>
          <w:highlight w:val="none"/>
          <w:lang w:eastAsia="zh-CN"/>
        </w:rPr>
        <w:t>产品管理人</w:t>
      </w:r>
      <w:r>
        <w:rPr>
          <w:rFonts w:hint="eastAsia" w:ascii="仿宋_GB2312" w:hAnsi="仿宋_GB2312" w:eastAsia="仿宋_GB2312" w:cs="仿宋_GB2312"/>
          <w:sz w:val="20"/>
          <w:highlight w:val="none"/>
          <w:lang w:val="en-US" w:eastAsia="zh-CN"/>
        </w:rPr>
        <w:t>当日</w:t>
      </w:r>
      <w:r>
        <w:rPr>
          <w:rFonts w:hint="eastAsia" w:ascii="仿宋_GB2312" w:hAnsi="仿宋_GB2312" w:eastAsia="仿宋_GB2312" w:cs="仿宋_GB2312"/>
          <w:sz w:val="20"/>
          <w:highlight w:val="none"/>
          <w:lang w:eastAsia="zh-CN"/>
        </w:rPr>
        <w:t>超额业绩报酬=（产品</w:t>
      </w:r>
      <w:r>
        <w:rPr>
          <w:rFonts w:hint="eastAsia" w:ascii="仿宋_GB2312" w:hAnsi="仿宋_GB2312" w:eastAsia="仿宋_GB2312" w:cs="仿宋_GB2312"/>
          <w:sz w:val="20"/>
          <w:highlight w:val="none"/>
          <w:lang w:val="en-US" w:eastAsia="zh-CN"/>
        </w:rPr>
        <w:t>当日</w:t>
      </w:r>
      <w:r>
        <w:rPr>
          <w:rFonts w:hint="eastAsia" w:ascii="仿宋_GB2312" w:hAnsi="仿宋_GB2312" w:eastAsia="仿宋_GB2312" w:cs="仿宋_GB2312"/>
          <w:sz w:val="20"/>
          <w:highlight w:val="none"/>
          <w:lang w:eastAsia="zh-CN"/>
        </w:rPr>
        <w:t>总投资收益-</w:t>
      </w:r>
      <w:r>
        <w:rPr>
          <w:rFonts w:hint="eastAsia" w:ascii="仿宋_GB2312" w:hAnsi="仿宋_GB2312" w:eastAsia="仿宋_GB2312" w:cs="仿宋_GB2312"/>
          <w:sz w:val="20"/>
          <w:highlight w:val="none"/>
          <w:lang w:val="en-US" w:eastAsia="zh-CN"/>
        </w:rPr>
        <w:t>当日</w:t>
      </w:r>
      <w:r>
        <w:rPr>
          <w:rFonts w:hint="eastAsia" w:ascii="仿宋_GB2312" w:hAnsi="仿宋_GB2312" w:eastAsia="仿宋_GB2312" w:cs="仿宋_GB2312"/>
          <w:sz w:val="20"/>
          <w:highlight w:val="none"/>
          <w:lang w:eastAsia="zh-CN"/>
        </w:rPr>
        <w:t>固定销售费-</w:t>
      </w:r>
      <w:r>
        <w:rPr>
          <w:rFonts w:hint="eastAsia" w:ascii="仿宋_GB2312" w:hAnsi="仿宋_GB2312" w:eastAsia="仿宋_GB2312" w:cs="仿宋_GB2312"/>
          <w:sz w:val="20"/>
          <w:highlight w:val="none"/>
          <w:lang w:val="en-US" w:eastAsia="zh-CN"/>
        </w:rPr>
        <w:t>当日</w:t>
      </w:r>
      <w:r>
        <w:rPr>
          <w:rFonts w:hint="eastAsia" w:ascii="仿宋_GB2312" w:hAnsi="仿宋_GB2312" w:eastAsia="仿宋_GB2312" w:cs="仿宋_GB2312"/>
          <w:sz w:val="20"/>
          <w:highlight w:val="none"/>
          <w:lang w:eastAsia="zh-CN"/>
        </w:rPr>
        <w:t>固定管理费-</w:t>
      </w:r>
      <w:r>
        <w:rPr>
          <w:rFonts w:hint="eastAsia" w:ascii="仿宋_GB2312" w:hAnsi="仿宋_GB2312" w:eastAsia="仿宋_GB2312" w:cs="仿宋_GB2312"/>
          <w:sz w:val="20"/>
          <w:highlight w:val="none"/>
          <w:lang w:val="en-US" w:eastAsia="zh-CN"/>
        </w:rPr>
        <w:t>当日</w:t>
      </w:r>
      <w:r>
        <w:rPr>
          <w:rFonts w:hint="eastAsia" w:ascii="仿宋_GB2312" w:hAnsi="仿宋_GB2312" w:eastAsia="仿宋_GB2312" w:cs="仿宋_GB2312"/>
          <w:sz w:val="20"/>
          <w:highlight w:val="none"/>
          <w:lang w:eastAsia="zh-CN"/>
        </w:rPr>
        <w:t>固定托管费-</w:t>
      </w:r>
      <w:r>
        <w:rPr>
          <w:rFonts w:hint="eastAsia" w:ascii="仿宋_GB2312" w:hAnsi="仿宋_GB2312" w:eastAsia="仿宋_GB2312" w:cs="仿宋_GB2312"/>
          <w:sz w:val="20"/>
          <w:highlight w:val="none"/>
          <w:lang w:val="en-US" w:eastAsia="zh-CN"/>
        </w:rPr>
        <w:t>当日</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hAnsi="仿宋_GB2312" w:eastAsia="仿宋_GB2312" w:cs="仿宋_GB2312"/>
          <w:sz w:val="20"/>
          <w:highlight w:val="none"/>
          <w:lang w:val="en-US" w:eastAsia="zh-CN"/>
        </w:rPr>
        <w:t>当日</w:t>
      </w:r>
      <w:r>
        <w:rPr>
          <w:rFonts w:hint="eastAsia" w:ascii="仿宋_GB2312" w:eastAsia="仿宋_GB2312" w:cs="Times New Roman" w:hAnsiTheme="minorEastAsia"/>
          <w:color w:val="auto"/>
          <w:sz w:val="20"/>
          <w:highlight w:val="none"/>
          <w:lang w:val="en-US" w:eastAsia="zh-CN"/>
        </w:rPr>
        <w:t>年化收益率</w:t>
      </w:r>
      <w:r>
        <w:rPr>
          <w:rFonts w:hint="eastAsia" w:ascii="仿宋_GB2312" w:eastAsia="仿宋_GB2312" w:cs="Times New Roman" w:hAnsiTheme="minorEastAsia"/>
          <w:b/>
          <w:bCs/>
          <w:color w:val="auto"/>
          <w:sz w:val="20"/>
          <w:highlight w:val="none"/>
          <w:u w:val="none"/>
          <w:lang w:val="en-US" w:eastAsia="zh-CN"/>
        </w:rPr>
        <w:t>1.7</w:t>
      </w:r>
      <w:r>
        <w:rPr>
          <w:rFonts w:hint="eastAsia" w:ascii="仿宋_GB2312" w:eastAsia="仿宋_GB2312" w:cs="Times New Roman" w:hAnsiTheme="minorEastAsia"/>
          <w:color w:val="auto"/>
          <w:sz w:val="20"/>
          <w:highlight w:val="none"/>
          <w:lang w:val="en-US" w:eastAsia="zh-CN"/>
        </w:rPr>
        <w:t>%时</w:t>
      </w:r>
      <w:r>
        <w:rPr>
          <w:rFonts w:hint="eastAsia" w:ascii="仿宋_GB2312" w:eastAsia="仿宋_GB2312" w:cs="Times New Roman" w:hAnsiTheme="minorEastAsia"/>
          <w:color w:val="auto"/>
          <w:sz w:val="20"/>
          <w:highlight w:val="none"/>
          <w:lang w:eastAsia="zh-CN"/>
        </w:rPr>
        <w:t>计算出的收益</w:t>
      </w:r>
      <w:r>
        <w:rPr>
          <w:rFonts w:hint="eastAsia" w:ascii="仿宋_GB2312" w:hAnsi="仿宋_GB2312" w:eastAsia="仿宋_GB2312" w:cs="仿宋_GB2312"/>
          <w:sz w:val="20"/>
          <w:highlight w:val="none"/>
          <w:lang w:eastAsia="zh-CN"/>
        </w:rPr>
        <w:t>）</w:t>
      </w:r>
      <w:r>
        <w:rPr>
          <w:rFonts w:ascii="仿宋_GB2312" w:eastAsia="仿宋_GB2312" w:cs="Times New Roman" w:hAnsiTheme="minorEastAsia"/>
          <w:color w:val="auto"/>
          <w:sz w:val="20"/>
          <w:highlight w:val="none"/>
          <w:u w:val="none"/>
          <w:lang w:eastAsia="zh-CN"/>
        </w:rPr>
        <w:t>×</w:t>
      </w:r>
      <w:r>
        <w:rPr>
          <w:rFonts w:hint="eastAsia" w:ascii="仿宋_GB2312" w:eastAsia="仿宋_GB2312" w:cs="Times New Roman" w:hAnsiTheme="minorEastAsia"/>
          <w:b/>
          <w:bCs/>
          <w:color w:val="auto"/>
          <w:sz w:val="20"/>
          <w:highlight w:val="none"/>
          <w:u w:val="none"/>
          <w:lang w:val="en-US" w:eastAsia="zh-CN"/>
        </w:rPr>
        <w:t>50</w:t>
      </w:r>
      <w:r>
        <w:rPr>
          <w:rFonts w:hint="eastAsia" w:ascii="仿宋_GB2312" w:hAnsi="仿宋_GB2312" w:eastAsia="仿宋_GB2312" w:cs="仿宋_GB2312"/>
          <w:b w:val="0"/>
          <w:bCs w:val="0"/>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color w:val="auto"/>
          <w:sz w:val="20"/>
          <w:highlight w:val="none"/>
          <w:lang w:val="en-US" w:eastAsia="zh-CN"/>
        </w:rPr>
        <w:t>按自然日计提</w:t>
      </w:r>
      <w:r>
        <w:rPr>
          <w:rFonts w:hint="eastAsia" w:ascii="仿宋_GB2312" w:eastAsia="仿宋_GB2312" w:cs="Times New Roman" w:hAnsiTheme="minorEastAsia"/>
          <w:color w:val="auto"/>
          <w:sz w:val="20"/>
          <w:highlight w:val="none"/>
          <w:u w:val="none"/>
          <w:lang w:val="en-US" w:eastAsia="zh-CN"/>
        </w:rPr>
        <w:t>，按季收取</w:t>
      </w:r>
      <w:r>
        <w:rPr>
          <w:rFonts w:hint="eastAsia" w:ascii="仿宋_GB2312" w:eastAsia="仿宋_GB2312" w:cs="Times New Roman" w:hAnsiTheme="minorEastAsia"/>
          <w:color w:val="auto"/>
          <w:sz w:val="20"/>
          <w:highlight w:val="none"/>
          <w:lang w:eastAsia="zh-CN"/>
        </w:rPr>
        <w:t>。</w:t>
      </w:r>
    </w:p>
    <w:p w14:paraId="38D0A444">
      <w:pPr>
        <w:pStyle w:val="3"/>
        <w:spacing w:before="0"/>
        <w:ind w:left="0" w:right="153" w:firstLine="402" w:firstLineChars="200"/>
        <w:jc w:val="both"/>
        <w:rPr>
          <w:rFonts w:hint="eastAsia" w:eastAsia="宋体"/>
          <w:b/>
          <w:bCs/>
          <w:color w:val="auto"/>
          <w:spacing w:val="6"/>
          <w:sz w:val="20"/>
          <w:szCs w:val="20"/>
          <w:highlight w:val="none"/>
          <w:lang w:eastAsia="zh-CN"/>
        </w:rPr>
      </w:pP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5</w:t>
      </w:r>
      <w:r>
        <w:rPr>
          <w:rFonts w:hint="eastAsia" w:ascii="仿宋_GB2312" w:eastAsia="仿宋_GB2312" w:cs="Times New Roman" w:hAnsiTheme="minorEastAsia"/>
          <w:b/>
          <w:bCs/>
          <w:color w:val="auto"/>
          <w:sz w:val="20"/>
          <w:highlight w:val="none"/>
          <w:lang w:eastAsia="zh-CN"/>
        </w:rPr>
        <w:t>）</w:t>
      </w:r>
      <w:r>
        <w:rPr>
          <w:rFonts w:ascii="仿宋_GB2312" w:eastAsia="仿宋_GB2312" w:cs="Times New Roman" w:hAnsiTheme="minorEastAsia"/>
          <w:b/>
          <w:bCs/>
          <w:color w:val="auto"/>
          <w:sz w:val="20"/>
          <w:szCs w:val="20"/>
          <w:highlight w:val="none"/>
          <w:u w:val="none"/>
          <w:lang w:eastAsia="zh-CN"/>
        </w:rPr>
        <w:t>强制赎回费</w:t>
      </w:r>
      <w:r>
        <w:rPr>
          <w:rFonts w:hint="eastAsia" w:ascii="仿宋_GB2312" w:eastAsia="仿宋_GB2312" w:cs="Times New Roman" w:hAnsiTheme="minorEastAsia"/>
          <w:b/>
          <w:bCs/>
          <w:color w:val="auto"/>
          <w:sz w:val="20"/>
          <w:szCs w:val="20"/>
          <w:highlight w:val="none"/>
          <w:u w:val="none"/>
          <w:lang w:eastAsia="zh-CN"/>
        </w:rPr>
        <w:t>：</w:t>
      </w:r>
    </w:p>
    <w:p w14:paraId="112FC504">
      <w:pPr>
        <w:pStyle w:val="3"/>
        <w:spacing w:before="0"/>
        <w:ind w:left="0" w:right="153" w:firstLine="402" w:firstLineChars="200"/>
        <w:jc w:val="both"/>
        <w:rPr>
          <w:rFonts w:hint="default" w:ascii="仿宋_GB2312" w:eastAsia="仿宋_GB2312" w:cs="Times New Roman" w:hAnsiTheme="minorEastAsia"/>
          <w:b/>
          <w:bCs/>
          <w:color w:val="auto"/>
          <w:sz w:val="20"/>
          <w:szCs w:val="20"/>
          <w:highlight w:val="none"/>
          <w:lang w:val="en-US" w:eastAsia="zh-CN"/>
        </w:rPr>
      </w:pPr>
      <w:r>
        <w:rPr>
          <w:rFonts w:hint="eastAsia" w:ascii="仿宋_GB2312" w:eastAsia="仿宋_GB2312" w:cs="Times New Roman" w:hAnsiTheme="minorEastAsia"/>
          <w:b/>
          <w:bCs/>
          <w:color w:val="auto"/>
          <w:sz w:val="20"/>
          <w:szCs w:val="20"/>
          <w:highlight w:val="none"/>
          <w:lang w:val="en-US" w:eastAsia="zh-CN"/>
        </w:rPr>
        <w:t>a.</w:t>
      </w:r>
      <w:r>
        <w:rPr>
          <w:rFonts w:hint="default" w:ascii="仿宋_GB2312" w:eastAsia="仿宋_GB2312" w:cs="Times New Roman" w:hAnsiTheme="minorEastAsia"/>
          <w:b/>
          <w:bCs/>
          <w:color w:val="auto"/>
          <w:sz w:val="20"/>
          <w:szCs w:val="20"/>
          <w:highlight w:val="none"/>
          <w:lang w:val="en-US" w:eastAsia="zh-CN"/>
        </w:rPr>
        <w:t>本产品持有的现金、国债、中央银行票据、政策性金融债券以及5个交易日内到期的其他金融工具占产品资产净值的比例合计低于5%且偏离度为负时，管理人将对当日单个产品投资者申请赎回份额超过现金管理类产品总份额1%以上的赎回申请征收1%的强制赎回费用，并将上述赎回费用全额计入该现金管理类产品财产。管理人与托管机构协商确认上述做法无益于本产品利益最大化的情形除外。</w:t>
      </w:r>
    </w:p>
    <w:p w14:paraId="72252808">
      <w:pPr>
        <w:pStyle w:val="3"/>
        <w:spacing w:before="0"/>
        <w:ind w:left="0" w:right="153" w:firstLine="402" w:firstLineChars="200"/>
        <w:jc w:val="both"/>
        <w:rPr>
          <w:rFonts w:hint="default" w:ascii="仿宋_GB2312" w:eastAsia="仿宋_GB2312" w:cs="Times New Roman" w:hAnsiTheme="minorEastAsia"/>
          <w:b/>
          <w:bCs/>
          <w:color w:val="auto"/>
          <w:sz w:val="20"/>
          <w:szCs w:val="20"/>
          <w:highlight w:val="none"/>
          <w:lang w:val="en-US" w:eastAsia="zh-CN"/>
        </w:rPr>
      </w:pPr>
      <w:r>
        <w:rPr>
          <w:rFonts w:hint="eastAsia" w:ascii="仿宋_GB2312" w:eastAsia="仿宋_GB2312" w:cs="Times New Roman" w:hAnsiTheme="minorEastAsia"/>
          <w:b/>
          <w:bCs/>
          <w:color w:val="auto"/>
          <w:sz w:val="20"/>
          <w:szCs w:val="20"/>
          <w:highlight w:val="none"/>
          <w:lang w:val="en-US" w:eastAsia="zh-CN"/>
        </w:rPr>
        <w:t>b.</w:t>
      </w:r>
      <w:r>
        <w:rPr>
          <w:rFonts w:hint="default" w:ascii="仿宋_GB2312" w:eastAsia="仿宋_GB2312" w:cs="Times New Roman" w:hAnsiTheme="minorEastAsia"/>
          <w:b/>
          <w:bCs/>
          <w:color w:val="auto"/>
          <w:sz w:val="20"/>
          <w:szCs w:val="20"/>
          <w:highlight w:val="none"/>
          <w:lang w:val="en-US" w:eastAsia="zh-CN"/>
        </w:rPr>
        <w:t>本产品前10名投资者的持有份额合计超过该产品总份额50%的，当投资组合中现金、国债、中央银行票据、政策性金融债券以及5个交易日内到期的其他金融工具占该产品资产净值的比例合计低于10%且偏离度为负时，管理人将对投资者超过该产品总份额1%以上的赎回申请征收1%的强制赎回费用。</w:t>
      </w:r>
    </w:p>
    <w:p w14:paraId="69B5D3BC">
      <w:pPr>
        <w:pStyle w:val="3"/>
        <w:numPr>
          <w:ilvl w:val="0"/>
          <w:numId w:val="0"/>
        </w:numPr>
        <w:spacing w:before="0"/>
        <w:ind w:leftChars="200" w:right="153" w:rightChars="0"/>
        <w:jc w:val="both"/>
        <w:rPr>
          <w:rFonts w:hint="eastAsia"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color w:val="auto"/>
          <w:sz w:val="20"/>
          <w:highlight w:val="none"/>
          <w:lang w:val="en-US" w:eastAsia="zh-CN"/>
        </w:rPr>
        <w:t>其他相关费用</w:t>
      </w:r>
    </w:p>
    <w:p w14:paraId="54BB1338">
      <w:pPr>
        <w:pStyle w:val="3"/>
        <w:spacing w:before="0"/>
        <w:ind w:left="0" w:right="153" w:firstLine="400" w:firstLineChars="200"/>
        <w:jc w:val="both"/>
        <w:rPr>
          <w:rFonts w:hint="default"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产品运作和清算中产生的其他资金汇划费、结算费、交易手续费、注册登记费、信息披露费、账户服务费、审计费、律师费、税费等费用，</w:t>
      </w:r>
      <w:r>
        <w:rPr>
          <w:rFonts w:hint="eastAsia" w:ascii="仿宋_GB2312" w:eastAsia="仿宋_GB2312" w:cs="Times New Roman" w:hAnsiTheme="minorEastAsia"/>
          <w:sz w:val="20"/>
          <w:highlight w:val="none"/>
          <w:lang w:val="en-US" w:eastAsia="zh-CN"/>
        </w:rPr>
        <w:t>前述</w:t>
      </w:r>
      <w:r>
        <w:rPr>
          <w:rFonts w:hint="eastAsia" w:ascii="仿宋_GB2312" w:eastAsia="仿宋_GB2312" w:cs="Times New Roman" w:hAnsiTheme="minorEastAsia"/>
          <w:color w:val="auto"/>
          <w:sz w:val="20"/>
          <w:highlight w:val="none"/>
          <w:lang w:val="en-US" w:eastAsia="zh-CN"/>
        </w:rPr>
        <w:t>费用（如有）按照实际发生时</w:t>
      </w:r>
      <w:r>
        <w:rPr>
          <w:rFonts w:hint="eastAsia" w:ascii="仿宋_GB2312" w:eastAsia="仿宋_GB2312" w:cs="Times New Roman" w:hAnsiTheme="minorEastAsia"/>
          <w:sz w:val="20"/>
          <w:highlight w:val="none"/>
          <w:lang w:val="en-US" w:eastAsia="zh-CN"/>
        </w:rPr>
        <w:t>的金额，</w:t>
      </w:r>
      <w:r>
        <w:rPr>
          <w:rFonts w:hint="eastAsia" w:ascii="仿宋_GB2312" w:eastAsia="仿宋_GB2312" w:cs="Times New Roman" w:hAnsiTheme="minorEastAsia"/>
          <w:color w:val="auto"/>
          <w:sz w:val="20"/>
          <w:highlight w:val="none"/>
          <w:lang w:val="en-US" w:eastAsia="zh-CN"/>
        </w:rPr>
        <w:t>从理财产品中列支。</w:t>
      </w:r>
    </w:p>
    <w:p w14:paraId="78700627">
      <w:pPr>
        <w:pStyle w:val="3"/>
        <w:spacing w:before="0"/>
        <w:ind w:left="0" w:right="153" w:firstLine="402" w:firstLineChars="200"/>
        <w:jc w:val="both"/>
        <w:rPr>
          <w:rFonts w:hint="default" w:ascii="仿宋_GB2312" w:hAnsi="仿宋_GB2312" w:eastAsia="仿宋_GB2312" w:cs="仿宋_GB2312"/>
          <w:b/>
          <w:bCs/>
          <w:sz w:val="20"/>
          <w:highlight w:val="none"/>
          <w:lang w:val="en-US" w:eastAsia="zh-CN"/>
        </w:rPr>
      </w:pPr>
      <w:r>
        <w:rPr>
          <w:rFonts w:hint="eastAsia" w:ascii="仿宋_GB2312" w:hAnsi="仿宋_GB2312" w:eastAsia="仿宋_GB2312" w:cs="仿宋_GB2312"/>
          <w:b/>
          <w:bCs/>
          <w:sz w:val="20"/>
          <w:highlight w:val="none"/>
          <w:lang w:val="en-US" w:eastAsia="zh-CN"/>
        </w:rPr>
        <w:t>2.</w:t>
      </w:r>
      <w:r>
        <w:rPr>
          <w:rFonts w:hint="eastAsia" w:ascii="仿宋_GB2312" w:eastAsia="仿宋_GB2312" w:cs="Times New Roman" w:hAnsiTheme="minorEastAsia"/>
          <w:b/>
          <w:bCs/>
          <w:sz w:val="20"/>
          <w:highlight w:val="none"/>
          <w:lang w:val="en-US" w:eastAsia="zh-CN"/>
        </w:rPr>
        <w:t>费用计提、支付、核算收取：</w:t>
      </w:r>
    </w:p>
    <w:p w14:paraId="1BEF9ED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强制赎回费</w:t>
      </w:r>
      <w:r>
        <w:rPr>
          <w:rFonts w:hint="eastAsia" w:ascii="仿宋_GB2312" w:hAnsi="仿宋_GB2312" w:eastAsia="仿宋_GB2312" w:cs="仿宋_GB2312"/>
          <w:b/>
          <w:bCs/>
          <w:color w:val="auto"/>
          <w:sz w:val="20"/>
          <w:szCs w:val="20"/>
          <w:highlight w:val="none"/>
          <w:lang w:eastAsia="zh-CN"/>
        </w:rPr>
        <w:t>（如有）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B4CC49">
      <w:pPr>
        <w:pStyle w:val="3"/>
        <w:spacing w:before="0"/>
        <w:ind w:left="0" w:right="153" w:firstLine="402" w:firstLineChars="200"/>
        <w:jc w:val="both"/>
        <w:rPr>
          <w:rFonts w:hint="default" w:ascii="仿宋_GB2312" w:eastAsia="仿宋_GB2312" w:cs="Times New Roman" w:hAnsiTheme="minorEastAsia"/>
          <w:color w:val="auto"/>
          <w:sz w:val="20"/>
          <w:highlight w:val="none"/>
          <w:lang w:val="en-US" w:eastAsia="zh-CN"/>
        </w:rPr>
      </w:pPr>
      <w:r>
        <w:rPr>
          <w:rFonts w:ascii="仿宋_GB2312" w:eastAsia="仿宋_GB2312" w:cs="Times New Roman" w:hAnsiTheme="minorEastAsia"/>
          <w:b/>
          <w:bCs/>
          <w:sz w:val="20"/>
          <w:highlight w:val="none"/>
          <w:lang w:eastAsia="zh-CN"/>
        </w:rPr>
        <w:t>贵阳农商银行有权根据市场情况等调整上述各项费用费率和</w:t>
      </w:r>
      <w:r>
        <w:rPr>
          <w:rFonts w:ascii="仿宋_GB2312" w:eastAsia="仿宋_GB2312" w:cs="Times New Roman" w:hAnsiTheme="minorEastAsia"/>
          <w:b/>
          <w:bCs/>
          <w:color w:val="auto"/>
          <w:sz w:val="20"/>
          <w:highlight w:val="none"/>
          <w:lang w:eastAsia="zh-CN"/>
        </w:rPr>
        <w:t>业绩报酬收取</w:t>
      </w:r>
      <w:r>
        <w:rPr>
          <w:rFonts w:hint="eastAsia" w:ascii="仿宋_GB2312" w:eastAsia="仿宋_GB2312" w:cs="Times New Roman" w:hAnsiTheme="minorEastAsia"/>
          <w:b/>
          <w:bCs/>
          <w:color w:val="auto"/>
          <w:sz w:val="20"/>
          <w:highlight w:val="none"/>
          <w:lang w:val="en-US" w:eastAsia="zh-CN"/>
        </w:rPr>
        <w:t>的基准和</w:t>
      </w:r>
      <w:r>
        <w:rPr>
          <w:rFonts w:ascii="仿宋_GB2312" w:eastAsia="仿宋_GB2312" w:cs="Times New Roman" w:hAnsiTheme="minorEastAsia"/>
          <w:b/>
          <w:bCs/>
          <w:color w:val="auto"/>
          <w:sz w:val="20"/>
          <w:highlight w:val="none"/>
          <w:lang w:eastAsia="zh-CN"/>
        </w:rPr>
        <w:t>比例</w:t>
      </w:r>
      <w:r>
        <w:rPr>
          <w:rFonts w:ascii="仿宋_GB2312" w:eastAsia="仿宋_GB2312" w:cs="Times New Roman" w:hAnsiTheme="minorEastAsia"/>
          <w:b/>
          <w:bCs/>
          <w:sz w:val="20"/>
          <w:highlight w:val="none"/>
          <w:lang w:eastAsia="zh-CN"/>
        </w:rPr>
        <w:t>，并至少于调整日之前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color w:val="auto"/>
          <w:sz w:val="20"/>
          <w:szCs w:val="18"/>
          <w:highlight w:val="none"/>
          <w:lang w:val="en-US" w:eastAsia="zh-CN"/>
        </w:rPr>
        <w:t>，投资者如不同意调整的，可在管理人公告的补充或修改后的相关业务调整生效前赎回本理财产品，逾期未赎回的视为同意接受前述调整且继续持有本理财产品</w:t>
      </w:r>
      <w:r>
        <w:rPr>
          <w:rFonts w:hint="eastAsia" w:ascii="仿宋_GB2312" w:eastAsia="仿宋_GB2312" w:cs="Times New Roman" w:hAnsiTheme="minorEastAsia"/>
          <w:b/>
          <w:bCs/>
          <w:sz w:val="20"/>
          <w:szCs w:val="18"/>
          <w:highlight w:val="none"/>
          <w:lang w:eastAsia="zh-CN"/>
        </w:rPr>
        <w:t>。</w:t>
      </w:r>
    </w:p>
    <w:p w14:paraId="4506A1C0">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4D0DECD7">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w:t>
      </w:r>
      <w:r>
        <w:rPr>
          <w:rFonts w:hint="eastAsia" w:ascii="仿宋_GB2312" w:hAnsi="仿宋_GB2312" w:eastAsia="仿宋_GB2312" w:cs="仿宋_GB2312"/>
          <w:b/>
          <w:bCs/>
          <w:color w:val="auto"/>
          <w:spacing w:val="6"/>
          <w:sz w:val="20"/>
          <w:szCs w:val="20"/>
          <w:highlight w:val="none"/>
          <w:lang w:eastAsia="zh-CN"/>
        </w:rPr>
        <w:t>、</w:t>
      </w:r>
      <w:r>
        <w:rPr>
          <w:rFonts w:hint="eastAsia" w:ascii="仿宋_GB2312" w:hAnsi="仿宋_GB2312" w:eastAsia="仿宋_GB2312" w:cs="仿宋_GB2312"/>
          <w:color w:val="auto"/>
          <w:sz w:val="20"/>
          <w:szCs w:val="20"/>
          <w:highlight w:val="none"/>
          <w:lang w:eastAsia="zh-CN"/>
        </w:rPr>
        <w:t>超额业绩报酬（如有）、强制赎回费（如有）</w:t>
      </w:r>
      <w:r>
        <w:rPr>
          <w:rFonts w:hint="eastAsia" w:ascii="仿宋_GB2312" w:hAnsi="仿宋_GB2312" w:eastAsia="仿宋_GB2312" w:cs="仿宋_GB2312"/>
          <w:color w:val="auto"/>
          <w:sz w:val="20"/>
          <w:szCs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等全部费用后的收益，分配方式为每日为投资者计提当日理财收益，每日结转份额。</w:t>
      </w:r>
    </w:p>
    <w:p w14:paraId="63E422DC">
      <w:pPr>
        <w:pStyle w:val="3"/>
        <w:spacing w:before="0"/>
        <w:ind w:left="0" w:right="153" w:firstLine="402" w:firstLineChars="200"/>
        <w:jc w:val="both"/>
        <w:rPr>
          <w:rFonts w:hint="default" w:ascii="仿宋_GB2312" w:hAnsi="仿宋_GB2312" w:eastAsia="仿宋_GB2312" w:cs="仿宋_GB2312"/>
          <w:b/>
          <w:bCs/>
          <w:color w:val="auto"/>
          <w:sz w:val="20"/>
          <w:szCs w:val="20"/>
          <w:highlight w:val="none"/>
          <w:lang w:val="en-US" w:eastAsia="zh-CN"/>
        </w:rPr>
      </w:pPr>
      <w:r>
        <w:rPr>
          <w:rFonts w:hint="eastAsia" w:ascii="仿宋_GB2312" w:hAnsi="仿宋_GB2312" w:eastAsia="仿宋_GB2312" w:cs="仿宋_GB2312"/>
          <w:b/>
          <w:bCs/>
          <w:sz w:val="20"/>
          <w:highlight w:val="none"/>
          <w:lang w:eastAsia="zh-CN"/>
        </w:rPr>
        <w:t>计算</w:t>
      </w:r>
      <w:r>
        <w:rPr>
          <w:rFonts w:hint="eastAsia" w:ascii="仿宋_GB2312" w:hAnsi="仿宋_GB2312" w:eastAsia="仿宋_GB2312" w:cs="仿宋_GB2312"/>
          <w:b/>
          <w:bCs/>
          <w:color w:val="auto"/>
          <w:sz w:val="20"/>
          <w:szCs w:val="20"/>
          <w:highlight w:val="none"/>
          <w:lang w:eastAsia="zh-CN"/>
        </w:rPr>
        <w:t>示例</w:t>
      </w:r>
      <w:r>
        <w:rPr>
          <w:rFonts w:hint="eastAsia" w:ascii="仿宋_GB2312" w:hAnsi="仿宋_GB2312" w:eastAsia="仿宋_GB2312" w:cs="仿宋_GB2312"/>
          <w:b/>
          <w:bCs/>
          <w:color w:val="auto"/>
          <w:sz w:val="20"/>
          <w:szCs w:val="20"/>
          <w:highlight w:val="none"/>
          <w:lang w:val="en-US" w:eastAsia="zh-CN"/>
        </w:rPr>
        <w:t>·</w:t>
      </w:r>
    </w:p>
    <w:p w14:paraId="7BA09247">
      <w:pPr>
        <w:pStyle w:val="3"/>
        <w:spacing w:before="0"/>
        <w:ind w:left="0" w:right="153" w:firstLine="400" w:firstLineChars="200"/>
        <w:jc w:val="both"/>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本产品运作期间，投资者按份额赎回所持有的理财产品，赎回</w:t>
      </w:r>
      <w:r>
        <w:rPr>
          <w:rFonts w:hint="eastAsia" w:ascii="仿宋_GB2312" w:hAnsi="仿宋_GB2312" w:eastAsia="仿宋_GB2312" w:cs="仿宋_GB2312"/>
          <w:color w:val="auto"/>
          <w:sz w:val="20"/>
          <w:szCs w:val="20"/>
          <w:highlight w:val="none"/>
          <w:lang w:val="en-US" w:eastAsia="zh-CN"/>
        </w:rPr>
        <w:t>份额以赎回申请日当日份额为准，</w:t>
      </w:r>
      <w:r>
        <w:rPr>
          <w:rFonts w:hint="eastAsia" w:ascii="仿宋_GB2312" w:hAnsi="仿宋_GB2312" w:eastAsia="仿宋_GB2312" w:cs="仿宋_GB2312"/>
          <w:color w:val="auto"/>
          <w:sz w:val="20"/>
          <w:szCs w:val="20"/>
          <w:highlight w:val="none"/>
          <w:lang w:eastAsia="zh-CN"/>
        </w:rPr>
        <w:t>赎回金额=赎回份额</w:t>
      </w:r>
      <w:r>
        <w:rPr>
          <w:rFonts w:ascii="仿宋_GB2312" w:eastAsia="仿宋_GB2312" w:cs="Times New Roman" w:hAnsiTheme="minorEastAsia"/>
          <w:color w:val="auto"/>
          <w:sz w:val="20"/>
          <w:highlight w:val="none"/>
          <w:u w:val="none"/>
          <w:lang w:eastAsia="zh-CN"/>
        </w:rPr>
        <w:t>×</w:t>
      </w:r>
      <w:r>
        <w:rPr>
          <w:rFonts w:hint="eastAsia" w:ascii="仿宋_GB2312" w:hAnsi="仿宋_GB2312" w:eastAsia="仿宋_GB2312" w:cs="仿宋_GB2312"/>
          <w:color w:val="auto"/>
          <w:sz w:val="20"/>
          <w:szCs w:val="20"/>
          <w:highlight w:val="none"/>
          <w:lang w:val="en-US" w:eastAsia="zh-CN"/>
        </w:rPr>
        <w:t>1.00元</w:t>
      </w:r>
      <w:r>
        <w:rPr>
          <w:rFonts w:hint="eastAsia" w:ascii="仿宋_GB2312" w:hAnsi="仿宋_GB2312" w:eastAsia="仿宋_GB2312" w:cs="仿宋_GB2312"/>
          <w:color w:val="auto"/>
          <w:sz w:val="20"/>
          <w:szCs w:val="20"/>
          <w:highlight w:val="none"/>
          <w:lang w:eastAsia="zh-CN"/>
        </w:rPr>
        <w:t>。</w:t>
      </w:r>
    </w:p>
    <w:p w14:paraId="20C606C5">
      <w:pPr>
        <w:pStyle w:val="3"/>
        <w:spacing w:before="0"/>
        <w:ind w:left="0" w:right="153" w:firstLine="400" w:firstLineChars="200"/>
        <w:jc w:val="both"/>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假设：投资者持有理财产品份额10</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000</w:t>
      </w:r>
      <w:r>
        <w:rPr>
          <w:rFonts w:hint="eastAsia" w:ascii="仿宋_GB2312" w:hAnsi="仿宋_GB2312" w:eastAsia="仿宋_GB2312" w:cs="仿宋_GB2312"/>
          <w:color w:val="auto"/>
          <w:sz w:val="20"/>
          <w:szCs w:val="20"/>
          <w:highlight w:val="none"/>
          <w:lang w:val="en-US" w:eastAsia="zh-CN"/>
        </w:rPr>
        <w:t>.00</w:t>
      </w:r>
      <w:r>
        <w:rPr>
          <w:rFonts w:hint="eastAsia" w:ascii="仿宋_GB2312" w:hAnsi="仿宋_GB2312" w:eastAsia="仿宋_GB2312" w:cs="仿宋_GB2312"/>
          <w:color w:val="auto"/>
          <w:sz w:val="20"/>
          <w:szCs w:val="20"/>
          <w:highlight w:val="none"/>
          <w:lang w:eastAsia="zh-CN"/>
        </w:rPr>
        <w:t>份，开放期内投资者</w:t>
      </w:r>
      <w:r>
        <w:rPr>
          <w:rFonts w:hint="eastAsia" w:ascii="仿宋_GB2312" w:hAnsi="仿宋_GB2312" w:eastAsia="仿宋_GB2312" w:cs="仿宋_GB2312"/>
          <w:color w:val="auto"/>
          <w:sz w:val="20"/>
          <w:szCs w:val="20"/>
          <w:highlight w:val="none"/>
          <w:lang w:val="en-US" w:eastAsia="zh-CN"/>
        </w:rPr>
        <w:t>于T日申请全部赎回</w:t>
      </w:r>
      <w:r>
        <w:rPr>
          <w:rFonts w:hint="eastAsia" w:ascii="仿宋_GB2312" w:hAnsi="仿宋_GB2312" w:eastAsia="仿宋_GB2312" w:cs="仿宋_GB2312"/>
          <w:color w:val="auto"/>
          <w:sz w:val="20"/>
          <w:szCs w:val="20"/>
          <w:highlight w:val="none"/>
          <w:lang w:eastAsia="zh-CN"/>
        </w:rPr>
        <w:t>，赎回</w:t>
      </w:r>
      <w:r>
        <w:rPr>
          <w:rFonts w:hint="eastAsia" w:ascii="仿宋_GB2312" w:hAnsi="仿宋_GB2312" w:eastAsia="仿宋_GB2312" w:cs="仿宋_GB2312"/>
          <w:color w:val="auto"/>
          <w:sz w:val="20"/>
          <w:szCs w:val="20"/>
          <w:highlight w:val="none"/>
          <w:lang w:val="en-US" w:eastAsia="zh-CN"/>
        </w:rPr>
        <w:t>申请日日终产品份额为</w:t>
      </w:r>
      <w:r>
        <w:rPr>
          <w:rFonts w:hint="eastAsia" w:ascii="仿宋_GB2312" w:hAnsi="仿宋_GB2312" w:eastAsia="仿宋_GB2312" w:cs="仿宋_GB2312"/>
          <w:color w:val="auto"/>
          <w:sz w:val="20"/>
          <w:szCs w:val="20"/>
          <w:highlight w:val="none"/>
          <w:lang w:eastAsia="zh-CN"/>
        </w:rPr>
        <w:t>10</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011</w:t>
      </w:r>
      <w:r>
        <w:rPr>
          <w:rFonts w:hint="eastAsia" w:ascii="仿宋_GB2312" w:hAnsi="仿宋_GB2312" w:eastAsia="仿宋_GB2312" w:cs="仿宋_GB2312"/>
          <w:color w:val="auto"/>
          <w:sz w:val="20"/>
          <w:szCs w:val="20"/>
          <w:highlight w:val="none"/>
          <w:lang w:val="en-US" w:eastAsia="zh-CN"/>
        </w:rPr>
        <w:t>.00份</w:t>
      </w:r>
      <w:r>
        <w:rPr>
          <w:rFonts w:hint="eastAsia" w:ascii="仿宋_GB2312" w:hAnsi="仿宋_GB2312" w:eastAsia="仿宋_GB2312" w:cs="仿宋_GB2312"/>
          <w:color w:val="auto"/>
          <w:sz w:val="20"/>
          <w:szCs w:val="20"/>
          <w:highlight w:val="none"/>
          <w:lang w:eastAsia="zh-CN"/>
        </w:rPr>
        <w:t>，投资者赎回后</w:t>
      </w:r>
      <w:r>
        <w:rPr>
          <w:rFonts w:hint="eastAsia" w:ascii="仿宋_GB2312" w:hAnsi="仿宋_GB2312" w:eastAsia="仿宋_GB2312" w:cs="仿宋_GB2312"/>
          <w:color w:val="auto"/>
          <w:sz w:val="20"/>
          <w:szCs w:val="20"/>
          <w:highlight w:val="none"/>
          <w:lang w:val="en-US" w:eastAsia="zh-CN"/>
        </w:rPr>
        <w:t>在确认日</w:t>
      </w:r>
      <w:r>
        <w:rPr>
          <w:rFonts w:hint="eastAsia" w:ascii="仿宋_GB2312" w:hAnsi="仿宋_GB2312" w:eastAsia="仿宋_GB2312" w:cs="仿宋_GB2312"/>
          <w:color w:val="auto"/>
          <w:sz w:val="20"/>
          <w:szCs w:val="20"/>
          <w:highlight w:val="none"/>
          <w:lang w:eastAsia="zh-CN"/>
        </w:rPr>
        <w:t>可</w:t>
      </w:r>
      <w:r>
        <w:rPr>
          <w:rFonts w:hint="eastAsia" w:ascii="仿宋_GB2312" w:hAnsi="仿宋_GB2312" w:eastAsia="仿宋_GB2312" w:cs="仿宋_GB2312"/>
          <w:color w:val="auto"/>
          <w:sz w:val="20"/>
          <w:szCs w:val="20"/>
          <w:highlight w:val="none"/>
          <w:lang w:val="en-US" w:eastAsia="zh-CN"/>
        </w:rPr>
        <w:t>得资金</w:t>
      </w:r>
      <w:r>
        <w:rPr>
          <w:rFonts w:hint="eastAsia" w:ascii="仿宋_GB2312" w:hAnsi="仿宋_GB2312" w:eastAsia="仿宋_GB2312" w:cs="仿宋_GB2312"/>
          <w:color w:val="auto"/>
          <w:sz w:val="20"/>
          <w:szCs w:val="20"/>
          <w:highlight w:val="none"/>
          <w:lang w:eastAsia="zh-CN"/>
        </w:rPr>
        <w:t>为：</w:t>
      </w:r>
    </w:p>
    <w:p w14:paraId="7EBF672C">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投资者可得资金=</w:t>
      </w:r>
      <w:r>
        <w:rPr>
          <w:rFonts w:hint="eastAsia" w:ascii="仿宋_GB2312" w:hAnsi="仿宋_GB2312" w:eastAsia="仿宋_GB2312" w:cs="仿宋_GB2312"/>
          <w:color w:val="auto"/>
          <w:sz w:val="20"/>
          <w:szCs w:val="20"/>
          <w:highlight w:val="none"/>
          <w:lang w:eastAsia="zh-CN"/>
        </w:rPr>
        <w:t>10</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0</w:t>
      </w:r>
      <w:r>
        <w:rPr>
          <w:rFonts w:hint="eastAsia" w:ascii="仿宋_GB2312" w:hAnsi="仿宋_GB2312" w:eastAsia="仿宋_GB2312" w:cs="仿宋_GB2312"/>
          <w:color w:val="auto"/>
          <w:sz w:val="20"/>
          <w:szCs w:val="20"/>
          <w:highlight w:val="none"/>
          <w:lang w:val="en-US" w:eastAsia="zh-CN"/>
        </w:rPr>
        <w:t>11.00</w:t>
      </w:r>
      <w:r>
        <w:rPr>
          <w:rFonts w:ascii="仿宋_GB2312" w:eastAsia="仿宋_GB2312" w:cs="Times New Roman" w:hAnsiTheme="minorEastAsia"/>
          <w:color w:val="auto"/>
          <w:sz w:val="20"/>
          <w:highlight w:val="none"/>
          <w:u w:val="none"/>
          <w:lang w:eastAsia="zh-CN"/>
        </w:rPr>
        <w:t>×</w:t>
      </w:r>
      <w:r>
        <w:rPr>
          <w:rFonts w:hint="eastAsia" w:ascii="仿宋_GB2312" w:hAnsi="仿宋_GB2312" w:eastAsia="仿宋_GB2312" w:cs="仿宋_GB2312"/>
          <w:color w:val="auto"/>
          <w:sz w:val="20"/>
          <w:szCs w:val="20"/>
          <w:highlight w:val="none"/>
          <w:lang w:eastAsia="zh-CN"/>
        </w:rPr>
        <w:t>1=10</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011</w:t>
      </w:r>
      <w:r>
        <w:rPr>
          <w:rFonts w:hint="eastAsia" w:ascii="仿宋_GB2312" w:hAnsi="仿宋_GB2312" w:eastAsia="仿宋_GB2312" w:cs="仿宋_GB2312"/>
          <w:color w:val="auto"/>
          <w:sz w:val="20"/>
          <w:szCs w:val="20"/>
          <w:highlight w:val="none"/>
          <w:lang w:val="en-US" w:eastAsia="zh-CN"/>
        </w:rPr>
        <w:t>.00（</w:t>
      </w:r>
      <w:r>
        <w:rPr>
          <w:rFonts w:hint="eastAsia" w:ascii="仿宋_GB2312" w:hAnsi="仿宋_GB2312" w:eastAsia="仿宋_GB2312" w:cs="仿宋_GB2312"/>
          <w:color w:val="auto"/>
          <w:sz w:val="20"/>
          <w:szCs w:val="20"/>
          <w:highlight w:val="none"/>
          <w:lang w:eastAsia="zh-CN"/>
        </w:rPr>
        <w:t>元）</w:t>
      </w:r>
    </w:p>
    <w:p w14:paraId="4DA27C82">
      <w:pPr>
        <w:pStyle w:val="3"/>
        <w:spacing w:before="0"/>
        <w:ind w:left="0" w:right="153" w:firstLine="400" w:firstLineChars="200"/>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投资者总收益=</w:t>
      </w:r>
      <w:r>
        <w:rPr>
          <w:rFonts w:hint="eastAsia" w:ascii="仿宋_GB2312" w:hAnsi="仿宋_GB2312" w:eastAsia="仿宋_GB2312" w:cs="仿宋_GB2312"/>
          <w:color w:val="auto"/>
          <w:sz w:val="20"/>
          <w:szCs w:val="20"/>
          <w:highlight w:val="none"/>
          <w:lang w:eastAsia="zh-CN"/>
        </w:rPr>
        <w:t>10</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0</w:t>
      </w:r>
      <w:r>
        <w:rPr>
          <w:rFonts w:hint="eastAsia" w:ascii="仿宋_GB2312" w:hAnsi="仿宋_GB2312" w:eastAsia="仿宋_GB2312" w:cs="仿宋_GB2312"/>
          <w:color w:val="auto"/>
          <w:sz w:val="20"/>
          <w:szCs w:val="20"/>
          <w:highlight w:val="none"/>
          <w:lang w:val="en-US" w:eastAsia="zh-CN"/>
        </w:rPr>
        <w:t>11.00</w:t>
      </w:r>
      <w:r>
        <w:rPr>
          <w:rFonts w:ascii="仿宋_GB2312" w:eastAsia="仿宋_GB2312" w:cs="Times New Roman" w:hAnsiTheme="minorEastAsia"/>
          <w:color w:val="auto"/>
          <w:sz w:val="20"/>
          <w:highlight w:val="none"/>
          <w:u w:val="none"/>
          <w:lang w:eastAsia="zh-CN"/>
        </w:rPr>
        <w:t>×</w:t>
      </w:r>
      <w:r>
        <w:rPr>
          <w:rFonts w:hint="eastAsia" w:ascii="仿宋_GB2312" w:hAnsi="仿宋_GB2312" w:eastAsia="仿宋_GB2312" w:cs="仿宋_GB2312"/>
          <w:color w:val="auto"/>
          <w:sz w:val="20"/>
          <w:szCs w:val="20"/>
          <w:highlight w:val="none"/>
          <w:lang w:eastAsia="zh-CN"/>
        </w:rPr>
        <w:t>1</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10</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000</w:t>
      </w:r>
      <w:r>
        <w:rPr>
          <w:rFonts w:hint="eastAsia" w:ascii="仿宋_GB2312" w:hAnsi="仿宋_GB2312" w:eastAsia="仿宋_GB2312" w:cs="仿宋_GB2312"/>
          <w:color w:val="auto"/>
          <w:sz w:val="20"/>
          <w:szCs w:val="20"/>
          <w:highlight w:val="none"/>
          <w:lang w:val="en-US" w:eastAsia="zh-CN"/>
        </w:rPr>
        <w:t>.00</w:t>
      </w:r>
      <w:r>
        <w:rPr>
          <w:rFonts w:hint="eastAsia" w:ascii="仿宋_GB2312" w:hAnsi="仿宋_GB2312" w:eastAsia="仿宋_GB2312" w:cs="仿宋_GB2312"/>
          <w:color w:val="auto"/>
          <w:sz w:val="20"/>
          <w:szCs w:val="20"/>
          <w:highlight w:val="none"/>
          <w:lang w:eastAsia="zh-CN"/>
        </w:rPr>
        <w:t>=11</w:t>
      </w:r>
      <w:r>
        <w:rPr>
          <w:rFonts w:hint="eastAsia" w:ascii="仿宋_GB2312" w:hAnsi="仿宋_GB2312" w:eastAsia="仿宋_GB2312" w:cs="仿宋_GB2312"/>
          <w:color w:val="auto"/>
          <w:sz w:val="20"/>
          <w:szCs w:val="20"/>
          <w:highlight w:val="none"/>
          <w:lang w:val="en-US" w:eastAsia="zh-CN"/>
        </w:rPr>
        <w:t>.00（</w:t>
      </w:r>
      <w:r>
        <w:rPr>
          <w:rFonts w:hint="eastAsia" w:ascii="仿宋_GB2312" w:hAnsi="仿宋_GB2312" w:eastAsia="仿宋_GB2312" w:cs="仿宋_GB2312"/>
          <w:color w:val="auto"/>
          <w:sz w:val="20"/>
          <w:szCs w:val="20"/>
          <w:highlight w:val="none"/>
          <w:lang w:eastAsia="zh-CN"/>
        </w:rPr>
        <w:t>元）</w:t>
      </w:r>
    </w:p>
    <w:p w14:paraId="43D569E2">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right="153" w:firstLine="402" w:firstLineChars="200"/>
        <w:jc w:val="both"/>
        <w:textAlignment w:val="auto"/>
        <w:rPr>
          <w:rFonts w:hint="eastAsia" w:ascii="仿宋_GB2312" w:hAnsi="仿宋_GB2312" w:eastAsia="仿宋_GB2312" w:cs="仿宋_GB2312"/>
          <w:b/>
          <w:bCs/>
          <w:color w:val="auto"/>
          <w:sz w:val="20"/>
          <w:szCs w:val="20"/>
          <w:highlight w:val="none"/>
          <w:lang w:eastAsia="zh-CN"/>
        </w:rPr>
      </w:pPr>
      <w:r>
        <w:rPr>
          <w:rFonts w:hint="eastAsia" w:ascii="仿宋_GB2312" w:hAnsi="仿宋_GB2312" w:eastAsia="仿宋_GB2312" w:cs="仿宋_GB2312"/>
          <w:b/>
          <w:bCs/>
          <w:color w:val="auto"/>
          <w:sz w:val="20"/>
          <w:szCs w:val="20"/>
          <w:highlight w:val="none"/>
          <w:lang w:eastAsia="zh-CN"/>
        </w:rPr>
        <w:t>上述示例采用假设数据计算，</w:t>
      </w:r>
      <w:r>
        <w:rPr>
          <w:rFonts w:hint="eastAsia" w:ascii="仿宋_GB2312" w:hAnsi="仿宋_GB2312" w:eastAsia="仿宋_GB2312" w:cs="仿宋_GB2312"/>
          <w:b/>
          <w:bCs/>
          <w:color w:val="auto"/>
          <w:sz w:val="20"/>
          <w:szCs w:val="20"/>
          <w:highlight w:val="none"/>
          <w:lang w:val="en-US" w:eastAsia="zh-CN"/>
        </w:rPr>
        <w:t>仅作为告知投资者公式计算方法使用，但</w:t>
      </w:r>
      <w:r>
        <w:rPr>
          <w:rFonts w:hint="eastAsia" w:ascii="仿宋_GB2312" w:hAnsi="仿宋_GB2312" w:eastAsia="仿宋_GB2312" w:cs="仿宋_GB2312"/>
          <w:b/>
          <w:bCs/>
          <w:color w:val="auto"/>
          <w:sz w:val="20"/>
          <w:szCs w:val="20"/>
          <w:highlight w:val="none"/>
          <w:lang w:eastAsia="zh-CN"/>
        </w:rPr>
        <w:t>测算收益不等于实际收益，实际收益以</w:t>
      </w:r>
      <w:r>
        <w:rPr>
          <w:rFonts w:hint="eastAsia" w:ascii="仿宋_GB2312" w:hAnsi="仿宋_GB2312" w:eastAsia="仿宋_GB2312" w:cs="仿宋_GB2312"/>
          <w:b/>
          <w:bCs/>
          <w:color w:val="auto"/>
          <w:sz w:val="20"/>
          <w:szCs w:val="20"/>
          <w:highlight w:val="none"/>
          <w:lang w:val="en-US" w:eastAsia="zh-CN"/>
        </w:rPr>
        <w:t>兑付</w:t>
      </w:r>
      <w:r>
        <w:rPr>
          <w:rFonts w:hint="eastAsia" w:ascii="仿宋_GB2312" w:hAnsi="仿宋_GB2312" w:eastAsia="仿宋_GB2312" w:cs="仿宋_GB2312"/>
          <w:b/>
          <w:bCs/>
          <w:color w:val="auto"/>
          <w:sz w:val="20"/>
          <w:szCs w:val="20"/>
          <w:highlight w:val="none"/>
          <w:lang w:eastAsia="zh-CN"/>
        </w:rPr>
        <w:t>为准，投资须谨慎；如发生最不利情况，投资者将损失全部本金。</w:t>
      </w:r>
    </w:p>
    <w:p w14:paraId="6003C42E">
      <w:pPr>
        <w:pStyle w:val="3"/>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left="0" w:right="153" w:firstLine="402" w:firstLineChars="200"/>
        <w:jc w:val="both"/>
        <w:textAlignment w:val="auto"/>
        <w:rPr>
          <w:rFonts w:hint="default" w:ascii="仿宋_GB2312" w:eastAsia="仿宋_GB2312" w:cs="Times New Roman" w:hAnsiTheme="minorEastAsia"/>
          <w:b/>
          <w:bCs/>
          <w:color w:val="auto"/>
          <w:sz w:val="20"/>
          <w:szCs w:val="18"/>
          <w:highlight w:val="none"/>
          <w:lang w:eastAsia="zh-CN"/>
        </w:rPr>
      </w:pPr>
      <w:r>
        <w:rPr>
          <w:rFonts w:hint="default" w:ascii="仿宋_GB2312" w:eastAsia="仿宋_GB2312" w:cs="Times New Roman" w:hAnsiTheme="minorEastAsia"/>
          <w:b/>
          <w:bCs/>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产品历史业绩不代表其未来表现，不等于理财产品实际收益，更不构成本产品业绩表现的保证，投资须谨慎。</w:t>
      </w:r>
    </w:p>
    <w:p w14:paraId="443E9EC3">
      <w:pPr>
        <w:pStyle w:val="3"/>
        <w:spacing w:before="0"/>
        <w:ind w:left="0" w:right="153" w:firstLine="402" w:firstLineChars="200"/>
        <w:jc w:val="both"/>
        <w:rPr>
          <w:rFonts w:ascii="仿宋_GB2312" w:hAnsi="仿宋_GB2312" w:eastAsia="仿宋_GB2312" w:cs="仿宋_GB2312"/>
          <w:b/>
          <w:color w:val="auto"/>
          <w:sz w:val="20"/>
          <w:szCs w:val="20"/>
          <w:highlight w:val="none"/>
          <w:lang w:eastAsia="zh-CN"/>
        </w:rPr>
      </w:pPr>
      <w:r>
        <w:rPr>
          <w:rFonts w:hint="eastAsia" w:ascii="仿宋_GB2312" w:hAnsi="仿宋_GB2312" w:eastAsia="仿宋_GB2312" w:cs="仿宋_GB2312"/>
          <w:b/>
          <w:color w:val="auto"/>
          <w:sz w:val="20"/>
          <w:szCs w:val="20"/>
          <w:highlight w:val="none"/>
          <w:lang w:eastAsia="zh-CN"/>
        </w:rPr>
        <w:t>（</w:t>
      </w:r>
      <w:r>
        <w:rPr>
          <w:rFonts w:hint="eastAsia" w:ascii="仿宋_GB2312" w:hAnsi="仿宋_GB2312" w:eastAsia="仿宋_GB2312" w:cs="仿宋_GB2312"/>
          <w:b/>
          <w:color w:val="auto"/>
          <w:sz w:val="20"/>
          <w:szCs w:val="20"/>
          <w:highlight w:val="none"/>
          <w:lang w:val="en-US" w:eastAsia="zh-CN"/>
        </w:rPr>
        <w:t>三</w:t>
      </w:r>
      <w:r>
        <w:rPr>
          <w:rFonts w:hint="eastAsia" w:ascii="仿宋_GB2312" w:hAnsi="仿宋_GB2312" w:eastAsia="仿宋_GB2312" w:cs="仿宋_GB2312"/>
          <w:b/>
          <w:color w:val="auto"/>
          <w:sz w:val="20"/>
          <w:szCs w:val="20"/>
          <w:highlight w:val="none"/>
          <w:lang w:eastAsia="zh-CN"/>
        </w:rPr>
        <w:t>）税收</w:t>
      </w:r>
    </w:p>
    <w:p w14:paraId="3BDF7DAE">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40E8799A">
      <w:pPr>
        <w:pStyle w:val="16"/>
        <w:ind w:left="0" w:right="151" w:firstLine="480" w:firstLineChars="200"/>
        <w:jc w:val="both"/>
        <w:rPr>
          <w:rFonts w:ascii="Times New Roman" w:hAnsi="Times New Roman" w:eastAsia="黑体" w:cs="Times New Roman"/>
          <w:color w:val="auto"/>
          <w:highlight w:val="none"/>
          <w:lang w:eastAsia="zh-CN"/>
        </w:rPr>
      </w:pPr>
      <w:r>
        <w:rPr>
          <w:rFonts w:hint="eastAsia" w:ascii="Times New Roman" w:hAnsi="黑体" w:eastAsia="黑体" w:cs="Times New Roman"/>
          <w:color w:val="auto"/>
          <w:highlight w:val="none"/>
          <w:lang w:val="en-US" w:eastAsia="zh-CN"/>
        </w:rPr>
        <w:t>八</w:t>
      </w:r>
      <w:r>
        <w:rPr>
          <w:rFonts w:ascii="Times New Roman" w:hAnsi="黑体" w:eastAsia="黑体" w:cs="Times New Roman"/>
          <w:color w:val="auto"/>
          <w:highlight w:val="none"/>
          <w:lang w:eastAsia="zh-CN"/>
        </w:rPr>
        <w:t>、提前终止</w:t>
      </w:r>
    </w:p>
    <w:p w14:paraId="71395B79">
      <w:pPr>
        <w:pStyle w:val="3"/>
        <w:spacing w:before="0"/>
        <w:ind w:left="0" w:right="151" w:firstLine="402" w:firstLineChars="200"/>
        <w:jc w:val="both"/>
        <w:rPr>
          <w:rFonts w:ascii="仿宋_GB2312" w:eastAsia="仿宋_GB2312" w:cs="Times New Roman" w:hAnsiTheme="minorEastAsia"/>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一</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投资者在产品开放期内可对理财产品进行赎回，除正常赎回外，投资者无权提前终止该产品。</w:t>
      </w:r>
    </w:p>
    <w:p w14:paraId="38B313C8">
      <w:pPr>
        <w:pStyle w:val="3"/>
        <w:spacing w:before="0"/>
        <w:ind w:left="0" w:right="151" w:firstLine="402" w:firstLineChars="200"/>
        <w:jc w:val="both"/>
        <w:rPr>
          <w:rFonts w:ascii="仿宋_GB2312" w:eastAsia="仿宋_GB2312" w:cs="Times New Roman" w:hAnsiTheme="minorEastAsia"/>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u w:val="none"/>
          <w:lang w:val="en-US" w:eastAsia="zh-CN"/>
        </w:rPr>
        <w:t>3</w:t>
      </w:r>
      <w:r>
        <w:rPr>
          <w:rFonts w:ascii="仿宋_GB2312" w:eastAsia="仿宋_GB2312" w:cs="Times New Roman" w:hAnsiTheme="minorEastAsia"/>
          <w:b/>
          <w:color w:val="auto"/>
          <w:sz w:val="20"/>
          <w:szCs w:val="20"/>
          <w:highlight w:val="none"/>
          <w:lang w:eastAsia="zh-CN"/>
        </w:rPr>
        <w:t>个工作日</w:t>
      </w:r>
      <w:r>
        <w:rPr>
          <w:rFonts w:hint="eastAsia" w:ascii="仿宋_GB2312" w:eastAsia="仿宋_GB2312" w:cs="Times New Roman" w:hAnsiTheme="minorEastAsia"/>
          <w:b/>
          <w:bCs w:val="0"/>
          <w:color w:val="auto"/>
          <w:sz w:val="20"/>
          <w:szCs w:val="20"/>
          <w:highlight w:val="none"/>
          <w:lang w:val="en-US" w:eastAsia="zh-CN"/>
        </w:rPr>
        <w:t>内通过贵阳农商银行官方网站等渠道公布，</w:t>
      </w:r>
      <w:r>
        <w:rPr>
          <w:rFonts w:ascii="仿宋_GB2312" w:eastAsia="仿宋_GB2312" w:cs="Times New Roman" w:hAnsiTheme="minorEastAsia"/>
          <w:b/>
          <w:color w:val="auto"/>
          <w:sz w:val="20"/>
          <w:szCs w:val="20"/>
          <w:highlight w:val="none"/>
          <w:lang w:eastAsia="zh-CN"/>
        </w:rPr>
        <w:t>并在提前终止日后</w:t>
      </w:r>
      <w:r>
        <w:rPr>
          <w:rFonts w:hint="eastAsia" w:ascii="仿宋_GB2312" w:hAnsi="Times New Roman" w:eastAsia="仿宋_GB2312" w:cs="Times New Roman"/>
          <w:b/>
          <w:bCs/>
          <w:sz w:val="20"/>
          <w:u w:val="none"/>
          <w:lang w:val="en-US" w:eastAsia="zh-CN"/>
        </w:rPr>
        <w:t>3</w:t>
      </w:r>
      <w:r>
        <w:rPr>
          <w:rFonts w:ascii="仿宋_GB2312" w:eastAsia="仿宋_GB2312" w:cs="Times New Roman" w:hAnsiTheme="minorEastAsia"/>
          <w:b/>
          <w:color w:val="auto"/>
          <w:sz w:val="20"/>
          <w:szCs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w:t>
      </w:r>
      <w:r>
        <w:rPr>
          <w:rFonts w:hint="eastAsia" w:ascii="仿宋_GB2312" w:eastAsia="仿宋_GB2312" w:cs="Times New Roman" w:hAnsiTheme="minorEastAsia"/>
          <w:b/>
          <w:color w:val="auto"/>
          <w:sz w:val="20"/>
          <w:szCs w:val="20"/>
          <w:highlight w:val="none"/>
          <w:lang w:val="en-US" w:eastAsia="zh-CN"/>
        </w:rPr>
        <w:t>/申购</w:t>
      </w:r>
      <w:r>
        <w:rPr>
          <w:rFonts w:hint="eastAsia" w:ascii="仿宋_GB2312" w:eastAsia="仿宋_GB2312" w:cs="Times New Roman" w:hAnsiTheme="minorEastAsia"/>
          <w:b/>
          <w:sz w:val="20"/>
          <w:highlight w:val="none"/>
          <w:lang w:val="en-US" w:eastAsia="zh-CN"/>
        </w:rPr>
        <w:t>账户。</w:t>
      </w:r>
      <w:r>
        <w:rPr>
          <w:rFonts w:ascii="仿宋_GB2312" w:eastAsia="仿宋_GB2312" w:cs="Times New Roman" w:hAnsiTheme="minorEastAsia"/>
          <w:b/>
          <w:color w:val="auto"/>
          <w:sz w:val="20"/>
          <w:szCs w:val="20"/>
          <w:highlight w:val="none"/>
          <w:lang w:eastAsia="zh-CN"/>
        </w:rPr>
        <w:t>终止日至资金实际到账日之间，</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资金</w:t>
      </w:r>
      <w:r>
        <w:rPr>
          <w:rFonts w:ascii="仿宋_GB2312" w:eastAsia="仿宋_GB2312" w:cs="Times New Roman" w:hAnsiTheme="minorEastAsia"/>
          <w:b/>
          <w:color w:val="auto"/>
          <w:sz w:val="20"/>
          <w:szCs w:val="20"/>
          <w:highlight w:val="none"/>
          <w:u w:val="none"/>
          <w:lang w:eastAsia="zh-CN"/>
        </w:rPr>
        <w:t>不计息</w:t>
      </w:r>
      <w:r>
        <w:rPr>
          <w:rFonts w:ascii="仿宋_GB2312" w:eastAsia="仿宋_GB2312" w:cs="Times New Roman" w:hAnsiTheme="minorEastAsia"/>
          <w:b/>
          <w:color w:val="auto"/>
          <w:sz w:val="20"/>
          <w:szCs w:val="20"/>
          <w:highlight w:val="none"/>
          <w:lang w:eastAsia="zh-CN"/>
        </w:rPr>
        <w:t>。</w:t>
      </w:r>
    </w:p>
    <w:p w14:paraId="499ED8F1">
      <w:pPr>
        <w:pStyle w:val="3"/>
        <w:spacing w:before="0"/>
        <w:ind w:left="0" w:right="151" w:firstLine="402" w:firstLineChars="200"/>
        <w:jc w:val="both"/>
        <w:rPr>
          <w:rFonts w:ascii="仿宋_GB2312" w:hAnsi="Times New Roman" w:eastAsia="仿宋_GB2312" w:cs="Times New Roman"/>
          <w:bCs/>
          <w:color w:val="auto"/>
          <w:sz w:val="20"/>
          <w:szCs w:val="20"/>
          <w:highlight w:val="none"/>
          <w:lang w:eastAsia="zh-CN"/>
        </w:rPr>
      </w:pPr>
      <w:r>
        <w:rPr>
          <w:rFonts w:hint="eastAsia" w:ascii="仿宋_GB2312" w:eastAsia="仿宋_GB2312" w:cs="Times New Roman" w:hAnsiTheme="minorEastAsia"/>
          <w:b/>
          <w:bCs w:val="0"/>
          <w:color w:val="auto"/>
          <w:sz w:val="20"/>
          <w:szCs w:val="20"/>
          <w:highlight w:val="none"/>
          <w:lang w:eastAsia="zh-CN"/>
        </w:rPr>
        <w:t>（</w:t>
      </w:r>
      <w:r>
        <w:rPr>
          <w:rFonts w:hint="eastAsia" w:ascii="仿宋_GB2312" w:eastAsia="仿宋_GB2312" w:cs="Times New Roman" w:hAnsiTheme="minorEastAsia"/>
          <w:b/>
          <w:bCs w:val="0"/>
          <w:color w:val="auto"/>
          <w:sz w:val="20"/>
          <w:szCs w:val="20"/>
          <w:highlight w:val="none"/>
          <w:lang w:val="en-US" w:eastAsia="zh-CN"/>
        </w:rPr>
        <w:t>三）</w:t>
      </w:r>
      <w:r>
        <w:rPr>
          <w:rFonts w:ascii="仿宋_GB2312" w:eastAsia="仿宋_GB2312" w:cs="Times New Roman" w:hAnsiTheme="minorEastAsia"/>
          <w:b/>
          <w:bCs w:val="0"/>
          <w:color w:val="auto"/>
          <w:sz w:val="20"/>
          <w:szCs w:val="20"/>
          <w:highlight w:val="none"/>
          <w:lang w:eastAsia="zh-CN"/>
        </w:rPr>
        <w:t>贵阳农商银行提前终止本期产品的情形包括但不限于：</w:t>
      </w:r>
    </w:p>
    <w:p w14:paraId="3535527F">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1.产品存续规模低于</w:t>
      </w:r>
      <w:r>
        <w:rPr>
          <w:rFonts w:hint="eastAsia" w:ascii="仿宋_GB2312" w:hAnsi="仿宋_GB2312" w:eastAsia="仿宋_GB2312" w:cs="仿宋_GB2312"/>
          <w:b w:val="0"/>
          <w:bCs w:val="0"/>
          <w:color w:val="auto"/>
          <w:sz w:val="20"/>
          <w:szCs w:val="20"/>
          <w:highlight w:val="none"/>
          <w:u w:val="none"/>
          <w:lang w:val="en-US" w:eastAsia="zh-CN"/>
        </w:rPr>
        <w:t>1000</w:t>
      </w:r>
      <w:r>
        <w:rPr>
          <w:rFonts w:hint="eastAsia" w:ascii="仿宋_GB2312" w:hAnsi="仿宋_GB2312" w:eastAsia="仿宋_GB2312" w:cs="仿宋_GB2312"/>
          <w:color w:val="auto"/>
          <w:sz w:val="20"/>
          <w:szCs w:val="20"/>
          <w:highlight w:val="none"/>
          <w:u w:val="none"/>
          <w:lang w:val="en-US" w:eastAsia="zh-CN"/>
        </w:rPr>
        <w:t>万元</w:t>
      </w:r>
      <w:r>
        <w:rPr>
          <w:rFonts w:hint="eastAsia" w:ascii="仿宋_GB2312" w:hAnsi="仿宋_GB2312" w:eastAsia="仿宋_GB2312" w:cs="仿宋_GB2312"/>
          <w:color w:val="auto"/>
          <w:sz w:val="20"/>
          <w:szCs w:val="20"/>
          <w:highlight w:val="none"/>
          <w:lang w:eastAsia="zh-CN"/>
        </w:rPr>
        <w:t>，产品可提前终止；</w:t>
      </w:r>
    </w:p>
    <w:p w14:paraId="775257D5">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2.因不可抗力原因导致理财产品无法继续运作；</w:t>
      </w:r>
    </w:p>
    <w:p w14:paraId="3AFB4D47">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3.遇有市场剧烈波动、异常风险事件等情形导致理财产品净值出现大幅波动或严重影响理财产品的资产安全；</w:t>
      </w:r>
    </w:p>
    <w:p w14:paraId="6801617A">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4.因投资者赎回导致理财产品剩余资产无法满足相关法律法规规定、所投资市场要求或</w:t>
      </w:r>
      <w:r>
        <w:rPr>
          <w:rFonts w:hint="eastAsia" w:ascii="仿宋_GB2312" w:hAnsi="仿宋_GB2312" w:eastAsia="仿宋_GB2312" w:cs="仿宋_GB2312"/>
          <w:color w:val="auto"/>
          <w:sz w:val="20"/>
          <w:szCs w:val="20"/>
          <w:highlight w:val="none"/>
          <w:lang w:val="en-US" w:eastAsia="zh-CN"/>
        </w:rPr>
        <w:t>与第三方签订的投资</w:t>
      </w:r>
      <w:r>
        <w:rPr>
          <w:rFonts w:hint="eastAsia" w:ascii="仿宋_GB2312" w:hAnsi="仿宋_GB2312" w:eastAsia="仿宋_GB2312" w:cs="仿宋_GB2312"/>
          <w:color w:val="auto"/>
          <w:sz w:val="20"/>
          <w:szCs w:val="20"/>
          <w:highlight w:val="none"/>
          <w:lang w:eastAsia="zh-CN"/>
        </w:rPr>
        <w:t>协议等相关法律文件约定，或者继续存续无法实现投资目标；</w:t>
      </w:r>
    </w:p>
    <w:p w14:paraId="68B17ADC">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5.因相关投资管理机构解散、破产、撤销、被取消业务资格等原因无法继续履行相应职责导致产品无法继续运作；</w:t>
      </w:r>
    </w:p>
    <w:p w14:paraId="589FBEF6">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6.相关投资管理机构或运用理财资金的第三方主体实施符合法律法规规定或</w:t>
      </w:r>
      <w:r>
        <w:rPr>
          <w:rFonts w:hint="eastAsia" w:ascii="仿宋_GB2312" w:hAnsi="仿宋_GB2312" w:eastAsia="仿宋_GB2312" w:cs="仿宋_GB2312"/>
          <w:color w:val="auto"/>
          <w:sz w:val="20"/>
          <w:szCs w:val="20"/>
          <w:highlight w:val="none"/>
          <w:lang w:val="en-US" w:eastAsia="zh-CN"/>
        </w:rPr>
        <w:t>与第三方签订的投资</w:t>
      </w:r>
      <w:r>
        <w:rPr>
          <w:rFonts w:hint="eastAsia" w:ascii="仿宋_GB2312" w:hAnsi="仿宋_GB2312" w:eastAsia="仿宋_GB2312" w:cs="仿宋_GB2312"/>
          <w:color w:val="auto"/>
          <w:sz w:val="20"/>
          <w:szCs w:val="20"/>
          <w:highlight w:val="none"/>
          <w:lang w:eastAsia="zh-CN"/>
        </w:rPr>
        <w:t>协议等相关法律文件约定的行为导致理财产品被动提前终止；</w:t>
      </w:r>
    </w:p>
    <w:p w14:paraId="4B44D4C6">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7.因法律法规变化或国家金融政策调整、紧急措施出台影响产品继续正常运作；</w:t>
      </w:r>
    </w:p>
    <w:p w14:paraId="5390C2A7">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8.法律法规规定或监管部门认定的其他情形。</w:t>
      </w:r>
    </w:p>
    <w:p w14:paraId="3BF450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四</w:t>
      </w:r>
      <w:r>
        <w:rPr>
          <w:rFonts w:ascii="仿宋_GB2312" w:eastAsia="仿宋_GB2312" w:cs="Times New Roman" w:hAnsiTheme="minorEastAsia"/>
          <w:b/>
          <w:color w:val="auto"/>
          <w:sz w:val="20"/>
          <w:szCs w:val="20"/>
          <w:highlight w:val="none"/>
          <w:lang w:eastAsia="zh-CN"/>
        </w:rPr>
        <w:t>）提前终止时收益计算示例</w:t>
      </w:r>
    </w:p>
    <w:p w14:paraId="57AB679F">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假设</w:t>
      </w:r>
      <w:r>
        <w:rPr>
          <w:rFonts w:hint="eastAsia" w:ascii="仿宋_GB2312" w:hAnsi="仿宋_GB2312" w:eastAsia="仿宋_GB2312" w:cs="仿宋_GB2312"/>
          <w:color w:val="auto"/>
          <w:sz w:val="20"/>
          <w:szCs w:val="20"/>
          <w:highlight w:val="none"/>
          <w:lang w:val="en-US" w:eastAsia="zh-CN"/>
        </w:rPr>
        <w:t>投资者在</w:t>
      </w:r>
      <w:r>
        <w:rPr>
          <w:rFonts w:hint="eastAsia" w:ascii="仿宋_GB2312" w:hAnsi="仿宋_GB2312" w:eastAsia="仿宋_GB2312" w:cs="仿宋_GB2312"/>
          <w:color w:val="auto"/>
          <w:sz w:val="20"/>
          <w:szCs w:val="20"/>
          <w:highlight w:val="none"/>
          <w:lang w:eastAsia="zh-CN"/>
        </w:rPr>
        <w:t>产品提前终止日</w:t>
      </w:r>
      <w:r>
        <w:rPr>
          <w:rFonts w:hint="eastAsia" w:ascii="仿宋_GB2312" w:hAnsi="仿宋_GB2312" w:eastAsia="仿宋_GB2312" w:cs="仿宋_GB2312"/>
          <w:color w:val="auto"/>
          <w:sz w:val="20"/>
          <w:szCs w:val="20"/>
          <w:highlight w:val="none"/>
          <w:lang w:val="en-US" w:eastAsia="zh-CN"/>
        </w:rPr>
        <w:t>持有份额</w:t>
      </w:r>
      <w:r>
        <w:rPr>
          <w:rFonts w:hint="eastAsia" w:ascii="仿宋_GB2312" w:hAnsi="仿宋_GB2312" w:eastAsia="仿宋_GB2312" w:cs="仿宋_GB2312"/>
          <w:color w:val="auto"/>
          <w:sz w:val="20"/>
          <w:szCs w:val="20"/>
          <w:highlight w:val="none"/>
          <w:lang w:eastAsia="zh-CN"/>
        </w:rPr>
        <w:t>105</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65</w:t>
      </w:r>
      <w:r>
        <w:rPr>
          <w:rFonts w:hint="eastAsia" w:ascii="仿宋_GB2312" w:hAnsi="仿宋_GB2312" w:eastAsia="仿宋_GB2312" w:cs="仿宋_GB2312"/>
          <w:color w:val="auto"/>
          <w:sz w:val="20"/>
          <w:szCs w:val="20"/>
          <w:highlight w:val="none"/>
          <w:lang w:val="en-US" w:eastAsia="zh-CN"/>
        </w:rPr>
        <w:t>0.00</w:t>
      </w:r>
      <w:r>
        <w:rPr>
          <w:rFonts w:hint="eastAsia" w:ascii="仿宋_GB2312" w:hAnsi="仿宋_GB2312" w:eastAsia="仿宋_GB2312" w:cs="仿宋_GB2312"/>
          <w:color w:val="auto"/>
          <w:sz w:val="20"/>
          <w:szCs w:val="20"/>
          <w:highlight w:val="none"/>
          <w:lang w:eastAsia="zh-CN"/>
        </w:rPr>
        <w:t>份。则在提前终止日，投资者</w:t>
      </w:r>
      <w:r>
        <w:rPr>
          <w:rFonts w:hint="eastAsia" w:ascii="仿宋_GB2312" w:hAnsi="仿宋_GB2312" w:eastAsia="仿宋_GB2312" w:cs="仿宋_GB2312"/>
          <w:color w:val="auto"/>
          <w:sz w:val="20"/>
          <w:szCs w:val="20"/>
          <w:highlight w:val="none"/>
          <w:lang w:val="en-US" w:eastAsia="zh-CN"/>
        </w:rPr>
        <w:t>可得资金为</w:t>
      </w:r>
      <w:r>
        <w:rPr>
          <w:rFonts w:hint="eastAsia" w:ascii="仿宋_GB2312" w:hAnsi="仿宋_GB2312" w:eastAsia="仿宋_GB2312" w:cs="仿宋_GB2312"/>
          <w:color w:val="auto"/>
          <w:sz w:val="20"/>
          <w:szCs w:val="20"/>
          <w:highlight w:val="none"/>
          <w:lang w:eastAsia="zh-CN"/>
        </w:rPr>
        <w:t>：</w:t>
      </w:r>
    </w:p>
    <w:p w14:paraId="46DCB0D3">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投资者</w:t>
      </w:r>
      <w:r>
        <w:rPr>
          <w:rFonts w:hint="eastAsia" w:ascii="仿宋_GB2312" w:hAnsi="仿宋_GB2312" w:eastAsia="仿宋_GB2312" w:cs="仿宋_GB2312"/>
          <w:color w:val="auto"/>
          <w:sz w:val="20"/>
          <w:szCs w:val="20"/>
          <w:highlight w:val="none"/>
          <w:lang w:val="en-US" w:eastAsia="zh-CN"/>
        </w:rPr>
        <w:t>可得资金</w:t>
      </w:r>
      <w:r>
        <w:rPr>
          <w:rFonts w:hint="eastAsia" w:ascii="仿宋_GB2312" w:hAnsi="仿宋_GB2312" w:eastAsia="仿宋_GB2312" w:cs="仿宋_GB2312"/>
          <w:color w:val="auto"/>
          <w:sz w:val="20"/>
          <w:szCs w:val="20"/>
          <w:highlight w:val="none"/>
          <w:lang w:eastAsia="zh-CN"/>
        </w:rPr>
        <w:t>＝105</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65</w:t>
      </w:r>
      <w:r>
        <w:rPr>
          <w:rFonts w:hint="eastAsia" w:ascii="仿宋_GB2312" w:hAnsi="仿宋_GB2312" w:eastAsia="仿宋_GB2312" w:cs="仿宋_GB2312"/>
          <w:color w:val="auto"/>
          <w:sz w:val="20"/>
          <w:szCs w:val="20"/>
          <w:highlight w:val="none"/>
          <w:lang w:val="en-US" w:eastAsia="zh-CN"/>
        </w:rPr>
        <w:t>0.00</w:t>
      </w:r>
      <w:r>
        <w:rPr>
          <w:rFonts w:ascii="仿宋_GB2312" w:eastAsia="仿宋_GB2312" w:cs="Times New Roman" w:hAnsiTheme="minorEastAsia"/>
          <w:color w:val="auto"/>
          <w:sz w:val="20"/>
          <w:highlight w:val="none"/>
          <w:u w:val="none"/>
          <w:lang w:eastAsia="zh-CN"/>
        </w:rPr>
        <w:t>×</w:t>
      </w:r>
      <w:r>
        <w:rPr>
          <w:rFonts w:hint="eastAsia" w:ascii="仿宋_GB2312" w:hAnsi="仿宋_GB2312" w:eastAsia="仿宋_GB2312" w:cs="仿宋_GB2312"/>
          <w:color w:val="auto"/>
          <w:sz w:val="20"/>
          <w:szCs w:val="20"/>
          <w:highlight w:val="none"/>
          <w:lang w:eastAsia="zh-CN"/>
        </w:rPr>
        <w:t>1.</w:t>
      </w:r>
      <w:r>
        <w:rPr>
          <w:rFonts w:hint="eastAsia" w:ascii="仿宋_GB2312" w:hAnsi="仿宋_GB2312" w:eastAsia="仿宋_GB2312" w:cs="仿宋_GB2312"/>
          <w:color w:val="auto"/>
          <w:sz w:val="20"/>
          <w:szCs w:val="20"/>
          <w:highlight w:val="none"/>
          <w:lang w:val="en-US" w:eastAsia="zh-CN"/>
        </w:rPr>
        <w:t>00</w:t>
      </w:r>
      <w:r>
        <w:rPr>
          <w:rFonts w:hint="eastAsia" w:ascii="仿宋_GB2312" w:hAnsi="仿宋_GB2312" w:eastAsia="仿宋_GB2312" w:cs="仿宋_GB2312"/>
          <w:color w:val="auto"/>
          <w:sz w:val="20"/>
          <w:szCs w:val="20"/>
          <w:highlight w:val="none"/>
          <w:lang w:eastAsia="zh-CN"/>
        </w:rPr>
        <w:t>=105,650.00（元）</w:t>
      </w:r>
    </w:p>
    <w:p w14:paraId="12277F23">
      <w:pPr>
        <w:pStyle w:val="3"/>
        <w:spacing w:before="0"/>
        <w:ind w:left="0" w:right="151" w:firstLine="390" w:firstLineChars="200"/>
        <w:jc w:val="both"/>
        <w:rPr>
          <w:rFonts w:ascii="Times New Roman" w:hAnsi="Times New Roman" w:cs="Times New Roman" w:eastAsiaTheme="minorEastAsia"/>
          <w:color w:val="auto"/>
          <w:sz w:val="20"/>
          <w:szCs w:val="20"/>
          <w:highlight w:val="none"/>
          <w:lang w:eastAsia="zh-CN"/>
        </w:rPr>
      </w:pPr>
      <w:r>
        <w:rPr>
          <w:rFonts w:ascii="仿宋_GB2312" w:eastAsia="仿宋_GB2312" w:cs="Times New Roman" w:hAnsiTheme="minorEastAsia"/>
          <w:b/>
          <w:color w:val="auto"/>
          <w:spacing w:val="-3"/>
          <w:sz w:val="20"/>
          <w:szCs w:val="20"/>
          <w:highlight w:val="none"/>
          <w:lang w:eastAsia="zh-CN"/>
        </w:rPr>
        <w:t>上述示例采用假设数据计算，</w:t>
      </w:r>
      <w:r>
        <w:rPr>
          <w:rFonts w:hint="eastAsia" w:ascii="仿宋_GB2312" w:hAnsi="仿宋_GB2312" w:eastAsia="仿宋_GB2312" w:cs="仿宋_GB2312"/>
          <w:b/>
          <w:bCs/>
          <w:color w:val="auto"/>
          <w:sz w:val="20"/>
          <w:szCs w:val="20"/>
          <w:highlight w:val="none"/>
          <w:lang w:val="en-US" w:eastAsia="zh-CN"/>
        </w:rPr>
        <w:t>仅作为告知投资者公式计算方法使用，但</w:t>
      </w:r>
      <w:r>
        <w:rPr>
          <w:rFonts w:ascii="仿宋_GB2312" w:eastAsia="仿宋_GB2312" w:cs="Times New Roman" w:hAnsiTheme="minorEastAsia"/>
          <w:b/>
          <w:color w:val="auto"/>
          <w:spacing w:val="-3"/>
          <w:sz w:val="20"/>
          <w:szCs w:val="20"/>
          <w:highlight w:val="none"/>
          <w:lang w:eastAsia="zh-CN"/>
        </w:rPr>
        <w:t>测算收益不等于实际收益，</w:t>
      </w:r>
      <w:r>
        <w:rPr>
          <w:rFonts w:hint="eastAsia" w:ascii="仿宋_GB2312" w:eastAsia="仿宋_GB2312" w:cs="Times New Roman" w:hAnsiTheme="minorEastAsia"/>
          <w:b/>
          <w:color w:val="auto"/>
          <w:sz w:val="20"/>
          <w:szCs w:val="20"/>
          <w:highlight w:val="none"/>
          <w:lang w:eastAsia="zh-CN"/>
        </w:rPr>
        <w:t>实际收益以</w:t>
      </w:r>
      <w:r>
        <w:rPr>
          <w:rFonts w:hint="eastAsia" w:ascii="仿宋_GB2312" w:eastAsia="仿宋_GB2312" w:cs="Times New Roman" w:hAnsiTheme="minorEastAsia"/>
          <w:b/>
          <w:color w:val="auto"/>
          <w:sz w:val="20"/>
          <w:szCs w:val="20"/>
          <w:highlight w:val="none"/>
          <w:lang w:val="en-US" w:eastAsia="zh-CN"/>
        </w:rPr>
        <w:t>兑付</w:t>
      </w:r>
      <w:r>
        <w:rPr>
          <w:rFonts w:hint="eastAsia" w:ascii="仿宋_GB2312" w:eastAsia="仿宋_GB2312" w:cs="Times New Roman" w:hAnsiTheme="minorEastAsia"/>
          <w:b/>
          <w:color w:val="auto"/>
          <w:sz w:val="20"/>
          <w:szCs w:val="20"/>
          <w:highlight w:val="none"/>
          <w:lang w:eastAsia="zh-CN"/>
        </w:rPr>
        <w:t>为准，</w:t>
      </w:r>
      <w:r>
        <w:rPr>
          <w:rFonts w:hint="eastAsia" w:ascii="仿宋_GB2312" w:eastAsia="仿宋_GB2312" w:cs="Times New Roman" w:hAnsiTheme="minorEastAsia"/>
          <w:b/>
          <w:color w:val="auto"/>
          <w:spacing w:val="-3"/>
          <w:sz w:val="20"/>
          <w:szCs w:val="20"/>
          <w:highlight w:val="none"/>
          <w:lang w:eastAsia="zh-CN"/>
        </w:rPr>
        <w:t>投资须谨慎；如发生最不利情况，投资者将损失全部本金。</w:t>
      </w:r>
    </w:p>
    <w:p w14:paraId="57C56AAD">
      <w:pPr>
        <w:pStyle w:val="16"/>
        <w:ind w:left="0" w:right="153" w:firstLine="480" w:firstLineChars="200"/>
        <w:jc w:val="both"/>
        <w:rPr>
          <w:rFonts w:ascii="Times New Roman" w:hAnsi="Times New Roman" w:eastAsia="黑体" w:cs="Times New Roman"/>
          <w:color w:val="auto"/>
          <w:highlight w:val="none"/>
          <w:lang w:eastAsia="zh-CN"/>
        </w:rPr>
      </w:pPr>
      <w:r>
        <w:rPr>
          <w:rFonts w:hint="eastAsia" w:ascii="Times New Roman" w:hAnsi="黑体" w:eastAsia="黑体" w:cs="Times New Roman"/>
          <w:color w:val="auto"/>
          <w:highlight w:val="none"/>
          <w:lang w:val="en-US" w:eastAsia="zh-CN"/>
        </w:rPr>
        <w:t>九</w:t>
      </w:r>
      <w:r>
        <w:rPr>
          <w:rFonts w:ascii="Times New Roman" w:hAnsi="黑体" w:eastAsia="黑体" w:cs="Times New Roman"/>
          <w:color w:val="auto"/>
          <w:highlight w:val="none"/>
          <w:lang w:eastAsia="zh-CN"/>
        </w:rPr>
        <w:t>、信息披露</w:t>
      </w:r>
    </w:p>
    <w:p w14:paraId="72135D21">
      <w:pPr>
        <w:pStyle w:val="3"/>
        <w:spacing w:before="0"/>
        <w:ind w:left="0" w:right="153" w:firstLine="400" w:firstLineChars="200"/>
        <w:jc w:val="both"/>
        <w:rPr>
          <w:rFonts w:hint="eastAsia" w:ascii="仿宋_GB2312" w:eastAsia="仿宋_GB2312" w:cs="Times New Roman" w:hAnsiTheme="minorEastAsia"/>
          <w:b w:val="0"/>
          <w:bCs w:val="0"/>
          <w:color w:val="auto"/>
          <w:sz w:val="20"/>
          <w:highlight w:val="none"/>
          <w:lang w:eastAsia="zh-CN"/>
        </w:rPr>
      </w:pPr>
      <w:r>
        <w:rPr>
          <w:rFonts w:hint="eastAsia" w:ascii="仿宋_GB2312" w:eastAsia="仿宋_GB2312" w:cs="Times New Roman" w:hAnsiTheme="minorEastAsia"/>
          <w:b w:val="0"/>
          <w:bCs w:val="0"/>
          <w:color w:val="auto"/>
          <w:sz w:val="20"/>
          <w:highlight w:val="none"/>
          <w:lang w:eastAsia="zh-CN"/>
        </w:rPr>
        <w:t>（</w:t>
      </w:r>
      <w:r>
        <w:rPr>
          <w:rFonts w:hint="eastAsia" w:ascii="仿宋_GB2312" w:eastAsia="仿宋_GB2312" w:cs="Times New Roman" w:hAnsiTheme="minorEastAsia"/>
          <w:b w:val="0"/>
          <w:bCs w:val="0"/>
          <w:color w:val="auto"/>
          <w:sz w:val="20"/>
          <w:highlight w:val="none"/>
          <w:lang w:val="en-US" w:eastAsia="zh-CN"/>
        </w:rPr>
        <w:t>一</w:t>
      </w:r>
      <w:r>
        <w:rPr>
          <w:rFonts w:hint="eastAsia" w:ascii="仿宋_GB2312" w:eastAsia="仿宋_GB2312" w:cs="Times New Roman" w:hAnsiTheme="minorEastAsia"/>
          <w:b w:val="0"/>
          <w:bCs w:val="0"/>
          <w:color w:val="auto"/>
          <w:sz w:val="20"/>
          <w:highlight w:val="none"/>
          <w:lang w:eastAsia="zh-CN"/>
        </w:rPr>
        <w:t>）信息披露的渠道</w:t>
      </w:r>
    </w:p>
    <w:p w14:paraId="0F1796FD">
      <w:pPr>
        <w:pStyle w:val="3"/>
        <w:keepNext w:val="0"/>
        <w:keepLines w:val="0"/>
        <w:pageBreakBefore w:val="0"/>
        <w:widowControl w:val="0"/>
        <w:kinsoku/>
        <w:wordWrap w:val="0"/>
        <w:overflowPunct/>
        <w:topLinePunct w:val="0"/>
        <w:autoSpaceDE/>
        <w:autoSpaceDN/>
        <w:bidi w:val="0"/>
        <w:adjustRightInd/>
        <w:snapToGrid/>
        <w:spacing w:before="0"/>
        <w:ind w:left="0" w:right="153" w:firstLine="400" w:firstLineChars="200"/>
        <w:jc w:val="both"/>
        <w:textAlignment w:val="auto"/>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理财产品存续期间，产品相关信息将</w:t>
      </w:r>
      <w:r>
        <w:rPr>
          <w:rFonts w:ascii="仿宋_GB2312" w:eastAsia="仿宋_GB2312" w:cs="Times New Roman" w:hAnsiTheme="minorEastAsia"/>
          <w:color w:val="auto"/>
          <w:sz w:val="20"/>
          <w:highlight w:val="none"/>
          <w:lang w:eastAsia="zh-CN"/>
        </w:rPr>
        <w:t>通过贵阳农商银行</w:t>
      </w:r>
      <w:r>
        <w:rPr>
          <w:rFonts w:hint="eastAsia" w:ascii="仿宋_GB2312" w:eastAsia="仿宋_GB2312" w:cs="Times New Roman" w:hAnsiTheme="minorEastAsia"/>
          <w:color w:val="auto"/>
          <w:sz w:val="20"/>
          <w:highlight w:val="none"/>
          <w:lang w:val="en-US" w:eastAsia="zh-CN"/>
        </w:rPr>
        <w:t>官方</w:t>
      </w:r>
      <w:r>
        <w:rPr>
          <w:rFonts w:ascii="仿宋_GB2312" w:eastAsia="仿宋_GB2312" w:cs="Times New Roman" w:hAnsiTheme="minorEastAsia"/>
          <w:color w:val="auto"/>
          <w:sz w:val="20"/>
          <w:highlight w:val="none"/>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color w:val="auto"/>
          <w:sz w:val="20"/>
          <w:highlight w:val="none"/>
          <w:lang w:eastAsia="zh-CN"/>
        </w:rPr>
        <w:t>）</w:t>
      </w:r>
      <w:r>
        <w:rPr>
          <w:rFonts w:hint="default" w:ascii="仿宋_GB2312" w:eastAsia="仿宋_GB2312" w:cs="Times New Roman" w:hAnsiTheme="minorEastAsia"/>
          <w:b w:val="0"/>
          <w:bCs w:val="0"/>
          <w:color w:val="auto"/>
          <w:sz w:val="20"/>
          <w:szCs w:val="18"/>
          <w:highlight w:val="none"/>
          <w:lang w:val="en-US" w:eastAsia="zh-CN"/>
        </w:rPr>
        <w:t>等渠道</w:t>
      </w:r>
      <w:r>
        <w:rPr>
          <w:rFonts w:hint="eastAsia" w:ascii="仿宋_GB2312" w:eastAsia="仿宋_GB2312" w:cs="Times New Roman" w:hAnsiTheme="minorEastAsia"/>
          <w:color w:val="auto"/>
          <w:sz w:val="20"/>
          <w:highlight w:val="none"/>
          <w:lang w:eastAsia="zh-CN"/>
        </w:rPr>
        <w:t>（以下简称“相关披露渠道”）发布。为保障投资者获取信息的准确性，产品信息内容以上述贵阳农商银行官方渠道发布为准。</w:t>
      </w:r>
    </w:p>
    <w:p w14:paraId="0BF04A0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w:t>
      </w:r>
      <w:r>
        <w:rPr>
          <w:rFonts w:hint="eastAsia" w:ascii="仿宋_GB2312" w:eastAsia="仿宋_GB2312" w:cs="Times New Roman" w:hAnsiTheme="minorEastAsia"/>
          <w:color w:val="auto"/>
          <w:sz w:val="20"/>
          <w:highlight w:val="none"/>
          <w:lang w:val="en-US" w:eastAsia="zh-CN"/>
        </w:rPr>
        <w:t>二</w:t>
      </w:r>
      <w:r>
        <w:rPr>
          <w:rFonts w:hint="eastAsia" w:ascii="仿宋_GB2312" w:eastAsia="仿宋_GB2312" w:cs="Times New Roman" w:hAnsiTheme="minorEastAsia"/>
          <w:color w:val="auto"/>
          <w:sz w:val="20"/>
          <w:highlight w:val="none"/>
          <w:lang w:eastAsia="zh-CN"/>
        </w:rPr>
        <w:t>）信息披露的时间和内容</w:t>
      </w:r>
    </w:p>
    <w:p w14:paraId="0907A17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1618EC9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FEF7B9B">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3.</w:t>
      </w:r>
      <w:r>
        <w:rPr>
          <w:rFonts w:hint="eastAsia" w:ascii="仿宋_GB2312" w:eastAsia="仿宋_GB2312" w:cs="Times New Roman" w:hAnsiTheme="minorEastAsia"/>
          <w:color w:val="auto"/>
          <w:sz w:val="20"/>
          <w:highlight w:val="none"/>
          <w:lang w:eastAsia="zh-CN"/>
        </w:rPr>
        <w:t>净值公告：在每个</w:t>
      </w:r>
      <w:r>
        <w:rPr>
          <w:rFonts w:hint="eastAsia" w:ascii="仿宋_GB2312" w:eastAsia="仿宋_GB2312" w:cs="Times New Roman" w:hAnsiTheme="minorEastAsia"/>
          <w:color w:val="auto"/>
          <w:sz w:val="20"/>
          <w:highlight w:val="none"/>
          <w:lang w:val="en-US" w:eastAsia="zh-CN"/>
        </w:rPr>
        <w:t>开放日</w:t>
      </w:r>
      <w:r>
        <w:rPr>
          <w:rFonts w:hint="eastAsia" w:ascii="仿宋_GB2312" w:eastAsia="仿宋_GB2312" w:cs="Times New Roman" w:hAnsiTheme="minorEastAsia"/>
          <w:color w:val="auto"/>
          <w:sz w:val="20"/>
          <w:highlight w:val="none"/>
          <w:lang w:eastAsia="zh-CN"/>
        </w:rPr>
        <w:t>结束后</w:t>
      </w:r>
      <w:r>
        <w:rPr>
          <w:rFonts w:hint="eastAsia" w:ascii="仿宋_GB2312" w:eastAsia="仿宋_GB2312" w:cs="Times New Roman" w:hAnsiTheme="minorEastAsia"/>
          <w:b w:val="0"/>
          <w:bCs w:val="0"/>
          <w:color w:val="auto"/>
          <w:sz w:val="20"/>
          <w:highlight w:val="none"/>
          <w:lang w:eastAsia="zh-CN"/>
        </w:rPr>
        <w:t>2</w:t>
      </w:r>
      <w:r>
        <w:rPr>
          <w:rFonts w:hint="eastAsia" w:ascii="仿宋_GB2312" w:eastAsia="仿宋_GB2312" w:cs="Times New Roman" w:hAnsiTheme="minorEastAsia"/>
          <w:color w:val="auto"/>
          <w:sz w:val="20"/>
          <w:highlight w:val="none"/>
          <w:lang w:eastAsia="zh-CN"/>
        </w:rPr>
        <w:t>个工作日内披露。披露内容包括本理财产品在</w:t>
      </w:r>
      <w:r>
        <w:rPr>
          <w:rFonts w:hint="eastAsia" w:ascii="仿宋_GB2312" w:eastAsia="仿宋_GB2312" w:cs="Times New Roman" w:hAnsiTheme="minorEastAsia"/>
          <w:color w:val="auto"/>
          <w:sz w:val="20"/>
          <w:highlight w:val="none"/>
          <w:lang w:val="en-US" w:eastAsia="zh-CN"/>
        </w:rPr>
        <w:t>开放日</w:t>
      </w:r>
      <w:r>
        <w:rPr>
          <w:rFonts w:hint="eastAsia" w:ascii="仿宋_GB2312" w:eastAsia="仿宋_GB2312" w:cs="Times New Roman" w:hAnsiTheme="minorEastAsia"/>
          <w:color w:val="auto"/>
          <w:sz w:val="20"/>
          <w:highlight w:val="none"/>
          <w:lang w:eastAsia="zh-CN"/>
        </w:rPr>
        <w:t>的份额净值、份额累计净值、</w:t>
      </w:r>
      <w:r>
        <w:rPr>
          <w:rFonts w:hint="eastAsia" w:ascii="仿宋_GB2312" w:eastAsia="仿宋_GB2312" w:cs="Times New Roman" w:hAnsiTheme="minorEastAsia"/>
          <w:color w:val="auto"/>
          <w:sz w:val="20"/>
          <w:highlight w:val="none"/>
          <w:lang w:val="en-US" w:eastAsia="zh-CN"/>
        </w:rPr>
        <w:t>申购/</w:t>
      </w:r>
      <w:r>
        <w:rPr>
          <w:rFonts w:hint="eastAsia" w:ascii="仿宋_GB2312" w:eastAsia="仿宋_GB2312" w:cs="Times New Roman" w:hAnsiTheme="minorEastAsia"/>
          <w:color w:val="auto"/>
          <w:sz w:val="20"/>
          <w:highlight w:val="none"/>
          <w:lang w:eastAsia="zh-CN"/>
        </w:rPr>
        <w:t>认购价格、赎回价格、每万份收益和7日年化收益率</w:t>
      </w:r>
      <w:r>
        <w:rPr>
          <w:rFonts w:hint="eastAsia" w:ascii="仿宋_GB2312" w:eastAsia="仿宋_GB2312" w:cs="Times New Roman" w:hAnsiTheme="minorEastAsia"/>
          <w:color w:val="auto"/>
          <w:sz w:val="20"/>
          <w:highlight w:val="none"/>
          <w:lang w:val="en-US" w:eastAsia="zh-CN"/>
        </w:rPr>
        <w:t>等信息</w:t>
      </w:r>
      <w:r>
        <w:rPr>
          <w:rFonts w:hint="eastAsia" w:ascii="仿宋_GB2312" w:eastAsia="仿宋_GB2312" w:cs="Times New Roman" w:hAnsiTheme="minorEastAsia"/>
          <w:color w:val="auto"/>
          <w:sz w:val="20"/>
          <w:highlight w:val="none"/>
          <w:lang w:eastAsia="zh-CN"/>
        </w:rPr>
        <w:t>。</w:t>
      </w:r>
    </w:p>
    <w:p w14:paraId="660B7FAE">
      <w:pPr>
        <w:pStyle w:val="3"/>
        <w:spacing w:before="0" w:beforeLines="-2147483648" w:after="0" w:afterLines="-2147483648"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val="en-US" w:eastAsia="zh-CN"/>
        </w:rPr>
        <w:t>4.</w:t>
      </w:r>
      <w:r>
        <w:rPr>
          <w:rFonts w:hint="eastAsia" w:ascii="仿宋_GB2312" w:eastAsia="仿宋_GB2312" w:cs="Times New Roman" w:hAnsiTheme="minorEastAsia"/>
          <w:color w:val="auto"/>
          <w:sz w:val="20"/>
          <w:highlight w:val="none"/>
          <w:lang w:eastAsia="zh-CN"/>
        </w:rPr>
        <w:t>临时公告：</w:t>
      </w:r>
      <w:r>
        <w:rPr>
          <w:rFonts w:hint="default" w:ascii="仿宋_GB2312" w:eastAsia="仿宋_GB2312" w:cs="Times New Roman" w:hAnsiTheme="minorEastAsia"/>
          <w:sz w:val="20"/>
          <w:highlight w:val="none"/>
          <w:lang w:eastAsia="zh-CN"/>
        </w:rPr>
        <w:t>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CB2FA1B">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2EC3A07">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产品管理人</w:t>
      </w:r>
      <w:r>
        <w:rPr>
          <w:rFonts w:hint="eastAsia" w:ascii="仿宋_GB2312" w:eastAsia="仿宋_GB2312" w:cs="Times New Roman" w:hAnsiTheme="minorEastAsia"/>
          <w:color w:val="auto"/>
          <w:sz w:val="20"/>
          <w:highlight w:val="none"/>
          <w:lang w:val="en-US" w:eastAsia="zh-CN"/>
        </w:rPr>
        <w:t>将</w:t>
      </w:r>
      <w:r>
        <w:rPr>
          <w:rFonts w:hint="eastAsia" w:ascii="仿宋_GB2312" w:eastAsia="仿宋_GB2312" w:cs="Times New Roman" w:hAnsiTheme="minorEastAsia"/>
          <w:color w:val="auto"/>
          <w:sz w:val="20"/>
          <w:highlight w:val="none"/>
          <w:lang w:eastAsia="zh-CN"/>
        </w:rPr>
        <w:t>在产品的半年和年度报告中，披露前10名投资者的类别、持有份额及占总份额的比例等信息。产品存续期间，如出现单一投资者持有产品份额达到或者超过本产品总份额20%的情形，为保障其他投资者的权益，管理人将在定期报告中披露该投资者的类别、持有份额及占比、持有份额变化情况及产品风险等信息，国家金融监督管理总局认定的特殊情形除外。</w:t>
      </w:r>
    </w:p>
    <w:p w14:paraId="382160C2">
      <w:pPr>
        <w:pStyle w:val="3"/>
        <w:spacing w:before="0" w:beforeLines="0" w:afterLines="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6.</w:t>
      </w:r>
      <w:r>
        <w:rPr>
          <w:rFonts w:hint="eastAsia" w:ascii="仿宋_GB2312" w:eastAsia="仿宋_GB2312" w:cs="Times New Roman" w:hAnsiTheme="minorEastAsia"/>
          <w:color w:val="auto"/>
          <w:sz w:val="20"/>
          <w:highlight w:val="none"/>
          <w:lang w:eastAsia="zh-CN"/>
        </w:rPr>
        <w:t>到期公告：</w:t>
      </w:r>
      <w:r>
        <w:rPr>
          <w:rFonts w:hint="default" w:ascii="仿宋_GB2312" w:eastAsia="仿宋_GB2312" w:cs="Times New Roman" w:hAnsiTheme="minorEastAsia"/>
          <w:sz w:val="20"/>
          <w:highlight w:val="none"/>
          <w:lang w:eastAsia="zh-CN"/>
        </w:rPr>
        <w:t>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2F123F8">
      <w:pPr>
        <w:pStyle w:val="3"/>
        <w:spacing w:before="0" w:beforeLines="0" w:afterLines="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color w:val="auto"/>
          <w:sz w:val="20"/>
          <w:highlight w:val="none"/>
          <w:lang w:val="en-US" w:eastAsia="zh-CN"/>
        </w:rPr>
        <w:t>.</w:t>
      </w:r>
      <w:r>
        <w:rPr>
          <w:rFonts w:hint="eastAsia" w:ascii="仿宋_GB2312" w:eastAsia="仿宋_GB2312" w:cs="Times New Roman" w:hAnsiTheme="minorEastAsia"/>
          <w:color w:val="auto"/>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4C03947A">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本产品拟投资于主体信用评级低于AA+的商业银行的银行存款与同业存单的，将作为重大事项履行信息披露程序。</w:t>
      </w:r>
    </w:p>
    <w:p w14:paraId="48F55E7C">
      <w:pPr>
        <w:pStyle w:val="3"/>
        <w:spacing w:before="0"/>
        <w:ind w:left="0" w:right="153"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8.</w:t>
      </w:r>
      <w:r>
        <w:rPr>
          <w:rFonts w:hint="eastAsia" w:ascii="仿宋_GB2312" w:eastAsia="仿宋_GB2312" w:cs="Times New Roman" w:hAnsiTheme="minorEastAsia"/>
          <w:b/>
          <w:bCs/>
          <w:color w:val="auto"/>
          <w:sz w:val="20"/>
          <w:highlight w:val="none"/>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金额、份额净值、收益情况、交易明细等信息</w:t>
      </w:r>
      <w:r>
        <w:rPr>
          <w:rFonts w:hint="eastAsia" w:ascii="仿宋_GB2312" w:eastAsia="仿宋_GB2312" w:cs="Times New Roman" w:hAnsiTheme="minorEastAsia"/>
          <w:b/>
          <w:bCs/>
          <w:color w:val="auto"/>
          <w:sz w:val="20"/>
          <w:highlight w:val="none"/>
          <w:lang w:val="en-US" w:eastAsia="zh-CN"/>
        </w:rPr>
        <w:t>。</w:t>
      </w:r>
    </w:p>
    <w:p w14:paraId="4BDE6E4A">
      <w:pPr>
        <w:pStyle w:val="3"/>
        <w:spacing w:before="0"/>
        <w:ind w:left="440" w:leftChars="200" w:right="151"/>
        <w:jc w:val="both"/>
        <w:rPr>
          <w:rFonts w:ascii="仿宋_GB2312" w:eastAsia="仿宋_GB2312" w:cs="Times New Roman" w:hAnsiTheme="minorEastAsia"/>
          <w:b w:val="0"/>
          <w:bCs w:val="0"/>
          <w:color w:val="auto"/>
          <w:spacing w:val="-2"/>
          <w:sz w:val="20"/>
          <w:highlight w:val="none"/>
          <w:lang w:eastAsia="zh-CN"/>
        </w:rPr>
      </w:pPr>
      <w:r>
        <w:rPr>
          <w:rFonts w:hint="eastAsia" w:ascii="仿宋_GB2312" w:eastAsia="仿宋_GB2312" w:cs="Times New Roman" w:hAnsiTheme="minorEastAsia"/>
          <w:b w:val="0"/>
          <w:bCs w:val="0"/>
          <w:color w:val="auto"/>
          <w:spacing w:val="-2"/>
          <w:sz w:val="20"/>
          <w:highlight w:val="none"/>
          <w:lang w:eastAsia="zh-CN"/>
        </w:rPr>
        <w:t>（</w:t>
      </w:r>
      <w:r>
        <w:rPr>
          <w:rFonts w:hint="eastAsia" w:ascii="仿宋_GB2312" w:eastAsia="仿宋_GB2312" w:cs="Times New Roman" w:hAnsiTheme="minorEastAsia"/>
          <w:b w:val="0"/>
          <w:bCs w:val="0"/>
          <w:color w:val="auto"/>
          <w:spacing w:val="-2"/>
          <w:sz w:val="20"/>
          <w:highlight w:val="none"/>
          <w:lang w:val="en-US" w:eastAsia="zh-CN"/>
        </w:rPr>
        <w:t>三</w:t>
      </w:r>
      <w:r>
        <w:rPr>
          <w:rFonts w:hint="eastAsia" w:ascii="仿宋_GB2312" w:eastAsia="仿宋_GB2312" w:cs="Times New Roman" w:hAnsiTheme="minorEastAsia"/>
          <w:b w:val="0"/>
          <w:bCs w:val="0"/>
          <w:color w:val="auto"/>
          <w:spacing w:val="-2"/>
          <w:sz w:val="20"/>
          <w:highlight w:val="none"/>
          <w:lang w:eastAsia="zh-CN"/>
        </w:rPr>
        <w:t>）信息披露的责任</w:t>
      </w:r>
    </w:p>
    <w:p w14:paraId="1C35D4D4">
      <w:pPr>
        <w:pStyle w:val="3"/>
        <w:spacing w:before="0"/>
        <w:ind w:left="440" w:leftChars="200" w:right="151"/>
        <w:jc w:val="both"/>
        <w:rPr>
          <w:rFonts w:ascii="仿宋_GB2312" w:eastAsia="仿宋_GB2312" w:cs="Times New Roman" w:hAnsiTheme="minorEastAsia"/>
          <w:color w:val="auto"/>
          <w:spacing w:val="-2"/>
          <w:sz w:val="20"/>
          <w:highlight w:val="none"/>
          <w:lang w:eastAsia="zh-CN"/>
        </w:rPr>
      </w:pPr>
      <w:r>
        <w:rPr>
          <w:rFonts w:hint="eastAsia" w:ascii="仿宋_GB2312" w:eastAsia="仿宋_GB2312" w:cs="Times New Roman" w:hAnsiTheme="minorEastAsia"/>
          <w:color w:val="auto"/>
          <w:spacing w:val="-2"/>
          <w:sz w:val="20"/>
          <w:highlight w:val="none"/>
          <w:lang w:val="en-US" w:eastAsia="zh-CN"/>
        </w:rPr>
        <w:t>1.</w:t>
      </w:r>
      <w:r>
        <w:rPr>
          <w:rFonts w:hint="eastAsia" w:ascii="仿宋_GB2312" w:eastAsia="仿宋_GB2312" w:cs="Times New Roman" w:hAnsiTheme="minorEastAsia"/>
          <w:color w:val="auto"/>
          <w:spacing w:val="-2"/>
          <w:sz w:val="20"/>
          <w:highlight w:val="none"/>
          <w:lang w:eastAsia="zh-CN"/>
        </w:rPr>
        <w:t>贵阳农村商业银行股份有限公司</w:t>
      </w:r>
    </w:p>
    <w:p w14:paraId="62C3E777">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根据《中华人民共和国消费者权益保护法》《中国人民银行金融消费者权益保护实施办法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color w:val="auto"/>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color w:val="auto"/>
          <w:sz w:val="20"/>
          <w:highlight w:val="none"/>
          <w:lang w:eastAsia="zh-CN"/>
        </w:rPr>
        <w:t>的要求，主动、真实、准确、完整、及时地向理财投资者提供理财产品信息披露服务。</w:t>
      </w:r>
    </w:p>
    <w:p w14:paraId="5434E4CD">
      <w:pPr>
        <w:pStyle w:val="3"/>
        <w:spacing w:before="0"/>
        <w:ind w:left="440" w:leftChars="200" w:right="151"/>
        <w:jc w:val="both"/>
        <w:rPr>
          <w:rFonts w:ascii="仿宋_GB2312" w:eastAsia="仿宋_GB2312" w:cs="Times New Roman" w:hAnsiTheme="minorEastAsia"/>
          <w:color w:val="auto"/>
          <w:spacing w:val="-2"/>
          <w:sz w:val="20"/>
          <w:highlight w:val="none"/>
          <w:lang w:eastAsia="zh-CN"/>
        </w:rPr>
      </w:pPr>
      <w:r>
        <w:rPr>
          <w:rFonts w:hint="eastAsia" w:ascii="仿宋_GB2312" w:eastAsia="仿宋_GB2312" w:cs="Times New Roman" w:hAnsiTheme="minorEastAsia"/>
          <w:color w:val="auto"/>
          <w:spacing w:val="-2"/>
          <w:sz w:val="20"/>
          <w:highlight w:val="none"/>
          <w:lang w:val="en-US" w:eastAsia="zh-CN"/>
        </w:rPr>
        <w:t>2.</w:t>
      </w:r>
      <w:r>
        <w:rPr>
          <w:rFonts w:hint="eastAsia" w:ascii="仿宋_GB2312" w:eastAsia="仿宋_GB2312" w:cs="Times New Roman" w:hAnsiTheme="minorEastAsia"/>
          <w:color w:val="auto"/>
          <w:spacing w:val="-2"/>
          <w:sz w:val="20"/>
          <w:highlight w:val="none"/>
          <w:lang w:eastAsia="zh-CN"/>
        </w:rPr>
        <w:t>投资者</w:t>
      </w:r>
    </w:p>
    <w:p w14:paraId="457C25D7">
      <w:pPr>
        <w:pStyle w:val="3"/>
        <w:spacing w:before="0"/>
        <w:ind w:left="440" w:leftChars="200" w:right="151"/>
        <w:jc w:val="both"/>
        <w:rPr>
          <w:rFonts w:ascii="仿宋_GB2312" w:eastAsia="仿宋_GB2312" w:cs="Times New Roman" w:hAnsiTheme="minorEastAsia"/>
          <w:color w:val="auto"/>
          <w:spacing w:val="-2"/>
          <w:sz w:val="20"/>
          <w:highlight w:val="none"/>
          <w:lang w:eastAsia="zh-CN"/>
        </w:rPr>
      </w:pPr>
      <w:r>
        <w:rPr>
          <w:rFonts w:hint="eastAsia" w:ascii="仿宋_GB2312" w:eastAsia="仿宋_GB2312" w:cs="Times New Roman" w:hAnsiTheme="minorEastAsia"/>
          <w:color w:val="auto"/>
          <w:spacing w:val="-2"/>
          <w:sz w:val="20"/>
          <w:highlight w:val="none"/>
          <w:lang w:eastAsia="zh-CN"/>
        </w:rPr>
        <w:t>投资者应定期通过相关披露渠道获知有关本理财产品相关信息。</w:t>
      </w:r>
    </w:p>
    <w:p w14:paraId="7846A43A">
      <w:pPr>
        <w:pStyle w:val="3"/>
        <w:spacing w:before="0"/>
        <w:ind w:left="0" w:right="151" w:firstLine="394" w:firstLineChars="200"/>
        <w:jc w:val="both"/>
        <w:rPr>
          <w:rFonts w:ascii="仿宋_GB2312" w:hAnsi="Times New Roman" w:eastAsia="仿宋_GB2312" w:cs="Times New Roman"/>
          <w:color w:val="auto"/>
          <w:sz w:val="20"/>
          <w:highlight w:val="none"/>
          <w:lang w:eastAsia="zh-CN"/>
        </w:rPr>
      </w:pPr>
      <w:r>
        <w:rPr>
          <w:rFonts w:hint="eastAsia" w:ascii="仿宋_GB2312" w:eastAsia="仿宋_GB2312" w:cs="Times New Roman" w:hAnsiTheme="minorEastAsia"/>
          <w:b/>
          <w:color w:val="auto"/>
          <w:spacing w:val="-2"/>
          <w:sz w:val="20"/>
          <w:highlight w:val="none"/>
          <w:lang w:eastAsia="zh-CN"/>
        </w:rPr>
        <w:t>（</w:t>
      </w:r>
      <w:r>
        <w:rPr>
          <w:rFonts w:hint="eastAsia" w:ascii="仿宋_GB2312" w:eastAsia="仿宋_GB2312" w:cs="Times New Roman" w:hAnsiTheme="minorEastAsia"/>
          <w:b/>
          <w:color w:val="auto"/>
          <w:spacing w:val="-2"/>
          <w:sz w:val="20"/>
          <w:highlight w:val="none"/>
          <w:lang w:val="en-US" w:eastAsia="zh-CN"/>
        </w:rPr>
        <w:t>四</w:t>
      </w:r>
      <w:r>
        <w:rPr>
          <w:rFonts w:hint="eastAsia" w:ascii="仿宋_GB2312" w:eastAsia="仿宋_GB2312" w:cs="Times New Roman" w:hAnsiTheme="minorEastAsia"/>
          <w:b/>
          <w:color w:val="auto"/>
          <w:spacing w:val="-2"/>
          <w:sz w:val="20"/>
          <w:highlight w:val="none"/>
          <w:lang w:eastAsia="zh-CN"/>
        </w:rPr>
        <w:t>）投资者</w:t>
      </w:r>
      <w:r>
        <w:rPr>
          <w:rFonts w:ascii="仿宋_GB2312" w:eastAsia="仿宋_GB2312" w:cs="Times New Roman" w:hAnsiTheme="minorEastAsia"/>
          <w:b/>
          <w:color w:val="auto"/>
          <w:spacing w:val="-2"/>
          <w:sz w:val="20"/>
          <w:highlight w:val="none"/>
          <w:lang w:eastAsia="zh-CN"/>
        </w:rPr>
        <w:t>同意，贵阳农商银行通过</w:t>
      </w:r>
      <w:r>
        <w:rPr>
          <w:rFonts w:hint="eastAsia" w:ascii="仿宋_GB2312" w:eastAsia="仿宋_GB2312" w:cs="Times New Roman" w:hAnsiTheme="minorEastAsia"/>
          <w:b/>
          <w:color w:val="auto"/>
          <w:spacing w:val="-2"/>
          <w:sz w:val="20"/>
          <w:highlight w:val="none"/>
          <w:lang w:eastAsia="zh-CN"/>
        </w:rPr>
        <w:t>相关</w:t>
      </w:r>
      <w:r>
        <w:rPr>
          <w:rFonts w:ascii="仿宋_GB2312" w:eastAsia="仿宋_GB2312" w:cs="Times New Roman" w:hAnsiTheme="minorEastAsia"/>
          <w:b/>
          <w:color w:val="auto"/>
          <w:spacing w:val="-2"/>
          <w:sz w:val="20"/>
          <w:highlight w:val="none"/>
          <w:lang w:eastAsia="zh-CN"/>
        </w:rPr>
        <w:t>披露</w:t>
      </w:r>
      <w:r>
        <w:rPr>
          <w:rFonts w:hint="eastAsia" w:ascii="仿宋_GB2312" w:eastAsia="仿宋_GB2312" w:cs="Times New Roman" w:hAnsiTheme="minorEastAsia"/>
          <w:b/>
          <w:color w:val="auto"/>
          <w:spacing w:val="-2"/>
          <w:sz w:val="20"/>
          <w:highlight w:val="none"/>
          <w:lang w:eastAsia="zh-CN"/>
        </w:rPr>
        <w:t>渠道</w:t>
      </w:r>
      <w:r>
        <w:rPr>
          <w:rFonts w:ascii="仿宋_GB2312" w:eastAsia="仿宋_GB2312" w:cs="Times New Roman" w:hAnsiTheme="minorEastAsia"/>
          <w:b/>
          <w:color w:val="auto"/>
          <w:spacing w:val="-2"/>
          <w:sz w:val="20"/>
          <w:highlight w:val="none"/>
          <w:lang w:eastAsia="zh-CN"/>
        </w:rPr>
        <w:t>进行信息披露，如果</w:t>
      </w:r>
      <w:r>
        <w:rPr>
          <w:rFonts w:hint="eastAsia" w:ascii="仿宋_GB2312" w:eastAsia="仿宋_GB2312" w:cs="Times New Roman" w:hAnsiTheme="minorEastAsia"/>
          <w:b/>
          <w:color w:val="auto"/>
          <w:spacing w:val="-2"/>
          <w:sz w:val="20"/>
          <w:highlight w:val="none"/>
          <w:lang w:eastAsia="zh-CN"/>
        </w:rPr>
        <w:t>投资者</w:t>
      </w:r>
      <w:r>
        <w:rPr>
          <w:rFonts w:ascii="仿宋_GB2312" w:eastAsia="仿宋_GB2312" w:cs="Times New Roman" w:hAnsiTheme="minorEastAsia"/>
          <w:b/>
          <w:color w:val="auto"/>
          <w:spacing w:val="-2"/>
          <w:sz w:val="20"/>
          <w:highlight w:val="none"/>
          <w:lang w:eastAsia="zh-CN"/>
        </w:rPr>
        <w:t>未及时查询，或由于通讯故障、</w:t>
      </w:r>
      <w:r>
        <w:rPr>
          <w:rFonts w:ascii="仿宋_GB2312" w:eastAsia="仿宋_GB2312" w:cs="Times New Roman" w:hAnsiTheme="minorEastAsia"/>
          <w:b/>
          <w:color w:val="auto"/>
          <w:sz w:val="20"/>
          <w:highlight w:val="none"/>
          <w:lang w:eastAsia="zh-CN"/>
        </w:rPr>
        <w:t>系统故障以及其他不可抗力等因素的影响使得</w:t>
      </w:r>
      <w:r>
        <w:rPr>
          <w:rFonts w:hint="eastAsia" w:ascii="仿宋_GB2312" w:eastAsia="仿宋_GB2312" w:cs="Times New Roman" w:hAnsiTheme="minorEastAsia"/>
          <w:b/>
          <w:color w:val="auto"/>
          <w:sz w:val="20"/>
          <w:highlight w:val="none"/>
          <w:lang w:eastAsia="zh-CN"/>
        </w:rPr>
        <w:t>投资者</w:t>
      </w:r>
      <w:r>
        <w:rPr>
          <w:rFonts w:ascii="仿宋_GB2312" w:eastAsia="仿宋_GB2312" w:cs="Times New Roman" w:hAnsiTheme="minorEastAsia"/>
          <w:b/>
          <w:color w:val="auto"/>
          <w:sz w:val="20"/>
          <w:highlight w:val="none"/>
          <w:lang w:eastAsia="zh-CN"/>
        </w:rPr>
        <w:t>无法及时了解产品信息，</w:t>
      </w:r>
      <w:r>
        <w:rPr>
          <w:rFonts w:hint="eastAsia" w:ascii="仿宋_GB2312" w:eastAsia="仿宋_GB2312" w:cs="Times New Roman" w:hAnsiTheme="minorEastAsia"/>
          <w:b/>
          <w:color w:val="auto"/>
          <w:sz w:val="20"/>
          <w:highlight w:val="none"/>
          <w:lang w:val="en-US" w:eastAsia="zh-CN"/>
        </w:rPr>
        <w:t>可能导致投资者产生风险，此类风险</w:t>
      </w:r>
      <w:r>
        <w:rPr>
          <w:rFonts w:ascii="仿宋_GB2312" w:eastAsia="仿宋_GB2312" w:cs="Times New Roman" w:hAnsiTheme="minorEastAsia"/>
          <w:b/>
          <w:color w:val="auto"/>
          <w:sz w:val="20"/>
          <w:highlight w:val="none"/>
          <w:lang w:eastAsia="zh-CN"/>
        </w:rPr>
        <w:t>包括但不限于因</w:t>
      </w:r>
      <w:r>
        <w:rPr>
          <w:rFonts w:hint="eastAsia" w:ascii="仿宋_GB2312" w:eastAsia="仿宋_GB2312" w:cs="Times New Roman" w:hAnsiTheme="minorEastAsia"/>
          <w:b/>
          <w:color w:val="auto"/>
          <w:sz w:val="20"/>
          <w:highlight w:val="none"/>
          <w:lang w:eastAsia="zh-CN"/>
        </w:rPr>
        <w:t>投资者</w:t>
      </w:r>
      <w:r>
        <w:rPr>
          <w:rFonts w:ascii="仿宋_GB2312" w:eastAsia="仿宋_GB2312" w:cs="Times New Roman" w:hAnsiTheme="minorEastAsia"/>
          <w:b/>
          <w:color w:val="auto"/>
          <w:sz w:val="20"/>
          <w:highlight w:val="none"/>
          <w:lang w:eastAsia="zh-CN"/>
        </w:rPr>
        <w:t>未及时获知信息而错过资金使用和再投资的机会等，</w:t>
      </w:r>
      <w:r>
        <w:rPr>
          <w:rFonts w:hint="eastAsia" w:ascii="仿宋_GB2312" w:eastAsia="仿宋_GB2312" w:cs="Times New Roman" w:hAnsiTheme="minorEastAsia"/>
          <w:b/>
          <w:color w:val="auto"/>
          <w:sz w:val="20"/>
          <w:highlight w:val="none"/>
          <w:lang w:val="en-US" w:eastAsia="zh-CN"/>
        </w:rPr>
        <w:t>由此产生的风险及损失（如有）</w:t>
      </w:r>
      <w:r>
        <w:rPr>
          <w:rFonts w:ascii="仿宋_GB2312" w:eastAsia="仿宋_GB2312" w:cs="Times New Roman" w:hAnsiTheme="minorEastAsia"/>
          <w:b/>
          <w:color w:val="auto"/>
          <w:sz w:val="20"/>
          <w:highlight w:val="none"/>
          <w:lang w:eastAsia="zh-CN"/>
        </w:rPr>
        <w:t>由</w:t>
      </w:r>
      <w:r>
        <w:rPr>
          <w:rFonts w:hint="eastAsia" w:ascii="仿宋_GB2312" w:eastAsia="仿宋_GB2312" w:cs="Times New Roman" w:hAnsiTheme="minorEastAsia"/>
          <w:b/>
          <w:color w:val="auto"/>
          <w:sz w:val="20"/>
          <w:highlight w:val="none"/>
          <w:lang w:eastAsia="zh-CN"/>
        </w:rPr>
        <w:t>投资者</w:t>
      </w:r>
      <w:r>
        <w:rPr>
          <w:rFonts w:ascii="仿宋_GB2312" w:eastAsia="仿宋_GB2312" w:cs="Times New Roman" w:hAnsiTheme="minorEastAsia"/>
          <w:b/>
          <w:color w:val="auto"/>
          <w:sz w:val="20"/>
          <w:highlight w:val="none"/>
          <w:lang w:eastAsia="zh-CN"/>
        </w:rPr>
        <w:t>自行承担。</w:t>
      </w:r>
    </w:p>
    <w:p w14:paraId="1B5DADF2">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w:t>
      </w:r>
      <w:r>
        <w:rPr>
          <w:rFonts w:hint="eastAsia" w:ascii="仿宋_GB2312" w:eastAsia="仿宋_GB2312" w:cs="Times New Roman" w:hAnsiTheme="minorEastAsia"/>
          <w:color w:val="auto"/>
          <w:sz w:val="20"/>
          <w:highlight w:val="none"/>
          <w:lang w:val="en-US" w:eastAsia="zh-CN"/>
        </w:rPr>
        <w:t>五</w:t>
      </w:r>
      <w:r>
        <w:rPr>
          <w:rFonts w:hint="eastAsia" w:ascii="仿宋_GB2312" w:eastAsia="仿宋_GB2312" w:cs="Times New Roman" w:hAnsiTheme="minorEastAsia"/>
          <w:color w:val="auto"/>
          <w:sz w:val="20"/>
          <w:highlight w:val="none"/>
          <w:lang w:eastAsia="zh-CN"/>
        </w:rPr>
        <w:t>）</w:t>
      </w:r>
      <w:r>
        <w:rPr>
          <w:rFonts w:ascii="仿宋_GB2312" w:eastAsia="仿宋_GB2312" w:cs="Times New Roman" w:hAnsiTheme="minorEastAsia"/>
          <w:color w:val="auto"/>
          <w:sz w:val="20"/>
          <w:highlight w:val="none"/>
          <w:lang w:eastAsia="zh-CN"/>
        </w:rPr>
        <w:t>贵阳农商银行为</w:t>
      </w:r>
      <w:r>
        <w:rPr>
          <w:rFonts w:hint="eastAsia" w:ascii="仿宋_GB2312" w:eastAsia="仿宋_GB2312" w:cs="Times New Roman" w:hAnsiTheme="minorEastAsia"/>
          <w:color w:val="auto"/>
          <w:sz w:val="20"/>
          <w:highlight w:val="none"/>
          <w:lang w:eastAsia="zh-CN"/>
        </w:rPr>
        <w:t>投资者</w:t>
      </w:r>
      <w:r>
        <w:rPr>
          <w:rFonts w:ascii="仿宋_GB2312" w:eastAsia="仿宋_GB2312" w:cs="Times New Roman" w:hAnsiTheme="minorEastAsia"/>
          <w:color w:val="auto"/>
          <w:sz w:val="20"/>
          <w:highlight w:val="none"/>
          <w:lang w:eastAsia="zh-CN"/>
        </w:rPr>
        <w:t>提供本产品相关信息查询。本产品存续期内，</w:t>
      </w:r>
      <w:r>
        <w:rPr>
          <w:rFonts w:hint="eastAsia" w:ascii="仿宋_GB2312" w:eastAsia="仿宋_GB2312" w:cs="Times New Roman" w:hAnsiTheme="minorEastAsia"/>
          <w:color w:val="auto"/>
          <w:sz w:val="20"/>
          <w:highlight w:val="none"/>
          <w:lang w:eastAsia="zh-CN"/>
        </w:rPr>
        <w:t>投资者</w:t>
      </w:r>
      <w:r>
        <w:rPr>
          <w:rFonts w:ascii="仿宋_GB2312" w:eastAsia="仿宋_GB2312" w:cs="Times New Roman" w:hAnsiTheme="minorEastAsia"/>
          <w:color w:val="auto"/>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eastAsia="zh-CN"/>
        </w:rPr>
        <w:t>任一</w:t>
      </w:r>
      <w:r>
        <w:rPr>
          <w:rFonts w:ascii="仿宋_GB2312" w:eastAsia="仿宋_GB2312" w:cs="Times New Roman" w:hAnsiTheme="minorEastAsia"/>
          <w:color w:val="auto"/>
          <w:sz w:val="20"/>
          <w:highlight w:val="none"/>
          <w:lang w:eastAsia="zh-CN"/>
        </w:rPr>
        <w:t>营业网点查询相关信息。</w:t>
      </w:r>
    </w:p>
    <w:p w14:paraId="01C467DA">
      <w:pPr>
        <w:pStyle w:val="16"/>
        <w:ind w:left="0" w:right="151" w:firstLine="480" w:firstLineChars="200"/>
        <w:jc w:val="both"/>
        <w:rPr>
          <w:rFonts w:ascii="Times New Roman" w:hAnsi="黑体" w:eastAsia="黑体" w:cs="Times New Roman"/>
          <w:color w:val="auto"/>
          <w:highlight w:val="none"/>
          <w:lang w:eastAsia="zh-CN"/>
        </w:rPr>
      </w:pPr>
      <w:r>
        <w:rPr>
          <w:rFonts w:hint="eastAsia" w:ascii="Times New Roman" w:hAnsi="黑体" w:eastAsia="黑体" w:cs="Times New Roman"/>
          <w:color w:val="auto"/>
          <w:highlight w:val="none"/>
          <w:lang w:val="en-US" w:eastAsia="zh-CN"/>
        </w:rPr>
        <w:t>十</w:t>
      </w:r>
      <w:r>
        <w:rPr>
          <w:rFonts w:hint="eastAsia" w:ascii="Times New Roman" w:hAnsi="黑体" w:eastAsia="黑体" w:cs="Times New Roman"/>
          <w:color w:val="auto"/>
          <w:highlight w:val="none"/>
          <w:lang w:eastAsia="zh-CN"/>
        </w:rPr>
        <w:t>、</w:t>
      </w:r>
      <w:r>
        <w:rPr>
          <w:rFonts w:hint="eastAsia" w:ascii="Times New Roman" w:hAnsi="黑体" w:eastAsia="黑体" w:cs="Times New Roman"/>
          <w:b/>
          <w:bCs/>
          <w:color w:val="auto"/>
          <w:highlight w:val="none"/>
          <w:lang w:eastAsia="zh-CN"/>
        </w:rPr>
        <w:t>保密义务</w:t>
      </w:r>
    </w:p>
    <w:p w14:paraId="5852E3E6">
      <w:pPr>
        <w:pStyle w:val="3"/>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（一）</w:t>
      </w:r>
      <w:r>
        <w:rPr>
          <w:rFonts w:hint="eastAsia" w:ascii="仿宋_GB2312" w:eastAsia="仿宋_GB2312" w:cs="Times New Roman" w:hAnsiTheme="minorEastAsia"/>
          <w:color w:val="auto"/>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color w:val="auto"/>
          <w:sz w:val="20"/>
          <w:highlight w:val="none"/>
          <w:lang w:val="en-US" w:eastAsia="zh-CN"/>
        </w:rPr>
        <w:t>和监管要求</w:t>
      </w:r>
      <w:r>
        <w:rPr>
          <w:rFonts w:hint="eastAsia" w:ascii="仿宋_GB2312" w:eastAsia="仿宋_GB2312" w:cs="Times New Roman" w:hAnsiTheme="minorEastAsia"/>
          <w:color w:val="auto"/>
          <w:sz w:val="20"/>
          <w:highlight w:val="none"/>
          <w:lang w:eastAsia="zh-CN"/>
        </w:rPr>
        <w:t>，向</w:t>
      </w:r>
      <w:r>
        <w:rPr>
          <w:rFonts w:hint="eastAsia" w:ascii="仿宋_GB2312" w:eastAsia="仿宋_GB2312" w:cs="Times New Roman" w:hAnsiTheme="minorEastAsia"/>
          <w:color w:val="auto"/>
          <w:sz w:val="20"/>
          <w:highlight w:val="none"/>
          <w:lang w:val="en-US" w:eastAsia="zh-CN"/>
        </w:rPr>
        <w:t>托管机构、</w:t>
      </w:r>
      <w:r>
        <w:rPr>
          <w:rFonts w:hint="eastAsia" w:ascii="仿宋_GB2312" w:eastAsia="仿宋_GB2312" w:cs="Times New Roman" w:hAnsiTheme="minorEastAsia"/>
          <w:color w:val="auto"/>
          <w:sz w:val="20"/>
          <w:highlight w:val="none"/>
          <w:lang w:eastAsia="zh-CN"/>
        </w:rPr>
        <w:t>银行业理财登记托管中心有限公司及监管机构提供投资者身份信息及理财产品持有信息等相关信息。</w:t>
      </w:r>
    </w:p>
    <w:p w14:paraId="7808A5D5">
      <w:pPr>
        <w:pStyle w:val="3"/>
        <w:ind w:left="0" w:leftChars="0" w:right="153" w:firstLine="400" w:firstLineChars="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（二）</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09AA7861">
      <w:pPr>
        <w:pStyle w:val="3"/>
        <w:ind w:left="0" w:leftChars="0" w:right="153" w:firstLine="400" w:firstLineChars="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E545F7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金融账户与交易信息：开户申请、理财产品认（申）购申请、赎回申请等各类申请信息，开户确认、认（申）购确认、赎回确认、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color w:val="auto"/>
          <w:sz w:val="20"/>
          <w:highlight w:val="none"/>
          <w:lang w:eastAsia="zh-CN"/>
        </w:rPr>
        <w:t>等各类确认信息。</w:t>
      </w:r>
    </w:p>
    <w:p w14:paraId="67956581">
      <w:pPr>
        <w:pStyle w:val="3"/>
        <w:ind w:left="0" w:leftChars="0" w:right="153" w:firstLine="400" w:firstLineChars="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w:t>
      </w:r>
      <w:r>
        <w:rPr>
          <w:rFonts w:hint="eastAsia" w:ascii="仿宋_GB2312" w:eastAsia="仿宋_GB2312" w:cs="Times New Roman" w:hAnsiTheme="minorEastAsia"/>
          <w:b w:val="0"/>
          <w:bCs w:val="0"/>
          <w:color w:val="auto"/>
          <w:sz w:val="20"/>
          <w:highlight w:val="none"/>
          <w:lang w:eastAsia="zh-CN"/>
        </w:rPr>
        <w:t>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r>
        <w:rPr>
          <w:rFonts w:hint="eastAsia" w:ascii="仿宋_GB2312" w:eastAsia="仿宋_GB2312" w:cs="Times New Roman" w:hAnsiTheme="minorEastAsia"/>
          <w:b/>
          <w:bCs/>
          <w:color w:val="auto"/>
          <w:sz w:val="20"/>
          <w:highlight w:val="none"/>
          <w:lang w:eastAsia="zh-CN"/>
        </w:rPr>
        <w:t>。</w:t>
      </w:r>
    </w:p>
    <w:p w14:paraId="657FCCCE">
      <w:pPr>
        <w:pStyle w:val="3"/>
        <w:ind w:left="0" w:leftChars="0" w:right="153" w:firstLine="400" w:firstLineChars="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5BCA0E2">
      <w:pPr>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br w:type="page"/>
      </w:r>
    </w:p>
    <w:p w14:paraId="1D2ED16D">
      <w:pPr>
        <w:pStyle w:val="16"/>
        <w:ind w:left="0" w:right="151"/>
        <w:jc w:val="center"/>
        <w:rPr>
          <w:rFonts w:ascii="方正小标宋简体" w:eastAsia="方正小标宋简体"/>
          <w:color w:val="auto"/>
          <w:sz w:val="36"/>
          <w:szCs w:val="36"/>
          <w:highlight w:val="none"/>
          <w:lang w:eastAsia="zh-CN"/>
        </w:rPr>
      </w:pPr>
      <w:r>
        <w:rPr>
          <w:rFonts w:hint="eastAsia" w:ascii="方正小标宋_GBK" w:hAnsi="方正小标宋_GBK" w:eastAsia="方正小标宋_GBK" w:cs="方正小标宋_GBK"/>
          <w:color w:val="auto"/>
          <w:sz w:val="36"/>
          <w:szCs w:val="36"/>
          <w:highlight w:val="none"/>
          <w:lang w:eastAsia="zh-CN"/>
        </w:rPr>
        <w:drawing>
          <wp:anchor distT="0" distB="0" distL="114300" distR="114300" simplePos="0" relativeHeight="251661312" behindDoc="0" locked="0" layoutInCell="1" allowOverlap="1">
            <wp:simplePos x="0" y="0"/>
            <wp:positionH relativeFrom="column">
              <wp:posOffset>-494665</wp:posOffset>
            </wp:positionH>
            <wp:positionV relativeFrom="paragraph">
              <wp:posOffset>-331470</wp:posOffset>
            </wp:positionV>
            <wp:extent cx="579120" cy="805180"/>
            <wp:effectExtent l="19050" t="0" r="0" b="0"/>
            <wp:wrapNone/>
            <wp:docPr id="4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descr="我的插图-1"/>
                    <pic:cNvPicPr>
                      <a:picLocks noChangeAspect="1" noChangeArrowheads="1"/>
                    </pic:cNvPicPr>
                  </pic:nvPicPr>
                  <pic:blipFill>
                    <a:blip r:embed="rId7"/>
                    <a:srcRect/>
                    <a:stretch>
                      <a:fillRect/>
                    </a:stretch>
                  </pic:blipFill>
                  <pic:spPr>
                    <a:xfrm>
                      <a:off x="0" y="0"/>
                      <a:ext cx="579385"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color w:val="auto"/>
          <w:sz w:val="36"/>
          <w:szCs w:val="36"/>
          <w:highlight w:val="none"/>
          <w:lang w:eastAsia="zh-CN"/>
        </w:rPr>
        <w:t>贵阳农商银行理财产品协议</w:t>
      </w:r>
    </w:p>
    <w:p w14:paraId="46D771A7">
      <w:pPr>
        <w:snapToGrid w:val="0"/>
        <w:spacing w:line="240" w:lineRule="exact"/>
        <w:ind w:firstLine="402" w:firstLineChars="200"/>
        <w:rPr>
          <w:rFonts w:ascii="仿宋_GB2312" w:hAnsi="宋体" w:eastAsia="仿宋_GB2312"/>
          <w:b/>
          <w:color w:val="auto"/>
          <w:sz w:val="20"/>
          <w:szCs w:val="20"/>
          <w:highlight w:val="none"/>
          <w:lang w:eastAsia="zh-CN"/>
        </w:rPr>
      </w:pPr>
      <w:r>
        <w:rPr>
          <w:rFonts w:hint="eastAsia" w:ascii="仿宋_GB2312" w:hAnsi="宋体" w:eastAsia="仿宋_GB2312"/>
          <w:b/>
          <w:color w:val="auto"/>
          <w:sz w:val="20"/>
          <w:szCs w:val="20"/>
          <w:highlight w:val="none"/>
          <w:lang w:eastAsia="zh-CN"/>
        </w:rPr>
        <w:t>贵阳农商银行理财产品协议（以下简称“本协议”）为</w:t>
      </w:r>
      <w:r>
        <w:rPr>
          <w:rFonts w:hint="eastAsia" w:ascii="仿宋_GB2312" w:hAnsi="宋体" w:eastAsia="仿宋_GB2312"/>
          <w:b/>
          <w:color w:val="auto"/>
          <w:sz w:val="20"/>
          <w:szCs w:val="20"/>
          <w:highlight w:val="none"/>
          <w:lang w:val="en-US" w:eastAsia="zh-CN"/>
        </w:rPr>
        <w:t>理财产品销售文件</w:t>
      </w:r>
      <w:r>
        <w:rPr>
          <w:rFonts w:hint="eastAsia" w:ascii="仿宋_GB2312" w:hAnsi="宋体" w:eastAsia="仿宋_GB2312"/>
          <w:b/>
          <w:color w:val="auto"/>
          <w:sz w:val="20"/>
          <w:szCs w:val="20"/>
          <w:highlight w:val="none"/>
          <w:lang w:eastAsia="zh-CN"/>
        </w:rPr>
        <w:t>不可分割的组成部分，请在签署本协议前，仔细阅读本协议各条款。</w:t>
      </w:r>
    </w:p>
    <w:p w14:paraId="19081F3B">
      <w:pPr>
        <w:snapToGrid w:val="0"/>
        <w:spacing w:line="240" w:lineRule="exact"/>
        <w:ind w:firstLine="400" w:firstLineChars="200"/>
        <w:rPr>
          <w:rFonts w:hint="default" w:ascii="仿宋_GB2312" w:hAnsi="宋体" w:eastAsia="仿宋_GB2312"/>
          <w:color w:val="auto"/>
          <w:sz w:val="20"/>
          <w:szCs w:val="20"/>
          <w:highlight w:val="none"/>
          <w:lang w:val="en-US" w:eastAsia="zh-CN"/>
        </w:rPr>
      </w:pPr>
      <w:r>
        <w:rPr>
          <w:rFonts w:hint="eastAsia" w:ascii="仿宋_GB2312" w:hAnsi="宋体" w:eastAsia="仿宋_GB2312"/>
          <w:color w:val="auto"/>
          <w:sz w:val="20"/>
          <w:szCs w:val="20"/>
          <w:highlight w:val="none"/>
          <w:lang w:val="en-US" w:eastAsia="zh-CN"/>
        </w:rPr>
        <w:t>甲方：投资者</w:t>
      </w:r>
    </w:p>
    <w:p w14:paraId="371B3E6C">
      <w:pPr>
        <w:snapToGrid w:val="0"/>
        <w:spacing w:line="240" w:lineRule="exact"/>
        <w:ind w:firstLine="400" w:firstLineChars="200"/>
        <w:rPr>
          <w:rFonts w:hint="default" w:ascii="仿宋_GB2312" w:hAnsi="宋体" w:eastAsia="仿宋_GB2312"/>
          <w:color w:val="auto"/>
          <w:sz w:val="20"/>
          <w:szCs w:val="20"/>
          <w:highlight w:val="none"/>
          <w:lang w:val="en-US" w:eastAsia="zh-CN"/>
        </w:rPr>
      </w:pPr>
      <w:r>
        <w:rPr>
          <w:rFonts w:hint="eastAsia" w:ascii="仿宋_GB2312" w:hAnsi="宋体" w:eastAsia="仿宋_GB2312"/>
          <w:color w:val="auto"/>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2498C0B4">
      <w:pPr>
        <w:snapToGrid w:val="0"/>
        <w:spacing w:line="240" w:lineRule="exact"/>
        <w:ind w:firstLine="400" w:firstLineChars="200"/>
        <w:rPr>
          <w:rFonts w:ascii="仿宋_GB2312" w:hAnsi="宋体" w:eastAsia="仿宋_GB2312"/>
          <w:color w:val="auto"/>
          <w:sz w:val="20"/>
          <w:szCs w:val="20"/>
          <w:highlight w:val="none"/>
          <w:lang w:eastAsia="zh-CN"/>
        </w:rPr>
      </w:pPr>
      <w:r>
        <w:rPr>
          <w:rFonts w:hint="eastAsia" w:ascii="仿宋_GB2312" w:hAnsi="宋体" w:eastAsia="仿宋_GB2312"/>
          <w:color w:val="auto"/>
          <w:sz w:val="20"/>
          <w:szCs w:val="20"/>
          <w:highlight w:val="none"/>
          <w:lang w:eastAsia="zh-CN"/>
        </w:rPr>
        <w:t>经甲方与乙方协商一致，就甲方向乙方购买理财产品，达成协议如下：</w:t>
      </w:r>
    </w:p>
    <w:p w14:paraId="39CDB504">
      <w:pPr>
        <w:snapToGrid w:val="0"/>
        <w:spacing w:line="240" w:lineRule="exact"/>
        <w:ind w:firstLine="402" w:firstLineChars="200"/>
        <w:rPr>
          <w:rFonts w:ascii="仿宋_GB2312" w:hAnsi="宋体" w:eastAsia="仿宋_GB2312"/>
          <w:b/>
          <w:bCs/>
          <w:color w:val="auto"/>
          <w:sz w:val="20"/>
          <w:szCs w:val="20"/>
          <w:highlight w:val="none"/>
          <w:lang w:eastAsia="zh-CN"/>
        </w:rPr>
      </w:pPr>
      <w:r>
        <w:rPr>
          <w:rFonts w:hint="eastAsia" w:ascii="仿宋_GB2312" w:hAnsi="宋体" w:eastAsia="仿宋_GB2312"/>
          <w:b/>
          <w:bCs/>
          <w:color w:val="auto"/>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97B5208">
      <w:pPr>
        <w:snapToGrid w:val="0"/>
        <w:spacing w:line="240" w:lineRule="exact"/>
        <w:ind w:firstLine="400" w:firstLineChars="200"/>
        <w:rPr>
          <w:rFonts w:ascii="仿宋_GB2312" w:hAnsi="宋体" w:eastAsia="仿宋_GB2312"/>
          <w:color w:val="auto"/>
          <w:sz w:val="20"/>
          <w:szCs w:val="20"/>
          <w:highlight w:val="none"/>
          <w:lang w:eastAsia="zh-CN"/>
        </w:rPr>
      </w:pPr>
      <w:r>
        <w:rPr>
          <w:rFonts w:hint="eastAsia" w:ascii="仿宋_GB2312" w:hAnsi="宋体" w:eastAsia="仿宋_GB2312"/>
          <w:color w:val="auto"/>
          <w:sz w:val="20"/>
          <w:szCs w:val="20"/>
          <w:highlight w:val="none"/>
          <w:lang w:eastAsia="zh-CN"/>
        </w:rPr>
        <w:t>二、甲方声明：甲方为具有完全民事行为能力的个人。甲方接受并签署《贵阳农商银行理财产品协议》及</w:t>
      </w:r>
      <w:r>
        <w:rPr>
          <w:rFonts w:hint="eastAsia" w:ascii="仿宋_GB2312" w:hAnsi="宋体" w:eastAsia="仿宋_GB2312"/>
          <w:color w:val="auto"/>
          <w:sz w:val="20"/>
          <w:szCs w:val="20"/>
          <w:highlight w:val="none"/>
          <w:lang w:val="en-US" w:eastAsia="zh-CN"/>
        </w:rPr>
        <w:t>本期</w:t>
      </w:r>
      <w:r>
        <w:rPr>
          <w:rFonts w:hint="eastAsia" w:ascii="仿宋_GB2312" w:hAnsi="宋体" w:eastAsia="仿宋_GB2312"/>
          <w:color w:val="auto"/>
          <w:sz w:val="20"/>
          <w:szCs w:val="20"/>
          <w:highlight w:val="none"/>
          <w:lang w:eastAsia="zh-CN"/>
        </w:rPr>
        <w:t>的《理财产品说明书》《风险揭示书》《投资者权益须知》《</w:t>
      </w:r>
      <w:r>
        <w:rPr>
          <w:rFonts w:hint="eastAsia" w:ascii="仿宋_GB2312" w:hAnsi="宋体" w:eastAsia="仿宋_GB2312"/>
          <w:color w:val="auto"/>
          <w:sz w:val="20"/>
          <w:szCs w:val="20"/>
          <w:highlight w:val="none"/>
          <w:lang w:val="en-US" w:eastAsia="zh-CN"/>
        </w:rPr>
        <w:t>信息授权书（理财业务版）</w:t>
      </w:r>
      <w:r>
        <w:rPr>
          <w:rFonts w:hint="eastAsia" w:ascii="仿宋_GB2312" w:hAnsi="宋体" w:eastAsia="仿宋_GB2312"/>
          <w:color w:val="auto"/>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color w:val="auto"/>
          <w:sz w:val="20"/>
          <w:szCs w:val="20"/>
          <w:highlight w:val="none"/>
          <w:lang w:val="en-US" w:eastAsia="zh-CN"/>
        </w:rPr>
        <w:t>不得据此要求</w:t>
      </w:r>
      <w:r>
        <w:rPr>
          <w:rFonts w:hint="eastAsia" w:ascii="仿宋_GB2312" w:hAnsi="宋体" w:eastAsia="仿宋_GB2312"/>
          <w:color w:val="auto"/>
          <w:sz w:val="20"/>
          <w:szCs w:val="20"/>
          <w:highlight w:val="none"/>
          <w:lang w:eastAsia="zh-CN"/>
        </w:rPr>
        <w:t>乙方承担任何责任；甲方承诺所提供的所有资料真实有效，如有变更，甲方应及时到原经办</w:t>
      </w:r>
      <w:r>
        <w:rPr>
          <w:rFonts w:hint="eastAsia" w:ascii="仿宋_GB2312" w:hAnsi="宋体" w:eastAsia="仿宋_GB2312"/>
          <w:color w:val="auto"/>
          <w:sz w:val="20"/>
          <w:szCs w:val="20"/>
          <w:highlight w:val="none"/>
          <w:lang w:val="en-US" w:eastAsia="zh-CN"/>
        </w:rPr>
        <w:t>营业网点</w:t>
      </w:r>
      <w:r>
        <w:rPr>
          <w:rFonts w:hint="eastAsia" w:ascii="仿宋_GB2312" w:hAnsi="宋体" w:eastAsia="仿宋_GB2312"/>
          <w:color w:val="auto"/>
          <w:sz w:val="20"/>
          <w:szCs w:val="20"/>
          <w:highlight w:val="none"/>
          <w:lang w:eastAsia="zh-CN"/>
        </w:rPr>
        <w:t>（</w:t>
      </w:r>
      <w:r>
        <w:rPr>
          <w:rFonts w:hint="eastAsia" w:ascii="仿宋_GB2312" w:hAnsi="宋体" w:eastAsia="仿宋_GB2312"/>
          <w:color w:val="auto"/>
          <w:sz w:val="20"/>
          <w:szCs w:val="20"/>
          <w:highlight w:val="none"/>
          <w:lang w:val="en-US" w:eastAsia="zh-CN"/>
        </w:rPr>
        <w:t>如为线上购买的，原经办营业网点是指甲方在乙方的开户网点</w:t>
      </w:r>
      <w:r>
        <w:rPr>
          <w:rFonts w:hint="eastAsia" w:ascii="仿宋_GB2312" w:hAnsi="宋体" w:eastAsia="仿宋_GB2312"/>
          <w:color w:val="auto"/>
          <w:sz w:val="20"/>
          <w:szCs w:val="20"/>
          <w:highlight w:val="none"/>
          <w:lang w:eastAsia="zh-CN"/>
        </w:rPr>
        <w:t>）办理变更手续。</w:t>
      </w:r>
    </w:p>
    <w:p w14:paraId="21D0C76F">
      <w:pPr>
        <w:snapToGrid w:val="0"/>
        <w:spacing w:line="240" w:lineRule="exact"/>
        <w:ind w:firstLine="400" w:firstLineChars="200"/>
        <w:jc w:val="both"/>
        <w:rPr>
          <w:rFonts w:ascii="仿宋_GB2312" w:hAnsi="宋体" w:eastAsia="仿宋_GB2312"/>
          <w:color w:val="auto"/>
          <w:sz w:val="20"/>
          <w:szCs w:val="20"/>
          <w:highlight w:val="none"/>
          <w:lang w:eastAsia="zh-CN"/>
        </w:rPr>
      </w:pPr>
      <w:r>
        <w:rPr>
          <w:rFonts w:hint="eastAsia" w:ascii="仿宋_GB2312" w:hAnsi="宋体" w:eastAsia="仿宋_GB2312"/>
          <w:color w:val="auto"/>
          <w:sz w:val="20"/>
          <w:szCs w:val="20"/>
          <w:highlight w:val="none"/>
          <w:lang w:eastAsia="zh-CN"/>
        </w:rPr>
        <w:t>三、理财产品相关交易，个人投资者须持本人有效身份证件办理，不允许代理人代为办理。</w:t>
      </w:r>
    </w:p>
    <w:p w14:paraId="0C11FB8C">
      <w:pPr>
        <w:snapToGrid w:val="0"/>
        <w:spacing w:line="240" w:lineRule="exact"/>
        <w:ind w:firstLine="400" w:firstLineChars="200"/>
        <w:jc w:val="both"/>
        <w:rPr>
          <w:rFonts w:ascii="仿宋_GB2312" w:hAnsi="宋体" w:eastAsia="仿宋_GB2312"/>
          <w:color w:val="auto"/>
          <w:sz w:val="20"/>
          <w:szCs w:val="20"/>
          <w:highlight w:val="none"/>
          <w:lang w:eastAsia="zh-CN"/>
        </w:rPr>
      </w:pPr>
      <w:r>
        <w:rPr>
          <w:rFonts w:hint="eastAsia" w:ascii="仿宋_GB2312" w:hAnsi="宋体" w:eastAsia="仿宋_GB2312"/>
          <w:color w:val="auto"/>
          <w:sz w:val="20"/>
          <w:szCs w:val="20"/>
          <w:highlight w:val="none"/>
          <w:lang w:eastAsia="zh-CN"/>
        </w:rPr>
        <w:t>四、本协议仅适用于甲方向乙方购买的单笔理财产品，不同理财产品协议的效力及履行情况彼此独立。</w:t>
      </w:r>
    </w:p>
    <w:p w14:paraId="06BB9A1B">
      <w:pPr>
        <w:snapToGrid w:val="0"/>
        <w:spacing w:line="240" w:lineRule="exact"/>
        <w:ind w:firstLine="400" w:firstLineChars="200"/>
        <w:jc w:val="both"/>
        <w:rPr>
          <w:rFonts w:hint="eastAsia" w:ascii="仿宋_GB2312" w:hAnsi="宋体" w:eastAsia="仿宋_GB2312"/>
          <w:color w:val="auto"/>
          <w:sz w:val="20"/>
          <w:szCs w:val="20"/>
          <w:highlight w:val="none"/>
          <w:lang w:eastAsia="zh-CN"/>
        </w:rPr>
      </w:pPr>
      <w:r>
        <w:rPr>
          <w:rFonts w:hint="eastAsia" w:ascii="仿宋_GB2312" w:hAnsi="宋体" w:eastAsia="仿宋_GB2312"/>
          <w:color w:val="auto"/>
          <w:sz w:val="20"/>
          <w:szCs w:val="20"/>
          <w:highlight w:val="none"/>
          <w:lang w:eastAsia="zh-CN"/>
        </w:rPr>
        <w:t>五、甲方认购</w:t>
      </w:r>
      <w:r>
        <w:rPr>
          <w:rFonts w:hint="eastAsia" w:ascii="仿宋_GB2312" w:hAnsi="宋体" w:eastAsia="仿宋_GB2312"/>
          <w:color w:val="auto"/>
          <w:sz w:val="20"/>
          <w:szCs w:val="20"/>
          <w:highlight w:val="none"/>
          <w:lang w:val="en-US" w:eastAsia="zh-CN"/>
        </w:rPr>
        <w:t>/申购</w:t>
      </w:r>
      <w:r>
        <w:rPr>
          <w:rFonts w:hint="eastAsia" w:ascii="仿宋_GB2312" w:hAnsi="宋体" w:eastAsia="仿宋_GB2312"/>
          <w:color w:val="auto"/>
          <w:sz w:val="20"/>
          <w:szCs w:val="20"/>
          <w:highlight w:val="none"/>
          <w:lang w:eastAsia="zh-CN"/>
        </w:rPr>
        <w:t>理财产品并签署本协议后，即授权乙方</w:t>
      </w:r>
      <w:r>
        <w:rPr>
          <w:rFonts w:hint="eastAsia" w:ascii="仿宋_GB2312" w:hAnsi="宋体" w:eastAsia="仿宋_GB2312"/>
          <w:color w:val="auto"/>
          <w:sz w:val="20"/>
          <w:szCs w:val="20"/>
          <w:highlight w:val="none"/>
          <w:lang w:val="en-US" w:eastAsia="zh-CN"/>
        </w:rPr>
        <w:t>于</w:t>
      </w:r>
      <w:r>
        <w:rPr>
          <w:rFonts w:hint="eastAsia" w:ascii="仿宋_GB2312" w:hAnsi="宋体" w:eastAsia="仿宋_GB2312"/>
          <w:color w:val="auto"/>
          <w:sz w:val="20"/>
          <w:szCs w:val="20"/>
          <w:highlight w:val="none"/>
          <w:lang w:eastAsia="zh-CN"/>
        </w:rPr>
        <w:t>认购</w:t>
      </w:r>
      <w:r>
        <w:rPr>
          <w:rFonts w:hint="eastAsia" w:ascii="仿宋_GB2312" w:hAnsi="宋体" w:eastAsia="仿宋_GB2312"/>
          <w:color w:val="auto"/>
          <w:sz w:val="20"/>
          <w:szCs w:val="20"/>
          <w:highlight w:val="none"/>
          <w:lang w:val="en-US" w:eastAsia="zh-CN"/>
        </w:rPr>
        <w:t>/申购</w:t>
      </w:r>
      <w:r>
        <w:rPr>
          <w:rFonts w:hint="eastAsia" w:ascii="仿宋_GB2312" w:hAnsi="宋体" w:eastAsia="仿宋_GB2312"/>
          <w:color w:val="auto"/>
          <w:sz w:val="20"/>
          <w:szCs w:val="20"/>
          <w:highlight w:val="none"/>
          <w:lang w:eastAsia="zh-CN"/>
        </w:rPr>
        <w:t>日冻结</w:t>
      </w:r>
      <w:r>
        <w:rPr>
          <w:rFonts w:hint="eastAsia" w:ascii="仿宋_GB2312" w:hAnsi="宋体" w:eastAsia="仿宋_GB2312"/>
          <w:color w:val="auto"/>
          <w:sz w:val="20"/>
          <w:szCs w:val="20"/>
          <w:highlight w:val="none"/>
          <w:lang w:val="en-US" w:eastAsia="zh-CN"/>
        </w:rPr>
        <w:t>甲方认购/申购账户内的相应</w:t>
      </w:r>
      <w:r>
        <w:rPr>
          <w:rFonts w:hint="eastAsia" w:ascii="仿宋_GB2312" w:hAnsi="宋体" w:eastAsia="仿宋_GB2312"/>
          <w:color w:val="auto"/>
          <w:sz w:val="20"/>
          <w:szCs w:val="20"/>
          <w:highlight w:val="none"/>
          <w:lang w:eastAsia="zh-CN"/>
        </w:rPr>
        <w:t>资金。</w:t>
      </w:r>
      <w:r>
        <w:rPr>
          <w:rFonts w:hint="eastAsia" w:ascii="仿宋_GB2312" w:hAnsi="宋体" w:eastAsia="仿宋_GB2312"/>
          <w:color w:val="auto"/>
          <w:sz w:val="20"/>
          <w:szCs w:val="20"/>
          <w:highlight w:val="none"/>
          <w:lang w:val="en-US" w:eastAsia="zh-CN"/>
        </w:rPr>
        <w:t>冻结期间，甲方</w:t>
      </w:r>
      <w:r>
        <w:rPr>
          <w:rFonts w:hint="default" w:ascii="仿宋_GB2312" w:hAnsi="宋体" w:eastAsia="仿宋_GB2312" w:cstheme="minorBidi"/>
          <w:b w:val="0"/>
          <w:bCs w:val="0"/>
          <w:color w:val="auto"/>
          <w:sz w:val="20"/>
          <w:szCs w:val="20"/>
          <w:highlight w:val="none"/>
          <w:lang w:eastAsia="zh-CN"/>
        </w:rPr>
        <w:t>可获得认购/申购资金的活期存款利息（</w:t>
      </w:r>
      <w:r>
        <w:rPr>
          <w:rFonts w:hint="default" w:ascii="仿宋_GB2312" w:hAnsi="宋体" w:eastAsia="仿宋_GB2312" w:cstheme="minorBidi"/>
          <w:b w:val="0"/>
          <w:bCs w:val="0"/>
          <w:color w:val="auto"/>
          <w:sz w:val="20"/>
          <w:szCs w:val="20"/>
          <w:highlight w:val="none"/>
          <w:lang w:val="en-US" w:eastAsia="zh-CN"/>
        </w:rPr>
        <w:t>单利</w:t>
      </w:r>
      <w:r>
        <w:rPr>
          <w:rFonts w:hint="default" w:ascii="仿宋_GB2312" w:hAnsi="宋体" w:eastAsia="仿宋_GB2312" w:cstheme="minorBidi"/>
          <w:b w:val="0"/>
          <w:bCs w:val="0"/>
          <w:color w:val="auto"/>
          <w:sz w:val="20"/>
          <w:szCs w:val="20"/>
          <w:highlight w:val="none"/>
          <w:lang w:eastAsia="zh-CN"/>
        </w:rPr>
        <w:t>），</w:t>
      </w:r>
      <w:r>
        <w:rPr>
          <w:rFonts w:hint="default" w:ascii="仿宋_GB2312" w:hAnsi="宋体" w:eastAsia="仿宋_GB2312" w:cstheme="minorBidi"/>
          <w:b w:val="0"/>
          <w:bCs w:val="0"/>
          <w:color w:val="auto"/>
          <w:sz w:val="20"/>
          <w:szCs w:val="20"/>
          <w:highlight w:val="none"/>
          <w:lang w:val="en-US" w:eastAsia="zh-CN"/>
        </w:rPr>
        <w:t>但</w:t>
      </w:r>
      <w:r>
        <w:rPr>
          <w:rFonts w:hint="eastAsia" w:ascii="仿宋_GB2312" w:hAnsi="宋体" w:eastAsia="仿宋_GB2312" w:cstheme="minorBidi"/>
          <w:b w:val="0"/>
          <w:bCs w:val="0"/>
          <w:color w:val="auto"/>
          <w:sz w:val="20"/>
          <w:szCs w:val="20"/>
          <w:highlight w:val="none"/>
          <w:lang w:val="en-US" w:eastAsia="zh-CN"/>
        </w:rPr>
        <w:t>该</w:t>
      </w:r>
      <w:r>
        <w:rPr>
          <w:rFonts w:hint="default" w:ascii="仿宋_GB2312" w:hAnsi="宋体" w:eastAsia="仿宋_GB2312" w:cstheme="minorBidi"/>
          <w:b w:val="0"/>
          <w:bCs w:val="0"/>
          <w:color w:val="auto"/>
          <w:sz w:val="20"/>
          <w:szCs w:val="20"/>
          <w:highlight w:val="none"/>
          <w:lang w:eastAsia="zh-CN"/>
        </w:rPr>
        <w:t>活期存款利息不计入认购/申购资金。</w:t>
      </w:r>
      <w:r>
        <w:rPr>
          <w:rFonts w:hint="eastAsia" w:ascii="仿宋_GB2312" w:hAnsi="宋体" w:eastAsia="仿宋_GB2312"/>
          <w:color w:val="auto"/>
          <w:sz w:val="20"/>
          <w:szCs w:val="20"/>
          <w:highlight w:val="none"/>
          <w:lang w:eastAsia="zh-CN"/>
        </w:rPr>
        <w:t>产品成立日</w:t>
      </w:r>
      <w:r>
        <w:rPr>
          <w:rFonts w:hint="eastAsia" w:ascii="仿宋_GB2312" w:hAnsi="宋体" w:eastAsia="仿宋_GB2312"/>
          <w:color w:val="auto"/>
          <w:sz w:val="20"/>
          <w:szCs w:val="20"/>
          <w:highlight w:val="none"/>
          <w:lang w:val="en-US" w:eastAsia="zh-CN"/>
        </w:rPr>
        <w:t>乙方</w:t>
      </w:r>
      <w:r>
        <w:rPr>
          <w:rFonts w:hint="eastAsia" w:ascii="仿宋_GB2312" w:hAnsi="宋体" w:eastAsia="仿宋_GB2312"/>
          <w:color w:val="auto"/>
          <w:sz w:val="20"/>
          <w:szCs w:val="20"/>
          <w:highlight w:val="none"/>
          <w:lang w:eastAsia="zh-CN"/>
        </w:rPr>
        <w:t>从该账户内扣划相应资金，</w:t>
      </w:r>
      <w:r>
        <w:rPr>
          <w:rFonts w:hint="eastAsia" w:ascii="仿宋_GB2312" w:hAnsi="宋体" w:eastAsia="仿宋_GB2312"/>
          <w:b/>
          <w:bCs/>
          <w:color w:val="auto"/>
          <w:sz w:val="20"/>
          <w:szCs w:val="20"/>
          <w:highlight w:val="none"/>
          <w:lang w:val="en-US" w:eastAsia="zh-CN"/>
        </w:rPr>
        <w:t>但因甲方</w:t>
      </w:r>
      <w:r>
        <w:rPr>
          <w:rFonts w:hint="default" w:ascii="仿宋_GB2312" w:hAnsi="宋体" w:eastAsia="仿宋_GB2312" w:cstheme="minorBidi"/>
          <w:b/>
          <w:bCs/>
          <w:color w:val="auto"/>
          <w:sz w:val="20"/>
          <w:szCs w:val="20"/>
          <w:highlight w:val="none"/>
          <w:lang w:eastAsia="zh-CN"/>
        </w:rPr>
        <w:t>认购/申购</w:t>
      </w:r>
      <w:r>
        <w:rPr>
          <w:rFonts w:hint="eastAsia" w:ascii="仿宋_GB2312" w:hAnsi="宋体" w:eastAsia="仿宋_GB2312" w:cstheme="minorBidi"/>
          <w:b/>
          <w:bCs/>
          <w:color w:val="auto"/>
          <w:sz w:val="20"/>
          <w:szCs w:val="20"/>
          <w:highlight w:val="none"/>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301761B0">
      <w:pPr>
        <w:keepNext w:val="0"/>
        <w:keepLines w:val="0"/>
        <w:pageBreakBefore w:val="0"/>
        <w:widowControl w:val="0"/>
        <w:kinsoku/>
        <w:wordWrap/>
        <w:overflowPunct/>
        <w:topLinePunct w:val="0"/>
        <w:autoSpaceDE/>
        <w:autoSpaceDN/>
        <w:bidi w:val="0"/>
        <w:adjustRightInd/>
        <w:snapToGrid w:val="0"/>
        <w:spacing w:after="0" w:line="240" w:lineRule="exact"/>
        <w:ind w:firstLine="400" w:firstLineChars="200"/>
        <w:jc w:val="both"/>
        <w:textAlignment w:val="auto"/>
        <w:rPr>
          <w:rFonts w:hint="default" w:ascii="仿宋_GB2312" w:hAnsi="宋体" w:eastAsia="仿宋_GB2312"/>
          <w:color w:val="auto"/>
          <w:sz w:val="20"/>
          <w:szCs w:val="20"/>
          <w:highlight w:val="none"/>
          <w:lang w:val="en-US" w:eastAsia="zh-CN"/>
        </w:rPr>
      </w:pPr>
      <w:r>
        <w:rPr>
          <w:rFonts w:hint="eastAsia" w:ascii="仿宋_GB2312" w:hAnsi="宋体" w:eastAsia="仿宋_GB2312"/>
          <w:color w:val="auto"/>
          <w:sz w:val="20"/>
          <w:szCs w:val="20"/>
          <w:highlight w:val="none"/>
          <w:lang w:val="en-US" w:eastAsia="zh-CN"/>
        </w:rPr>
        <w:t>六、</w:t>
      </w:r>
      <w:r>
        <w:rPr>
          <w:rFonts w:hint="eastAsia" w:ascii="仿宋_GB2312" w:hAnsi="宋体" w:eastAsia="仿宋_GB2312"/>
          <w:sz w:val="20"/>
          <w:szCs w:val="20"/>
          <w:highlight w:val="none"/>
          <w:lang w:eastAsia="zh-CN"/>
        </w:rPr>
        <w:t>因</w:t>
      </w:r>
      <w:r>
        <w:rPr>
          <w:rFonts w:hint="eastAsia" w:ascii="仿宋_GB2312" w:hAnsi="宋体" w:eastAsia="仿宋_GB2312"/>
          <w:color w:val="auto"/>
          <w:sz w:val="20"/>
          <w:szCs w:val="20"/>
          <w:highlight w:val="none"/>
          <w:lang w:eastAsia="zh-CN"/>
        </w:rPr>
        <w:t>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cstheme="minorBidi"/>
          <w:b w:val="0"/>
          <w:bCs w:val="0"/>
          <w:sz w:val="20"/>
          <w:szCs w:val="20"/>
          <w:highlight w:val="none"/>
          <w:lang w:val="en-US" w:eastAsia="zh-CN"/>
        </w:rPr>
        <w:t>/申购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w:t>
      </w:r>
      <w:r>
        <w:rPr>
          <w:rFonts w:hint="eastAsia" w:ascii="仿宋_GB2312" w:hAnsi="宋体" w:eastAsia="仿宋_GB2312" w:cstheme="minorBidi"/>
          <w:b w:val="0"/>
          <w:bCs w:val="0"/>
          <w:sz w:val="20"/>
          <w:szCs w:val="20"/>
          <w:highlight w:val="none"/>
          <w:lang w:val="en-US" w:eastAsia="zh-CN"/>
        </w:rPr>
        <w:t>/申购</w:t>
      </w:r>
      <w:r>
        <w:rPr>
          <w:rFonts w:ascii="仿宋_GB2312" w:hAnsi="宋体" w:eastAsia="仿宋_GB2312"/>
          <w:sz w:val="20"/>
          <w:szCs w:val="20"/>
          <w:highlight w:val="none"/>
          <w:lang w:eastAsia="zh-CN"/>
        </w:rPr>
        <w:t>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cstheme="minorBidi"/>
          <w:b w:val="0"/>
          <w:bCs w:val="0"/>
          <w:sz w:val="20"/>
          <w:szCs w:val="20"/>
          <w:highlight w:val="none"/>
          <w:lang w:val="en-US" w:eastAsia="zh-CN"/>
        </w:rPr>
        <w:t>/申购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cstheme="minorBidi"/>
          <w:b w:val="0"/>
          <w:bCs w:val="0"/>
          <w:sz w:val="20"/>
          <w:szCs w:val="20"/>
          <w:highlight w:val="none"/>
          <w:lang w:val="en-US" w:eastAsia="zh-CN"/>
        </w:rPr>
        <w:t>/申购</w:t>
      </w:r>
      <w:r>
        <w:rPr>
          <w:rFonts w:hint="eastAsia" w:ascii="仿宋_GB2312" w:hAnsi="宋体" w:eastAsia="仿宋_GB2312"/>
          <w:sz w:val="20"/>
          <w:szCs w:val="20"/>
          <w:highlight w:val="none"/>
          <w:lang w:val="en-US" w:eastAsia="zh-CN"/>
        </w:rPr>
        <w:t>账户资金遇有权机关扣划的，自资</w:t>
      </w:r>
      <w:r>
        <w:rPr>
          <w:rFonts w:hint="eastAsia" w:ascii="仿宋_GB2312" w:hAnsi="宋体" w:eastAsia="仿宋_GB2312"/>
          <w:color w:val="auto"/>
          <w:sz w:val="20"/>
          <w:szCs w:val="20"/>
          <w:highlight w:val="none"/>
          <w:lang w:val="en-US" w:eastAsia="zh-CN"/>
        </w:rPr>
        <w:t>金被扣划之日起，乙方不再支付利息。</w:t>
      </w:r>
    </w:p>
    <w:p w14:paraId="7B86547A">
      <w:pPr>
        <w:snapToGrid w:val="0"/>
        <w:spacing w:line="240" w:lineRule="exact"/>
        <w:ind w:firstLine="402" w:firstLineChars="200"/>
        <w:jc w:val="both"/>
        <w:rPr>
          <w:rFonts w:ascii="仿宋_GB2312" w:hAnsi="宋体" w:eastAsia="仿宋_GB2312"/>
          <w:color w:val="auto"/>
          <w:sz w:val="20"/>
          <w:szCs w:val="20"/>
          <w:highlight w:val="none"/>
          <w:lang w:eastAsia="zh-CN"/>
        </w:rPr>
      </w:pPr>
      <w:r>
        <w:rPr>
          <w:rFonts w:hint="eastAsia" w:ascii="仿宋_GB2312" w:hAnsi="宋体" w:eastAsia="仿宋_GB2312"/>
          <w:b/>
          <w:bCs/>
          <w:color w:val="auto"/>
          <w:sz w:val="20"/>
          <w:szCs w:val="20"/>
          <w:highlight w:val="none"/>
          <w:lang w:val="en-US" w:eastAsia="zh-CN"/>
        </w:rPr>
        <w:t>七、</w:t>
      </w:r>
      <w:r>
        <w:rPr>
          <w:rFonts w:hint="eastAsia" w:ascii="仿宋_GB2312" w:hAnsi="宋体" w:eastAsia="仿宋_GB2312"/>
          <w:b/>
          <w:bCs/>
          <w:color w:val="auto"/>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color w:val="auto"/>
          <w:sz w:val="20"/>
          <w:szCs w:val="20"/>
          <w:highlight w:val="none"/>
          <w:lang w:eastAsia="zh-CN"/>
        </w:rPr>
        <w:t>认购/申购</w:t>
      </w:r>
      <w:r>
        <w:rPr>
          <w:rFonts w:hint="eastAsia" w:ascii="仿宋_GB2312" w:hAnsi="宋体" w:eastAsia="仿宋_GB2312"/>
          <w:b/>
          <w:bCs/>
          <w:color w:val="auto"/>
          <w:sz w:val="20"/>
          <w:szCs w:val="20"/>
          <w:highlight w:val="none"/>
          <w:lang w:eastAsia="zh-CN"/>
        </w:rPr>
        <w:t>账户销户。</w:t>
      </w:r>
      <w:r>
        <w:rPr>
          <w:rFonts w:hint="eastAsia" w:ascii="仿宋_GB2312" w:hAnsi="宋体" w:eastAsia="仿宋_GB2312"/>
          <w:color w:val="auto"/>
          <w:sz w:val="20"/>
          <w:szCs w:val="20"/>
          <w:highlight w:val="none"/>
          <w:lang w:val="en-US" w:eastAsia="zh-CN"/>
        </w:rPr>
        <w:t>如</w:t>
      </w:r>
      <w:r>
        <w:rPr>
          <w:rFonts w:hint="eastAsia" w:ascii="仿宋_GB2312" w:hAnsi="宋体" w:eastAsia="仿宋_GB2312"/>
          <w:sz w:val="20"/>
          <w:szCs w:val="20"/>
          <w:highlight w:val="none"/>
          <w:lang w:val="en-US" w:eastAsia="zh-CN"/>
        </w:rPr>
        <w:t>甲方</w:t>
      </w:r>
      <w:r>
        <w:rPr>
          <w:rFonts w:hint="default" w:ascii="仿宋_GB2312" w:hAnsi="宋体" w:eastAsia="仿宋_GB2312" w:cstheme="minorBidi"/>
          <w:b w:val="0"/>
          <w:bCs w:val="0"/>
          <w:color w:val="auto"/>
          <w:sz w:val="20"/>
          <w:szCs w:val="20"/>
          <w:highlight w:val="none"/>
          <w:lang w:eastAsia="zh-CN"/>
        </w:rPr>
        <w:t>认购/申购</w:t>
      </w:r>
      <w:r>
        <w:rPr>
          <w:rFonts w:hint="eastAsia" w:ascii="仿宋_GB2312" w:hAnsi="宋体" w:eastAsia="仿宋_GB2312"/>
          <w:color w:val="auto"/>
          <w:sz w:val="20"/>
          <w:szCs w:val="20"/>
          <w:highlight w:val="none"/>
          <w:lang w:val="en-US" w:eastAsia="zh-CN"/>
        </w:rPr>
        <w:t>账户状态异常</w:t>
      </w:r>
      <w:r>
        <w:rPr>
          <w:rFonts w:hint="eastAsia" w:ascii="仿宋_GB2312" w:hAnsi="宋体" w:eastAsia="仿宋_GB2312" w:cstheme="minorBidi"/>
          <w:b w:val="0"/>
          <w:bCs w:val="0"/>
          <w:color w:val="auto"/>
          <w:sz w:val="20"/>
          <w:szCs w:val="20"/>
          <w:highlight w:val="none"/>
          <w:lang w:val="en-US" w:eastAsia="zh-CN"/>
        </w:rPr>
        <w:t>导致</w:t>
      </w:r>
      <w:r>
        <w:rPr>
          <w:rFonts w:hint="eastAsia" w:ascii="仿宋_GB2312" w:hAnsi="宋体" w:eastAsia="仿宋_GB2312"/>
          <w:color w:val="auto"/>
          <w:sz w:val="20"/>
          <w:szCs w:val="20"/>
          <w:highlight w:val="none"/>
          <w:lang w:val="en-US" w:eastAsia="zh-CN"/>
        </w:rPr>
        <w:t>投资款项</w:t>
      </w:r>
      <w:r>
        <w:rPr>
          <w:rFonts w:hint="eastAsia" w:ascii="仿宋_GB2312" w:hAnsi="宋体" w:eastAsia="仿宋_GB2312"/>
          <w:color w:val="auto"/>
          <w:sz w:val="20"/>
          <w:szCs w:val="20"/>
          <w:highlight w:val="none"/>
          <w:lang w:eastAsia="zh-CN"/>
        </w:rPr>
        <w:t>无法入账，由甲方自行承担责任。因甲方</w:t>
      </w:r>
      <w:r>
        <w:rPr>
          <w:rFonts w:hint="default" w:ascii="仿宋_GB2312" w:hAnsi="宋体" w:eastAsia="仿宋_GB2312" w:cstheme="minorBidi"/>
          <w:b w:val="0"/>
          <w:bCs w:val="0"/>
          <w:color w:val="auto"/>
          <w:sz w:val="20"/>
          <w:szCs w:val="20"/>
          <w:highlight w:val="none"/>
          <w:lang w:eastAsia="zh-CN"/>
        </w:rPr>
        <w:t>认购/申购</w:t>
      </w:r>
      <w:r>
        <w:rPr>
          <w:rFonts w:hint="eastAsia" w:ascii="仿宋_GB2312" w:hAnsi="宋体" w:eastAsia="仿宋_GB2312"/>
          <w:color w:val="auto"/>
          <w:sz w:val="20"/>
          <w:szCs w:val="20"/>
          <w:highlight w:val="none"/>
          <w:lang w:eastAsia="zh-CN"/>
        </w:rPr>
        <w:t>账户挂失、换卡等原因造成有关账户信息变更的，甲方应在投资款项入账前到乙方</w:t>
      </w:r>
      <w:r>
        <w:rPr>
          <w:rFonts w:hint="eastAsia" w:ascii="仿宋_GB2312" w:hAnsi="宋体" w:eastAsia="仿宋_GB2312"/>
          <w:color w:val="auto"/>
          <w:sz w:val="20"/>
          <w:szCs w:val="20"/>
          <w:highlight w:val="none"/>
          <w:lang w:val="en-US" w:eastAsia="zh-CN"/>
        </w:rPr>
        <w:t>任一</w:t>
      </w:r>
      <w:r>
        <w:rPr>
          <w:rFonts w:hint="eastAsia" w:ascii="仿宋_GB2312" w:hAnsi="宋体" w:eastAsia="仿宋_GB2312"/>
          <w:color w:val="auto"/>
          <w:sz w:val="20"/>
          <w:szCs w:val="20"/>
          <w:highlight w:val="none"/>
          <w:lang w:eastAsia="zh-CN"/>
        </w:rPr>
        <w:t>网点办理理财账户变更，如因甲方未及时变更而造成投资款项无法入账，甲方承担全部责任。</w:t>
      </w:r>
    </w:p>
    <w:p w14:paraId="39E653B5">
      <w:pPr>
        <w:snapToGrid w:val="0"/>
        <w:spacing w:line="240" w:lineRule="exact"/>
        <w:ind w:firstLine="402" w:firstLineChars="200"/>
        <w:jc w:val="both"/>
        <w:rPr>
          <w:rFonts w:ascii="仿宋_GB2312" w:hAnsi="宋体" w:eastAsia="仿宋_GB2312"/>
          <w:b/>
          <w:bCs/>
          <w:color w:val="auto"/>
          <w:sz w:val="20"/>
          <w:szCs w:val="20"/>
          <w:highlight w:val="none"/>
          <w:lang w:eastAsia="zh-CN"/>
        </w:rPr>
      </w:pPr>
      <w:r>
        <w:rPr>
          <w:rFonts w:hint="eastAsia" w:ascii="仿宋_GB2312" w:hAnsi="宋体" w:eastAsia="仿宋_GB2312"/>
          <w:b/>
          <w:bCs/>
          <w:color w:val="auto"/>
          <w:sz w:val="20"/>
          <w:szCs w:val="20"/>
          <w:highlight w:val="none"/>
          <w:lang w:val="en-US" w:eastAsia="zh-CN"/>
        </w:rPr>
        <w:t>八</w:t>
      </w:r>
      <w:r>
        <w:rPr>
          <w:rFonts w:hint="eastAsia" w:ascii="仿宋_GB2312" w:hAnsi="宋体" w:eastAsia="仿宋_GB2312"/>
          <w:b/>
          <w:bCs/>
          <w:color w:val="auto"/>
          <w:sz w:val="20"/>
          <w:szCs w:val="20"/>
          <w:highlight w:val="none"/>
          <w:lang w:eastAsia="zh-CN"/>
        </w:rPr>
        <w:t>、乙方将实际兑付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认购/申购账户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5348312A">
      <w:pPr>
        <w:snapToGrid w:val="0"/>
        <w:spacing w:line="240" w:lineRule="exact"/>
        <w:ind w:firstLine="402" w:firstLineChars="200"/>
        <w:rPr>
          <w:rFonts w:ascii="仿宋_GB2312" w:hAnsi="宋体" w:eastAsia="仿宋_GB2312"/>
          <w:b/>
          <w:bCs/>
          <w:color w:val="auto"/>
          <w:sz w:val="20"/>
          <w:szCs w:val="20"/>
          <w:highlight w:val="none"/>
          <w:lang w:eastAsia="zh-CN"/>
        </w:rPr>
      </w:pPr>
      <w:r>
        <w:rPr>
          <w:rFonts w:hint="eastAsia" w:ascii="仿宋_GB2312" w:hAnsi="宋体" w:eastAsia="仿宋_GB2312"/>
          <w:b/>
          <w:bCs/>
          <w:color w:val="auto"/>
          <w:sz w:val="20"/>
          <w:szCs w:val="20"/>
          <w:highlight w:val="none"/>
          <w:lang w:val="en-US" w:eastAsia="zh-CN"/>
        </w:rPr>
        <w:t>九</w:t>
      </w:r>
      <w:r>
        <w:rPr>
          <w:rFonts w:hint="eastAsia" w:ascii="仿宋_GB2312" w:hAnsi="宋体" w:eastAsia="仿宋_GB2312"/>
          <w:b/>
          <w:bCs/>
          <w:color w:val="auto"/>
          <w:sz w:val="20"/>
          <w:szCs w:val="20"/>
          <w:highlight w:val="none"/>
          <w:lang w:eastAsia="zh-CN"/>
        </w:rPr>
        <w:t>、发生下列情况之一时，乙方有权单方提前终止本协议：</w:t>
      </w:r>
    </w:p>
    <w:p w14:paraId="02D0153C">
      <w:pPr>
        <w:pStyle w:val="3"/>
        <w:spacing w:before="0"/>
        <w:ind w:left="0" w:right="153" w:firstLine="400" w:firstLineChars="200"/>
        <w:jc w:val="both"/>
        <w:rPr>
          <w:rFonts w:hint="eastAsia" w:ascii="仿宋_GB2312" w:eastAsia="仿宋_GB2312" w:cs="Times New Roman" w:hAnsiTheme="minorEastAsia"/>
          <w:color w:val="auto"/>
          <w:sz w:val="20"/>
          <w:szCs w:val="20"/>
          <w:highlight w:val="none"/>
          <w:lang w:eastAsia="zh-CN"/>
        </w:rPr>
      </w:pPr>
      <w:r>
        <w:rPr>
          <w:rFonts w:hint="eastAsia" w:ascii="仿宋_GB2312" w:eastAsia="仿宋_GB2312" w:cs="Times New Roman" w:hAnsiTheme="minorEastAsia"/>
          <w:color w:val="auto"/>
          <w:sz w:val="20"/>
          <w:szCs w:val="20"/>
          <w:highlight w:val="none"/>
          <w:lang w:eastAsia="zh-CN"/>
        </w:rPr>
        <w:t>（</w:t>
      </w:r>
      <w:r>
        <w:rPr>
          <w:rFonts w:hint="eastAsia" w:ascii="仿宋_GB2312" w:eastAsia="仿宋_GB2312" w:cs="Times New Roman" w:hAnsiTheme="minorEastAsia"/>
          <w:color w:val="auto"/>
          <w:sz w:val="20"/>
          <w:szCs w:val="20"/>
          <w:highlight w:val="none"/>
          <w:lang w:val="en-US" w:eastAsia="zh-CN"/>
        </w:rPr>
        <w:t>一）</w:t>
      </w:r>
      <w:r>
        <w:rPr>
          <w:rFonts w:hint="eastAsia" w:ascii="仿宋_GB2312" w:eastAsia="仿宋_GB2312" w:cs="Times New Roman" w:hAnsiTheme="minorEastAsia"/>
          <w:color w:val="auto"/>
          <w:sz w:val="20"/>
          <w:szCs w:val="20"/>
          <w:highlight w:val="none"/>
          <w:lang w:eastAsia="zh-CN"/>
        </w:rPr>
        <w:t>募集</w:t>
      </w:r>
      <w:r>
        <w:rPr>
          <w:rFonts w:hint="eastAsia" w:ascii="仿宋_GB2312" w:eastAsia="仿宋_GB2312" w:cs="Times New Roman" w:hAnsiTheme="minorEastAsia"/>
          <w:color w:val="auto"/>
          <w:sz w:val="20"/>
          <w:szCs w:val="20"/>
          <w:highlight w:val="none"/>
          <w:lang w:val="en-US" w:eastAsia="zh-CN"/>
        </w:rPr>
        <w:t>金额</w:t>
      </w:r>
      <w:r>
        <w:rPr>
          <w:rFonts w:hint="eastAsia" w:ascii="仿宋_GB2312" w:eastAsia="仿宋_GB2312" w:cs="Times New Roman" w:hAnsiTheme="minorEastAsia"/>
          <w:color w:val="auto"/>
          <w:sz w:val="20"/>
          <w:szCs w:val="20"/>
          <w:highlight w:val="none"/>
          <w:lang w:eastAsia="zh-CN"/>
        </w:rPr>
        <w:t>低于</w:t>
      </w:r>
      <w:r>
        <w:rPr>
          <w:rFonts w:hint="eastAsia" w:ascii="仿宋_GB2312" w:eastAsia="仿宋_GB2312" w:cs="Times New Roman" w:hAnsiTheme="minorEastAsia"/>
          <w:b/>
          <w:bCs/>
          <w:color w:val="auto"/>
          <w:sz w:val="20"/>
          <w:szCs w:val="20"/>
          <w:highlight w:val="none"/>
          <w:u w:val="none"/>
          <w:lang w:val="en-US" w:eastAsia="zh-CN"/>
        </w:rPr>
        <w:t>100</w:t>
      </w:r>
      <w:r>
        <w:rPr>
          <w:rFonts w:hint="eastAsia" w:ascii="仿宋_GB2312" w:eastAsia="仿宋_GB2312" w:cs="Times New Roman" w:hAnsiTheme="minorEastAsia"/>
          <w:color w:val="auto"/>
          <w:sz w:val="20"/>
          <w:szCs w:val="20"/>
          <w:highlight w:val="none"/>
          <w:u w:val="none"/>
          <w:lang w:val="en-US" w:eastAsia="zh-CN"/>
        </w:rPr>
        <w:t>万</w:t>
      </w:r>
      <w:r>
        <w:rPr>
          <w:rFonts w:hint="eastAsia" w:ascii="仿宋_GB2312" w:eastAsia="仿宋_GB2312" w:cs="Times New Roman" w:hAnsiTheme="minorEastAsia"/>
          <w:color w:val="auto"/>
          <w:sz w:val="20"/>
          <w:szCs w:val="20"/>
          <w:highlight w:val="none"/>
          <w:lang w:eastAsia="zh-CN"/>
        </w:rPr>
        <w:t>元时，产品可不成立；</w:t>
      </w:r>
    </w:p>
    <w:p w14:paraId="0F5B6216">
      <w:pPr>
        <w:pStyle w:val="3"/>
        <w:spacing w:before="0"/>
        <w:ind w:left="0" w:right="153" w:firstLine="400" w:firstLineChars="200"/>
        <w:jc w:val="both"/>
        <w:rPr>
          <w:rFonts w:ascii="仿宋_GB2312" w:eastAsia="仿宋_GB2312" w:cs="Times New Roman" w:hAnsiTheme="minorEastAsia"/>
          <w:color w:val="auto"/>
          <w:sz w:val="20"/>
          <w:szCs w:val="20"/>
          <w:highlight w:val="none"/>
          <w:lang w:eastAsia="zh-CN"/>
        </w:rPr>
      </w:pPr>
      <w:r>
        <w:rPr>
          <w:rFonts w:hint="eastAsia" w:ascii="仿宋_GB2312" w:eastAsia="仿宋_GB2312" w:cs="Times New Roman" w:hAnsiTheme="minorEastAsia"/>
          <w:color w:val="auto"/>
          <w:sz w:val="20"/>
          <w:szCs w:val="20"/>
          <w:highlight w:val="none"/>
          <w:lang w:eastAsia="zh-CN"/>
        </w:rPr>
        <w:t>（</w:t>
      </w:r>
      <w:r>
        <w:rPr>
          <w:rFonts w:hint="eastAsia" w:ascii="仿宋_GB2312" w:eastAsia="仿宋_GB2312" w:cs="Times New Roman" w:hAnsiTheme="minorEastAsia"/>
          <w:color w:val="auto"/>
          <w:sz w:val="20"/>
          <w:szCs w:val="20"/>
          <w:highlight w:val="none"/>
          <w:lang w:val="en-US" w:eastAsia="zh-CN"/>
        </w:rPr>
        <w:t>二</w:t>
      </w:r>
      <w:r>
        <w:rPr>
          <w:rFonts w:hint="eastAsia" w:ascii="仿宋_GB2312" w:eastAsia="仿宋_GB2312" w:cs="Times New Roman" w:hAnsiTheme="minorEastAsia"/>
          <w:color w:val="auto"/>
          <w:sz w:val="20"/>
          <w:szCs w:val="20"/>
          <w:highlight w:val="none"/>
          <w:lang w:eastAsia="zh-CN"/>
        </w:rPr>
        <w:t>）产品存续规模低于</w:t>
      </w:r>
      <w:r>
        <w:rPr>
          <w:rFonts w:hint="eastAsia" w:ascii="仿宋_GB2312" w:eastAsia="仿宋_GB2312" w:cs="Times New Roman" w:hAnsiTheme="minorEastAsia"/>
          <w:b/>
          <w:bCs/>
          <w:color w:val="auto"/>
          <w:sz w:val="20"/>
          <w:szCs w:val="20"/>
          <w:highlight w:val="none"/>
          <w:u w:val="none"/>
          <w:lang w:val="en-US" w:eastAsia="zh-CN"/>
        </w:rPr>
        <w:t>1000</w:t>
      </w:r>
      <w:r>
        <w:rPr>
          <w:rFonts w:hint="eastAsia" w:ascii="仿宋_GB2312" w:eastAsia="仿宋_GB2312" w:cs="Times New Roman" w:hAnsiTheme="minorEastAsia"/>
          <w:color w:val="auto"/>
          <w:sz w:val="20"/>
          <w:szCs w:val="20"/>
          <w:highlight w:val="none"/>
          <w:u w:val="none"/>
          <w:lang w:val="en-US" w:eastAsia="zh-CN"/>
        </w:rPr>
        <w:t>万元</w:t>
      </w:r>
      <w:r>
        <w:rPr>
          <w:rFonts w:hint="eastAsia" w:ascii="仿宋_GB2312" w:eastAsia="仿宋_GB2312" w:cs="Times New Roman" w:hAnsiTheme="minorEastAsia"/>
          <w:color w:val="auto"/>
          <w:sz w:val="20"/>
          <w:szCs w:val="20"/>
          <w:highlight w:val="none"/>
          <w:lang w:eastAsia="zh-CN"/>
        </w:rPr>
        <w:t>，产品可提前终止；</w:t>
      </w:r>
    </w:p>
    <w:p w14:paraId="5FA9BF74">
      <w:pPr>
        <w:pStyle w:val="3"/>
        <w:spacing w:before="0"/>
        <w:ind w:left="0" w:right="153" w:firstLine="400" w:firstLineChars="200"/>
        <w:jc w:val="both"/>
        <w:rPr>
          <w:rFonts w:ascii="仿宋_GB2312" w:eastAsia="仿宋_GB2312" w:cs="Times New Roman" w:hAnsiTheme="minorEastAsia"/>
          <w:color w:val="auto"/>
          <w:sz w:val="20"/>
          <w:szCs w:val="20"/>
          <w:highlight w:val="none"/>
          <w:lang w:eastAsia="zh-CN"/>
        </w:rPr>
      </w:pPr>
      <w:r>
        <w:rPr>
          <w:rFonts w:hint="eastAsia" w:ascii="仿宋_GB2312" w:eastAsia="仿宋_GB2312" w:cs="Times New Roman" w:hAnsiTheme="minorEastAsia"/>
          <w:color w:val="auto"/>
          <w:sz w:val="20"/>
          <w:szCs w:val="20"/>
          <w:highlight w:val="none"/>
          <w:lang w:eastAsia="zh-CN"/>
        </w:rPr>
        <w:t>（</w:t>
      </w:r>
      <w:r>
        <w:rPr>
          <w:rFonts w:hint="eastAsia" w:ascii="仿宋_GB2312" w:eastAsia="仿宋_GB2312" w:cs="Times New Roman" w:hAnsiTheme="minorEastAsia"/>
          <w:color w:val="auto"/>
          <w:sz w:val="20"/>
          <w:szCs w:val="20"/>
          <w:highlight w:val="none"/>
          <w:lang w:val="en-US" w:eastAsia="zh-CN"/>
        </w:rPr>
        <w:t>三）</w:t>
      </w:r>
      <w:r>
        <w:rPr>
          <w:rFonts w:hint="eastAsia" w:ascii="仿宋_GB2312" w:eastAsia="仿宋_GB2312" w:cs="Times New Roman" w:hAnsiTheme="minorEastAsia"/>
          <w:color w:val="auto"/>
          <w:sz w:val="20"/>
          <w:szCs w:val="20"/>
          <w:highlight w:val="none"/>
          <w:lang w:eastAsia="zh-CN"/>
        </w:rPr>
        <w:t>因不可抗力原因导致理财产品无法继续运作；</w:t>
      </w:r>
    </w:p>
    <w:p w14:paraId="1C3B6504">
      <w:pPr>
        <w:pStyle w:val="3"/>
        <w:spacing w:before="0"/>
        <w:ind w:left="0" w:right="153" w:firstLine="400" w:firstLineChars="200"/>
        <w:jc w:val="both"/>
        <w:rPr>
          <w:rFonts w:ascii="仿宋_GB2312" w:eastAsia="仿宋_GB2312" w:cs="Times New Roman" w:hAnsiTheme="minorEastAsia"/>
          <w:color w:val="auto"/>
          <w:sz w:val="20"/>
          <w:szCs w:val="20"/>
          <w:highlight w:val="none"/>
          <w:lang w:eastAsia="zh-CN"/>
        </w:rPr>
      </w:pPr>
      <w:r>
        <w:rPr>
          <w:rFonts w:hint="eastAsia" w:ascii="仿宋_GB2312" w:eastAsia="仿宋_GB2312" w:cs="Times New Roman" w:hAnsiTheme="minorEastAsia"/>
          <w:color w:val="auto"/>
          <w:sz w:val="20"/>
          <w:szCs w:val="20"/>
          <w:highlight w:val="none"/>
          <w:lang w:eastAsia="zh-CN"/>
        </w:rPr>
        <w:t>（</w:t>
      </w:r>
      <w:r>
        <w:rPr>
          <w:rFonts w:hint="eastAsia" w:ascii="仿宋_GB2312" w:eastAsia="仿宋_GB2312" w:cs="Times New Roman" w:hAnsiTheme="minorEastAsia"/>
          <w:color w:val="auto"/>
          <w:sz w:val="20"/>
          <w:szCs w:val="20"/>
          <w:highlight w:val="none"/>
          <w:lang w:val="en-US" w:eastAsia="zh-CN"/>
        </w:rPr>
        <w:t>四）</w:t>
      </w:r>
      <w:r>
        <w:rPr>
          <w:rFonts w:hint="eastAsia" w:ascii="仿宋_GB2312" w:eastAsia="仿宋_GB2312" w:cs="Times New Roman" w:hAnsiTheme="minorEastAsia"/>
          <w:color w:val="auto"/>
          <w:sz w:val="20"/>
          <w:szCs w:val="20"/>
          <w:highlight w:val="none"/>
          <w:lang w:eastAsia="zh-CN"/>
        </w:rPr>
        <w:t>遇有市场剧烈波动、异常风险事件等情形导致理财产品净值出现大幅波动或严重影响理财产品的资产安全；</w:t>
      </w:r>
    </w:p>
    <w:p w14:paraId="61F46D67">
      <w:pPr>
        <w:pStyle w:val="3"/>
        <w:spacing w:before="0"/>
        <w:ind w:left="0" w:right="153" w:firstLine="400" w:firstLineChars="200"/>
        <w:jc w:val="both"/>
        <w:rPr>
          <w:rFonts w:ascii="仿宋_GB2312" w:eastAsia="仿宋_GB2312" w:cs="Times New Roman" w:hAnsiTheme="minorEastAsia"/>
          <w:color w:val="auto"/>
          <w:sz w:val="20"/>
          <w:szCs w:val="20"/>
          <w:highlight w:val="none"/>
          <w:lang w:eastAsia="zh-CN"/>
        </w:rPr>
      </w:pPr>
      <w:r>
        <w:rPr>
          <w:rFonts w:hint="eastAsia" w:ascii="仿宋_GB2312" w:eastAsia="仿宋_GB2312" w:cs="Times New Roman" w:hAnsiTheme="minorEastAsia"/>
          <w:color w:val="auto"/>
          <w:sz w:val="20"/>
          <w:szCs w:val="20"/>
          <w:highlight w:val="none"/>
          <w:lang w:eastAsia="zh-CN"/>
        </w:rPr>
        <w:t>（</w:t>
      </w:r>
      <w:r>
        <w:rPr>
          <w:rFonts w:hint="eastAsia" w:ascii="仿宋_GB2312" w:eastAsia="仿宋_GB2312" w:cs="Times New Roman" w:hAnsiTheme="minorEastAsia"/>
          <w:color w:val="auto"/>
          <w:sz w:val="20"/>
          <w:szCs w:val="20"/>
          <w:highlight w:val="none"/>
          <w:lang w:val="en-US" w:eastAsia="zh-CN"/>
        </w:rPr>
        <w:t>五）</w:t>
      </w:r>
      <w:r>
        <w:rPr>
          <w:rFonts w:hint="eastAsia" w:ascii="仿宋_GB2312" w:eastAsia="仿宋_GB2312" w:cs="Times New Roman" w:hAnsiTheme="minorEastAsia"/>
          <w:color w:val="auto"/>
          <w:sz w:val="20"/>
          <w:szCs w:val="20"/>
          <w:highlight w:val="none"/>
          <w:lang w:eastAsia="zh-CN"/>
        </w:rPr>
        <w:t>因投资者赎回导致理财产品剩余资产无法满足相关法律法规规定、所投资市场要求或</w:t>
      </w:r>
      <w:r>
        <w:rPr>
          <w:rFonts w:hint="eastAsia" w:ascii="仿宋_GB2312" w:eastAsia="仿宋_GB2312" w:cs="Times New Roman" w:hAnsiTheme="minorEastAsia"/>
          <w:color w:val="auto"/>
          <w:sz w:val="20"/>
          <w:szCs w:val="20"/>
          <w:highlight w:val="none"/>
          <w:lang w:val="en-US" w:eastAsia="zh-CN"/>
        </w:rPr>
        <w:t>与第三方签订的投资</w:t>
      </w:r>
      <w:r>
        <w:rPr>
          <w:rFonts w:hint="eastAsia" w:ascii="仿宋_GB2312" w:eastAsia="仿宋_GB2312" w:cs="Times New Roman" w:hAnsiTheme="minorEastAsia"/>
          <w:color w:val="auto"/>
          <w:sz w:val="20"/>
          <w:szCs w:val="20"/>
          <w:highlight w:val="none"/>
          <w:lang w:eastAsia="zh-CN"/>
        </w:rPr>
        <w:t>协议等相关法律文件约定，或者继续存续无法实现投资目标；</w:t>
      </w:r>
    </w:p>
    <w:p w14:paraId="6BB4D74D">
      <w:pPr>
        <w:pStyle w:val="3"/>
        <w:spacing w:before="0"/>
        <w:ind w:left="0" w:right="153" w:firstLine="400" w:firstLineChars="200"/>
        <w:jc w:val="both"/>
        <w:rPr>
          <w:rFonts w:ascii="仿宋_GB2312" w:eastAsia="仿宋_GB2312" w:cs="Times New Roman" w:hAnsiTheme="minorEastAsia"/>
          <w:color w:val="auto"/>
          <w:sz w:val="20"/>
          <w:szCs w:val="20"/>
          <w:highlight w:val="none"/>
          <w:lang w:eastAsia="zh-CN"/>
        </w:rPr>
      </w:pPr>
      <w:r>
        <w:rPr>
          <w:rFonts w:hint="eastAsia" w:ascii="仿宋_GB2312" w:eastAsia="仿宋_GB2312" w:cs="Times New Roman" w:hAnsiTheme="minorEastAsia"/>
          <w:color w:val="auto"/>
          <w:sz w:val="20"/>
          <w:szCs w:val="20"/>
          <w:highlight w:val="none"/>
          <w:lang w:eastAsia="zh-CN"/>
        </w:rPr>
        <w:t>（</w:t>
      </w:r>
      <w:r>
        <w:rPr>
          <w:rFonts w:hint="eastAsia" w:ascii="仿宋_GB2312" w:eastAsia="仿宋_GB2312" w:cs="Times New Roman" w:hAnsiTheme="minorEastAsia"/>
          <w:color w:val="auto"/>
          <w:sz w:val="20"/>
          <w:szCs w:val="20"/>
          <w:highlight w:val="none"/>
          <w:lang w:val="en-US" w:eastAsia="zh-CN"/>
        </w:rPr>
        <w:t>六）</w:t>
      </w:r>
      <w:r>
        <w:rPr>
          <w:rFonts w:hint="eastAsia" w:ascii="仿宋_GB2312" w:eastAsia="仿宋_GB2312" w:cs="Times New Roman" w:hAnsiTheme="minorEastAsia"/>
          <w:color w:val="auto"/>
          <w:sz w:val="20"/>
          <w:szCs w:val="20"/>
          <w:highlight w:val="none"/>
          <w:lang w:eastAsia="zh-CN"/>
        </w:rPr>
        <w:t>因相关投资管理机构解散、破产、撤销、被取消业务资格等原因无法继续履行相应职责导致产品无法继续运作；</w:t>
      </w:r>
    </w:p>
    <w:p w14:paraId="570094EC">
      <w:pPr>
        <w:pStyle w:val="3"/>
        <w:spacing w:before="0"/>
        <w:ind w:left="0" w:right="153" w:firstLine="400" w:firstLineChars="200"/>
        <w:jc w:val="both"/>
        <w:rPr>
          <w:rFonts w:ascii="仿宋_GB2312" w:eastAsia="仿宋_GB2312" w:cs="Times New Roman" w:hAnsiTheme="minorEastAsia"/>
          <w:color w:val="auto"/>
          <w:sz w:val="20"/>
          <w:szCs w:val="20"/>
          <w:highlight w:val="none"/>
          <w:lang w:eastAsia="zh-CN"/>
        </w:rPr>
      </w:pPr>
      <w:r>
        <w:rPr>
          <w:rFonts w:hint="eastAsia" w:ascii="仿宋_GB2312" w:eastAsia="仿宋_GB2312" w:cs="Times New Roman" w:hAnsiTheme="minorEastAsia"/>
          <w:color w:val="auto"/>
          <w:sz w:val="20"/>
          <w:szCs w:val="20"/>
          <w:highlight w:val="none"/>
          <w:lang w:eastAsia="zh-CN"/>
        </w:rPr>
        <w:t>（</w:t>
      </w:r>
      <w:r>
        <w:rPr>
          <w:rFonts w:hint="eastAsia" w:ascii="仿宋_GB2312" w:eastAsia="仿宋_GB2312" w:cs="Times New Roman" w:hAnsiTheme="minorEastAsia"/>
          <w:color w:val="auto"/>
          <w:sz w:val="20"/>
          <w:szCs w:val="20"/>
          <w:highlight w:val="none"/>
          <w:lang w:val="en-US" w:eastAsia="zh-CN"/>
        </w:rPr>
        <w:t>七）</w:t>
      </w:r>
      <w:r>
        <w:rPr>
          <w:rFonts w:hint="eastAsia" w:ascii="仿宋_GB2312" w:eastAsia="仿宋_GB2312" w:cs="Times New Roman" w:hAnsiTheme="minorEastAsia"/>
          <w:color w:val="auto"/>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color w:val="auto"/>
          <w:sz w:val="20"/>
          <w:szCs w:val="20"/>
          <w:highlight w:val="none"/>
          <w:lang w:val="en-US" w:eastAsia="zh-CN"/>
        </w:rPr>
        <w:t>与第三方签订的投资</w:t>
      </w:r>
      <w:r>
        <w:rPr>
          <w:rFonts w:hint="eastAsia" w:ascii="仿宋_GB2312" w:eastAsia="仿宋_GB2312" w:cs="Times New Roman" w:hAnsiTheme="minorEastAsia"/>
          <w:color w:val="auto"/>
          <w:sz w:val="20"/>
          <w:szCs w:val="20"/>
          <w:highlight w:val="none"/>
          <w:lang w:eastAsia="zh-CN"/>
        </w:rPr>
        <w:t>协议等相关法律文件约定的行为导致理财产品被动提前终止；</w:t>
      </w:r>
    </w:p>
    <w:p w14:paraId="6B32CA28">
      <w:pPr>
        <w:pStyle w:val="3"/>
        <w:spacing w:before="0"/>
        <w:ind w:left="0" w:right="153" w:firstLine="400" w:firstLineChars="200"/>
        <w:jc w:val="both"/>
        <w:rPr>
          <w:rFonts w:ascii="仿宋_GB2312" w:eastAsia="仿宋_GB2312" w:cs="Times New Roman" w:hAnsiTheme="minorEastAsia"/>
          <w:color w:val="auto"/>
          <w:sz w:val="20"/>
          <w:szCs w:val="20"/>
          <w:highlight w:val="none"/>
          <w:lang w:eastAsia="zh-CN"/>
        </w:rPr>
      </w:pPr>
      <w:r>
        <w:rPr>
          <w:rFonts w:hint="eastAsia" w:ascii="仿宋_GB2312" w:eastAsia="仿宋_GB2312" w:cs="Times New Roman" w:hAnsiTheme="minorEastAsia"/>
          <w:color w:val="auto"/>
          <w:sz w:val="20"/>
          <w:szCs w:val="20"/>
          <w:highlight w:val="none"/>
          <w:lang w:eastAsia="zh-CN"/>
        </w:rPr>
        <w:t>（</w:t>
      </w:r>
      <w:r>
        <w:rPr>
          <w:rFonts w:hint="eastAsia" w:ascii="仿宋_GB2312" w:eastAsia="仿宋_GB2312" w:cs="Times New Roman" w:hAnsiTheme="minorEastAsia"/>
          <w:color w:val="auto"/>
          <w:sz w:val="20"/>
          <w:szCs w:val="20"/>
          <w:highlight w:val="none"/>
          <w:lang w:val="en-US" w:eastAsia="zh-CN"/>
        </w:rPr>
        <w:t>八）</w:t>
      </w:r>
      <w:r>
        <w:rPr>
          <w:rFonts w:hint="eastAsia" w:ascii="仿宋_GB2312" w:eastAsia="仿宋_GB2312" w:cs="Times New Roman" w:hAnsiTheme="minorEastAsia"/>
          <w:color w:val="auto"/>
          <w:sz w:val="20"/>
          <w:szCs w:val="20"/>
          <w:highlight w:val="none"/>
          <w:lang w:eastAsia="zh-CN"/>
        </w:rPr>
        <w:t>因法律法规变化或国家金融政策调整、紧急措施出台影响产品继续正常运作；</w:t>
      </w:r>
    </w:p>
    <w:p w14:paraId="58C2090B">
      <w:pPr>
        <w:pStyle w:val="3"/>
        <w:spacing w:before="0"/>
        <w:ind w:left="0" w:right="153" w:firstLine="400" w:firstLineChars="200"/>
        <w:jc w:val="both"/>
        <w:rPr>
          <w:rFonts w:ascii="仿宋_GB2312" w:eastAsia="仿宋_GB2312" w:cs="Times New Roman" w:hAnsiTheme="minorEastAsia"/>
          <w:color w:val="auto"/>
          <w:sz w:val="20"/>
          <w:szCs w:val="20"/>
          <w:highlight w:val="none"/>
          <w:lang w:eastAsia="zh-CN"/>
        </w:rPr>
      </w:pPr>
      <w:r>
        <w:rPr>
          <w:rFonts w:hint="eastAsia" w:ascii="仿宋_GB2312" w:eastAsia="仿宋_GB2312" w:cs="Times New Roman" w:hAnsiTheme="minorEastAsia"/>
          <w:color w:val="auto"/>
          <w:sz w:val="20"/>
          <w:szCs w:val="20"/>
          <w:highlight w:val="none"/>
          <w:lang w:eastAsia="zh-CN"/>
        </w:rPr>
        <w:t>（</w:t>
      </w:r>
      <w:r>
        <w:rPr>
          <w:rFonts w:hint="eastAsia" w:ascii="仿宋_GB2312" w:eastAsia="仿宋_GB2312" w:cs="Times New Roman" w:hAnsiTheme="minorEastAsia"/>
          <w:color w:val="auto"/>
          <w:sz w:val="20"/>
          <w:szCs w:val="20"/>
          <w:highlight w:val="none"/>
          <w:lang w:val="en-US" w:eastAsia="zh-CN"/>
        </w:rPr>
        <w:t>九）</w:t>
      </w:r>
      <w:r>
        <w:rPr>
          <w:rFonts w:hint="eastAsia" w:ascii="仿宋_GB2312" w:eastAsia="仿宋_GB2312" w:cs="Times New Roman" w:hAnsiTheme="minorEastAsia"/>
          <w:color w:val="auto"/>
          <w:sz w:val="20"/>
          <w:szCs w:val="20"/>
          <w:highlight w:val="none"/>
          <w:lang w:eastAsia="zh-CN"/>
        </w:rPr>
        <w:t>法律法规规定或监管部门认定的其他情形。</w:t>
      </w:r>
    </w:p>
    <w:p w14:paraId="7A17CA2F">
      <w:pPr>
        <w:snapToGrid w:val="0"/>
        <w:spacing w:line="240" w:lineRule="exact"/>
        <w:ind w:firstLine="402" w:firstLineChars="200"/>
        <w:jc w:val="both"/>
        <w:rPr>
          <w:rFonts w:ascii="仿宋_GB2312" w:hAnsi="宋体" w:eastAsia="仿宋_GB2312"/>
          <w:b/>
          <w:bCs/>
          <w:color w:val="auto"/>
          <w:sz w:val="20"/>
          <w:szCs w:val="20"/>
          <w:highlight w:val="none"/>
          <w:u w:val="single"/>
          <w:lang w:eastAsia="zh-CN"/>
        </w:rPr>
      </w:pPr>
      <w:r>
        <w:rPr>
          <w:rFonts w:hint="eastAsia" w:ascii="仿宋_GB2312" w:hAnsi="宋体" w:eastAsia="仿宋_GB2312"/>
          <w:b/>
          <w:bCs/>
          <w:color w:val="auto"/>
          <w:sz w:val="20"/>
          <w:szCs w:val="20"/>
          <w:highlight w:val="none"/>
          <w:u w:val="single"/>
          <w:lang w:val="en-US" w:eastAsia="zh-CN"/>
        </w:rPr>
        <w:t>十</w:t>
      </w:r>
      <w:r>
        <w:rPr>
          <w:rFonts w:hint="eastAsia" w:ascii="仿宋_GB2312" w:hAnsi="宋体" w:eastAsia="仿宋_GB2312"/>
          <w:b/>
          <w:bCs/>
          <w:color w:val="auto"/>
          <w:sz w:val="20"/>
          <w:szCs w:val="20"/>
          <w:highlight w:val="none"/>
          <w:u w:val="single"/>
          <w:lang w:eastAsia="zh-CN"/>
        </w:rPr>
        <w:t>、乙方单方提前终止本协议时，甲</w:t>
      </w:r>
      <w:r>
        <w:rPr>
          <w:rFonts w:hint="eastAsia" w:ascii="仿宋_GB2312" w:hAnsi="宋体" w:eastAsia="仿宋_GB2312"/>
          <w:b/>
          <w:bCs/>
          <w:color w:val="auto"/>
          <w:sz w:val="20"/>
          <w:szCs w:val="20"/>
          <w:highlight w:val="none"/>
          <w:u w:val="single"/>
          <w:lang w:val="en-US" w:eastAsia="zh-CN"/>
        </w:rPr>
        <w:t>方</w:t>
      </w:r>
      <w:r>
        <w:rPr>
          <w:rFonts w:hint="eastAsia" w:ascii="仿宋_GB2312" w:hAnsi="宋体" w:eastAsia="仿宋_GB2312"/>
          <w:b/>
          <w:bCs/>
          <w:color w:val="auto"/>
          <w:sz w:val="20"/>
          <w:szCs w:val="20"/>
          <w:highlight w:val="none"/>
          <w:u w:val="single"/>
          <w:lang w:eastAsia="zh-CN"/>
        </w:rPr>
        <w:t>同意乙方可采取任意一种或多种方式通知甲方，通知方式包括但不限于短信、电话、乙方网站公告、信函、</w:t>
      </w:r>
      <w:r>
        <w:rPr>
          <w:rFonts w:hint="eastAsia" w:ascii="仿宋_GB2312" w:hAnsi="宋体" w:eastAsia="仿宋_GB2312"/>
          <w:b/>
          <w:bCs/>
          <w:color w:val="auto"/>
          <w:sz w:val="20"/>
          <w:szCs w:val="20"/>
          <w:highlight w:val="none"/>
          <w:u w:val="single"/>
          <w:lang w:val="en-US" w:eastAsia="zh-CN"/>
        </w:rPr>
        <w:t>营业网点等</w:t>
      </w:r>
      <w:r>
        <w:rPr>
          <w:rFonts w:hint="eastAsia" w:ascii="仿宋_GB2312" w:hAnsi="宋体" w:eastAsia="仿宋_GB2312"/>
          <w:b/>
          <w:bCs/>
          <w:color w:val="auto"/>
          <w:sz w:val="20"/>
          <w:szCs w:val="20"/>
          <w:highlight w:val="none"/>
          <w:u w:val="single"/>
          <w:lang w:eastAsia="zh-CN"/>
        </w:rPr>
        <w:t>。无论乙方是否以前述方式通知甲方，甲方同意乙方将行使提前终止权的</w:t>
      </w:r>
      <w:r>
        <w:rPr>
          <w:rFonts w:hint="eastAsia" w:ascii="仿宋_GB2312" w:hAnsi="宋体" w:eastAsia="仿宋_GB2312"/>
          <w:b/>
          <w:bCs/>
          <w:color w:val="auto"/>
          <w:sz w:val="20"/>
          <w:szCs w:val="20"/>
          <w:highlight w:val="none"/>
          <w:u w:val="single"/>
          <w:lang w:val="en-US" w:eastAsia="zh-CN"/>
        </w:rPr>
        <w:t>应兑付资金</w:t>
      </w:r>
      <w:r>
        <w:rPr>
          <w:rFonts w:hint="eastAsia" w:ascii="仿宋_GB2312" w:hAnsi="宋体" w:eastAsia="仿宋_GB2312"/>
          <w:b/>
          <w:bCs/>
          <w:color w:val="auto"/>
          <w:sz w:val="20"/>
          <w:szCs w:val="20"/>
          <w:highlight w:val="none"/>
          <w:u w:val="single"/>
          <w:lang w:eastAsia="zh-CN"/>
        </w:rPr>
        <w:t>划入甲方</w:t>
      </w:r>
      <w:r>
        <w:rPr>
          <w:rFonts w:hint="eastAsia" w:ascii="仿宋_GB2312" w:hAnsi="宋体" w:eastAsia="仿宋_GB2312"/>
          <w:b/>
          <w:bCs/>
          <w:color w:val="auto"/>
          <w:sz w:val="20"/>
          <w:szCs w:val="20"/>
          <w:highlight w:val="none"/>
          <w:u w:val="single"/>
          <w:lang w:val="en-US" w:eastAsia="zh-CN"/>
        </w:rPr>
        <w:t>认购/申购</w:t>
      </w:r>
      <w:r>
        <w:rPr>
          <w:rFonts w:hint="eastAsia" w:ascii="仿宋_GB2312" w:hAnsi="宋体" w:eastAsia="仿宋_GB2312"/>
          <w:b/>
          <w:bCs/>
          <w:color w:val="auto"/>
          <w:sz w:val="20"/>
          <w:szCs w:val="20"/>
          <w:highlight w:val="none"/>
          <w:u w:val="single"/>
          <w:lang w:eastAsia="zh-CN"/>
        </w:rPr>
        <w:t>账户，即视同乙方已经通知甲方。甲方不得以未知晓乙方提前终止而向乙方提出任何损失赔偿。</w:t>
      </w:r>
    </w:p>
    <w:p w14:paraId="5B2F7332">
      <w:pPr>
        <w:snapToGrid w:val="0"/>
        <w:spacing w:line="240" w:lineRule="exact"/>
        <w:ind w:firstLine="400" w:firstLineChars="200"/>
        <w:rPr>
          <w:rFonts w:ascii="仿宋_GB2312" w:hAnsi="宋体" w:eastAsia="仿宋_GB2312"/>
          <w:color w:val="auto"/>
          <w:sz w:val="20"/>
          <w:szCs w:val="20"/>
          <w:highlight w:val="none"/>
          <w:lang w:eastAsia="zh-CN"/>
        </w:rPr>
      </w:pPr>
      <w:r>
        <w:rPr>
          <w:rFonts w:hint="eastAsia" w:ascii="仿宋_GB2312" w:hAnsi="宋体" w:eastAsia="仿宋_GB2312"/>
          <w:color w:val="auto"/>
          <w:sz w:val="20"/>
          <w:szCs w:val="20"/>
          <w:highlight w:val="none"/>
          <w:lang w:eastAsia="zh-CN"/>
        </w:rPr>
        <w:t>十</w:t>
      </w:r>
      <w:r>
        <w:rPr>
          <w:rFonts w:hint="eastAsia" w:ascii="仿宋_GB2312" w:hAnsi="宋体" w:eastAsia="仿宋_GB2312"/>
          <w:color w:val="auto"/>
          <w:sz w:val="20"/>
          <w:szCs w:val="20"/>
          <w:highlight w:val="none"/>
          <w:lang w:val="en-US" w:eastAsia="zh-CN"/>
        </w:rPr>
        <w:t>一</w:t>
      </w:r>
      <w:r>
        <w:rPr>
          <w:rFonts w:hint="eastAsia" w:ascii="仿宋_GB2312" w:hAnsi="宋体" w:eastAsia="仿宋_GB2312"/>
          <w:color w:val="auto"/>
          <w:sz w:val="20"/>
          <w:szCs w:val="20"/>
          <w:highlight w:val="none"/>
          <w:lang w:eastAsia="zh-CN"/>
        </w:rPr>
        <w:t>、未经乙方同意，甲方不得将本协议项下任何权利和义务向任何第三人转让。</w:t>
      </w:r>
    </w:p>
    <w:p w14:paraId="7F685996">
      <w:pPr>
        <w:snapToGrid w:val="0"/>
        <w:spacing w:line="240" w:lineRule="exact"/>
        <w:ind w:firstLine="400" w:firstLineChars="200"/>
        <w:rPr>
          <w:rFonts w:ascii="仿宋_GB2312" w:hAnsi="宋体" w:eastAsia="仿宋_GB2312"/>
          <w:color w:val="auto"/>
          <w:sz w:val="20"/>
          <w:szCs w:val="20"/>
          <w:highlight w:val="none"/>
          <w:lang w:eastAsia="zh-CN"/>
        </w:rPr>
      </w:pPr>
      <w:r>
        <w:rPr>
          <w:rFonts w:hint="eastAsia" w:ascii="仿宋_GB2312" w:hAnsi="宋体" w:eastAsia="仿宋_GB2312"/>
          <w:color w:val="auto"/>
          <w:sz w:val="20"/>
          <w:szCs w:val="20"/>
          <w:highlight w:val="none"/>
          <w:lang w:eastAsia="zh-CN"/>
        </w:rPr>
        <w:t>十二、理财产品存续期间内，乙方有权通过</w:t>
      </w:r>
      <w:r>
        <w:rPr>
          <w:rFonts w:hint="eastAsia" w:ascii="仿宋_GB2312" w:hAnsi="宋体" w:eastAsia="仿宋_GB2312"/>
          <w:color w:val="auto"/>
          <w:sz w:val="20"/>
          <w:szCs w:val="20"/>
          <w:highlight w:val="none"/>
          <w:lang w:val="en-US" w:eastAsia="zh-CN"/>
        </w:rPr>
        <w:t>官方</w:t>
      </w:r>
      <w:r>
        <w:rPr>
          <w:rFonts w:hint="eastAsia" w:ascii="仿宋_GB2312" w:hAnsi="宋体" w:eastAsia="仿宋_GB2312"/>
          <w:color w:val="auto"/>
          <w:sz w:val="20"/>
          <w:szCs w:val="20"/>
          <w:highlight w:val="none"/>
          <w:lang w:eastAsia="zh-CN"/>
        </w:rPr>
        <w:t>网站</w:t>
      </w:r>
      <w:r>
        <w:rPr>
          <w:rFonts w:hint="eastAsia" w:ascii="仿宋_GB2312" w:eastAsia="仿宋_GB2312" w:cs="Times New Roman" w:hAnsiTheme="minorEastAsia"/>
          <w:color w:val="auto"/>
          <w:sz w:val="20"/>
          <w:szCs w:val="20"/>
          <w:highlight w:val="none"/>
          <w:lang w:val="en-US" w:eastAsia="zh-CN"/>
        </w:rPr>
        <w:t>等渠道</w:t>
      </w:r>
      <w:r>
        <w:rPr>
          <w:rFonts w:hint="eastAsia" w:ascii="仿宋_GB2312" w:hAnsi="宋体" w:eastAsia="仿宋_GB2312"/>
          <w:color w:val="auto"/>
          <w:sz w:val="20"/>
          <w:szCs w:val="20"/>
          <w:highlight w:val="none"/>
          <w:lang w:eastAsia="zh-CN"/>
        </w:rPr>
        <w:t>发布对理财产品说明书条款进行</w:t>
      </w:r>
      <w:r>
        <w:rPr>
          <w:rFonts w:hint="eastAsia" w:ascii="仿宋_GB2312" w:hAnsi="宋体" w:eastAsia="仿宋_GB2312"/>
          <w:color w:val="auto"/>
          <w:sz w:val="20"/>
          <w:szCs w:val="20"/>
          <w:highlight w:val="none"/>
          <w:lang w:val="en-US" w:eastAsia="zh-CN"/>
        </w:rPr>
        <w:t>的</w:t>
      </w:r>
      <w:r>
        <w:rPr>
          <w:rFonts w:hint="eastAsia" w:ascii="仿宋_GB2312" w:hAnsi="宋体" w:eastAsia="仿宋_GB2312"/>
          <w:color w:val="auto"/>
          <w:sz w:val="20"/>
          <w:szCs w:val="20"/>
          <w:highlight w:val="none"/>
          <w:lang w:eastAsia="zh-CN"/>
        </w:rPr>
        <w:t>补充、说明和修改。甲方应定期通过上述相关渠道获知有关理财产品的相关信息。</w:t>
      </w:r>
    </w:p>
    <w:p w14:paraId="7327B0BA">
      <w:pPr>
        <w:snapToGrid w:val="0"/>
        <w:spacing w:line="240" w:lineRule="exact"/>
        <w:ind w:firstLine="400" w:firstLineChars="200"/>
        <w:rPr>
          <w:rFonts w:ascii="仿宋_GB2312" w:hAnsi="宋体" w:eastAsia="仿宋_GB2312"/>
          <w:color w:val="auto"/>
          <w:sz w:val="20"/>
          <w:szCs w:val="20"/>
          <w:highlight w:val="none"/>
          <w:lang w:eastAsia="zh-CN"/>
        </w:rPr>
      </w:pPr>
      <w:r>
        <w:rPr>
          <w:rFonts w:hint="eastAsia" w:ascii="仿宋_GB2312" w:hAnsi="宋体" w:eastAsia="仿宋_GB2312"/>
          <w:color w:val="auto"/>
          <w:sz w:val="20"/>
          <w:szCs w:val="20"/>
          <w:highlight w:val="none"/>
          <w:lang w:eastAsia="zh-CN"/>
        </w:rPr>
        <w:t>十三、</w:t>
      </w:r>
      <w:r>
        <w:rPr>
          <w:rFonts w:hint="eastAsia" w:ascii="仿宋_GB2312" w:hAnsi="宋体" w:eastAsia="仿宋_GB2312"/>
          <w:color w:val="auto"/>
          <w:sz w:val="20"/>
          <w:szCs w:val="20"/>
          <w:highlight w:val="none"/>
          <w:lang w:val="en-US" w:eastAsia="zh-CN"/>
        </w:rPr>
        <w:t>乙方</w:t>
      </w:r>
      <w:r>
        <w:rPr>
          <w:rFonts w:hint="eastAsia" w:ascii="仿宋_GB2312" w:hAnsi="宋体" w:eastAsia="仿宋_GB2312"/>
          <w:color w:val="auto"/>
          <w:sz w:val="20"/>
          <w:szCs w:val="20"/>
          <w:highlight w:val="none"/>
          <w:lang w:eastAsia="zh-CN"/>
        </w:rPr>
        <w:t>通过相关披露渠道进行信息披露，如果</w:t>
      </w:r>
      <w:r>
        <w:rPr>
          <w:rFonts w:hint="eastAsia" w:ascii="仿宋_GB2312" w:hAnsi="宋体" w:eastAsia="仿宋_GB2312"/>
          <w:color w:val="auto"/>
          <w:sz w:val="20"/>
          <w:szCs w:val="20"/>
          <w:highlight w:val="none"/>
          <w:lang w:val="en-US" w:eastAsia="zh-CN"/>
        </w:rPr>
        <w:t>甲方</w:t>
      </w:r>
      <w:r>
        <w:rPr>
          <w:rFonts w:hint="eastAsia" w:ascii="仿宋_GB2312" w:hAnsi="宋体" w:eastAsia="仿宋_GB2312"/>
          <w:color w:val="auto"/>
          <w:sz w:val="20"/>
          <w:szCs w:val="20"/>
          <w:highlight w:val="none"/>
          <w:lang w:eastAsia="zh-CN"/>
        </w:rPr>
        <w:t>未及时查询，或由于</w:t>
      </w:r>
      <w:r>
        <w:rPr>
          <w:rFonts w:hint="eastAsia" w:ascii="仿宋_GB2312" w:hAnsi="宋体" w:eastAsia="仿宋_GB2312"/>
          <w:color w:val="auto"/>
          <w:sz w:val="20"/>
          <w:szCs w:val="20"/>
          <w:highlight w:val="none"/>
          <w:lang w:val="en-US" w:eastAsia="zh-CN"/>
        </w:rPr>
        <w:t>甲方</w:t>
      </w:r>
      <w:r>
        <w:rPr>
          <w:rFonts w:hint="eastAsia" w:ascii="仿宋_GB2312" w:hAnsi="宋体" w:eastAsia="仿宋_GB2312"/>
          <w:color w:val="auto"/>
          <w:sz w:val="20"/>
          <w:szCs w:val="20"/>
          <w:highlight w:val="none"/>
          <w:lang w:eastAsia="zh-CN"/>
        </w:rPr>
        <w:t>通讯故障、系统故障以及其他不可抗力等因素的影响使得</w:t>
      </w:r>
      <w:r>
        <w:rPr>
          <w:rFonts w:hint="eastAsia" w:ascii="仿宋_GB2312" w:hAnsi="宋体" w:eastAsia="仿宋_GB2312"/>
          <w:color w:val="auto"/>
          <w:sz w:val="20"/>
          <w:szCs w:val="20"/>
          <w:highlight w:val="none"/>
          <w:lang w:val="en-US" w:eastAsia="zh-CN"/>
        </w:rPr>
        <w:t>甲方</w:t>
      </w:r>
      <w:r>
        <w:rPr>
          <w:rFonts w:hint="eastAsia" w:ascii="仿宋_GB2312" w:hAnsi="宋体" w:eastAsia="仿宋_GB2312"/>
          <w:color w:val="auto"/>
          <w:sz w:val="20"/>
          <w:szCs w:val="20"/>
          <w:highlight w:val="none"/>
          <w:lang w:eastAsia="zh-CN"/>
        </w:rPr>
        <w:t>无法及时了解产品信息，可能导致</w:t>
      </w:r>
      <w:r>
        <w:rPr>
          <w:rFonts w:hint="eastAsia" w:ascii="仿宋_GB2312" w:hAnsi="宋体" w:eastAsia="仿宋_GB2312"/>
          <w:color w:val="auto"/>
          <w:sz w:val="20"/>
          <w:szCs w:val="20"/>
          <w:highlight w:val="none"/>
          <w:lang w:val="en-US" w:eastAsia="zh-CN"/>
        </w:rPr>
        <w:t>甲方</w:t>
      </w:r>
      <w:r>
        <w:rPr>
          <w:rFonts w:hint="eastAsia" w:ascii="仿宋_GB2312" w:hAnsi="宋体" w:eastAsia="仿宋_GB2312"/>
          <w:color w:val="auto"/>
          <w:sz w:val="20"/>
          <w:szCs w:val="20"/>
          <w:highlight w:val="none"/>
          <w:lang w:eastAsia="zh-CN"/>
        </w:rPr>
        <w:t>产生风险，此类风险包括但不限于因</w:t>
      </w:r>
      <w:r>
        <w:rPr>
          <w:rFonts w:hint="eastAsia" w:ascii="仿宋_GB2312" w:hAnsi="宋体" w:eastAsia="仿宋_GB2312"/>
          <w:color w:val="auto"/>
          <w:sz w:val="20"/>
          <w:szCs w:val="20"/>
          <w:highlight w:val="none"/>
          <w:lang w:val="en-US" w:eastAsia="zh-CN"/>
        </w:rPr>
        <w:t>甲方</w:t>
      </w:r>
      <w:r>
        <w:rPr>
          <w:rFonts w:hint="eastAsia" w:ascii="仿宋_GB2312" w:hAnsi="宋体" w:eastAsia="仿宋_GB2312"/>
          <w:color w:val="auto"/>
          <w:sz w:val="20"/>
          <w:szCs w:val="20"/>
          <w:highlight w:val="none"/>
          <w:lang w:eastAsia="zh-CN"/>
        </w:rPr>
        <w:t>未及时获知信息而错过资金使用和再投资的机会等，由此产生的风险及损失（如有）由</w:t>
      </w:r>
      <w:r>
        <w:rPr>
          <w:rFonts w:hint="eastAsia" w:ascii="仿宋_GB2312" w:hAnsi="宋体" w:eastAsia="仿宋_GB2312"/>
          <w:color w:val="auto"/>
          <w:sz w:val="20"/>
          <w:szCs w:val="20"/>
          <w:highlight w:val="none"/>
          <w:lang w:val="en-US" w:eastAsia="zh-CN"/>
        </w:rPr>
        <w:t>甲方</w:t>
      </w:r>
      <w:r>
        <w:rPr>
          <w:rFonts w:hint="eastAsia" w:ascii="仿宋_GB2312" w:hAnsi="宋体" w:eastAsia="仿宋_GB2312"/>
          <w:color w:val="auto"/>
          <w:sz w:val="20"/>
          <w:szCs w:val="20"/>
          <w:highlight w:val="none"/>
          <w:lang w:eastAsia="zh-CN"/>
        </w:rPr>
        <w:t>自行承担。如甲方预留在乙方的有效联系方式变更的，应及时到</w:t>
      </w:r>
      <w:r>
        <w:rPr>
          <w:rFonts w:hint="eastAsia" w:ascii="仿宋_GB2312" w:hAnsi="宋体" w:eastAsia="仿宋_GB2312"/>
          <w:color w:val="auto"/>
          <w:sz w:val="20"/>
          <w:szCs w:val="20"/>
          <w:highlight w:val="none"/>
          <w:lang w:val="en-US" w:eastAsia="zh-CN"/>
        </w:rPr>
        <w:t>原经办</w:t>
      </w:r>
      <w:r>
        <w:rPr>
          <w:rFonts w:hint="eastAsia" w:ascii="仿宋_GB2312" w:hAnsi="宋体" w:eastAsia="仿宋_GB2312"/>
          <w:color w:val="auto"/>
          <w:sz w:val="20"/>
          <w:szCs w:val="20"/>
          <w:highlight w:val="none"/>
          <w:lang w:eastAsia="zh-CN"/>
        </w:rPr>
        <w:t>网点办理信息变更。如因甲方未及时变更导致乙方无法联系甲方，由此产生的责任、风险和损失由甲方自行承担。</w:t>
      </w:r>
    </w:p>
    <w:p w14:paraId="22674B4D">
      <w:pPr>
        <w:snapToGrid w:val="0"/>
        <w:spacing w:line="240" w:lineRule="exact"/>
        <w:ind w:firstLine="402" w:firstLineChars="200"/>
        <w:jc w:val="both"/>
        <w:rPr>
          <w:rFonts w:ascii="仿宋_GB2312" w:hAnsi="宋体" w:eastAsia="仿宋_GB2312"/>
          <w:b/>
          <w:bCs/>
          <w:color w:val="auto"/>
          <w:spacing w:val="-2"/>
          <w:sz w:val="20"/>
          <w:szCs w:val="20"/>
          <w:highlight w:val="none"/>
          <w:lang w:eastAsia="zh-CN"/>
        </w:rPr>
      </w:pPr>
      <w:r>
        <w:rPr>
          <w:rFonts w:hint="eastAsia" w:ascii="仿宋_GB2312" w:hAnsi="宋体" w:eastAsia="仿宋_GB2312"/>
          <w:b/>
          <w:bCs/>
          <w:color w:val="auto"/>
          <w:sz w:val="20"/>
          <w:szCs w:val="20"/>
          <w:highlight w:val="none"/>
          <w:lang w:eastAsia="zh-CN"/>
        </w:rPr>
        <w:t>十四、</w:t>
      </w:r>
      <w:r>
        <w:rPr>
          <w:rFonts w:hint="eastAsia" w:ascii="仿宋_GB2312" w:hAnsi="宋体" w:eastAsia="仿宋_GB2312"/>
          <w:b/>
          <w:bCs/>
          <w:color w:val="auto"/>
          <w:spacing w:val="-2"/>
          <w:sz w:val="20"/>
          <w:szCs w:val="20"/>
          <w:highlight w:val="none"/>
          <w:lang w:eastAsia="zh-CN"/>
        </w:rPr>
        <w:t>甲乙双方因履行本协议或与本协议有关的活动而产生的一切争议，应首先本着诚实信用原则通过友好协商解决；不能协商解决的，通过乙方所在地人民法院诉讼解决。</w:t>
      </w:r>
    </w:p>
    <w:p w14:paraId="54BDCDEB">
      <w:pPr>
        <w:snapToGrid w:val="0"/>
        <w:spacing w:line="240" w:lineRule="exact"/>
        <w:ind w:firstLine="402" w:firstLineChars="200"/>
        <w:jc w:val="both"/>
        <w:rPr>
          <w:rFonts w:ascii="仿宋_GB2312" w:hAnsi="宋体" w:eastAsia="仿宋_GB2312"/>
          <w:b/>
          <w:bCs/>
          <w:color w:val="auto"/>
          <w:sz w:val="20"/>
          <w:szCs w:val="20"/>
          <w:highlight w:val="none"/>
          <w:lang w:eastAsia="zh-CN"/>
        </w:rPr>
      </w:pPr>
      <w:r>
        <w:rPr>
          <w:rFonts w:hint="eastAsia" w:ascii="仿宋_GB2312" w:hAnsi="宋体" w:eastAsia="仿宋_GB2312"/>
          <w:b/>
          <w:bCs/>
          <w:color w:val="auto"/>
          <w:sz w:val="20"/>
          <w:szCs w:val="20"/>
          <w:highlight w:val="none"/>
          <w:lang w:eastAsia="zh-CN"/>
        </w:rPr>
        <w:t>十五、乙方发现甲方有涉嫌洗钱、恶意逃避税收管理等违法违规行为的，将按照国家有关规定向相关部门报告，并按规定报送甲方的相关信息。</w:t>
      </w:r>
    </w:p>
    <w:p w14:paraId="2606CCF6">
      <w:pPr>
        <w:snapToGrid w:val="0"/>
        <w:spacing w:line="240" w:lineRule="exact"/>
        <w:ind w:firstLine="402" w:firstLineChars="200"/>
        <w:jc w:val="both"/>
        <w:rPr>
          <w:rFonts w:ascii="仿宋_GB2312" w:hAnsi="宋体" w:eastAsia="仿宋_GB2312"/>
          <w:b/>
          <w:bCs/>
          <w:color w:val="auto"/>
          <w:sz w:val="20"/>
          <w:szCs w:val="20"/>
          <w:highlight w:val="none"/>
          <w:lang w:eastAsia="zh-CN"/>
        </w:rPr>
      </w:pPr>
      <w:r>
        <w:rPr>
          <w:rFonts w:hint="eastAsia" w:ascii="仿宋_GB2312" w:hAnsi="宋体" w:eastAsia="仿宋_GB2312"/>
          <w:b/>
          <w:bCs/>
          <w:color w:val="auto"/>
          <w:sz w:val="20"/>
          <w:szCs w:val="20"/>
          <w:highlight w:val="none"/>
          <w:lang w:eastAsia="zh-CN"/>
        </w:rPr>
        <w:t>十六、甲方保证理财购买资金的来源和用途合法，理财购买资金未使用贷款、发行债券等筹集的非自有资金</w:t>
      </w:r>
      <w:r>
        <w:rPr>
          <w:rFonts w:hint="eastAsia" w:ascii="仿宋_GB2312" w:hAnsi="宋体" w:eastAsia="仿宋_GB2312"/>
          <w:b/>
          <w:bCs/>
          <w:sz w:val="20"/>
          <w:szCs w:val="20"/>
          <w:lang w:eastAsia="zh-CN"/>
        </w:rPr>
        <w:t>。</w:t>
      </w:r>
    </w:p>
    <w:p w14:paraId="51D21EAA">
      <w:pPr>
        <w:snapToGrid w:val="0"/>
        <w:spacing w:line="240" w:lineRule="exact"/>
        <w:ind w:firstLine="402" w:firstLineChars="200"/>
        <w:jc w:val="both"/>
        <w:rPr>
          <w:rFonts w:ascii="仿宋_GB2312" w:hAnsi="宋体" w:eastAsia="仿宋_GB2312"/>
          <w:b/>
          <w:bCs/>
          <w:color w:val="auto"/>
          <w:sz w:val="20"/>
          <w:szCs w:val="20"/>
          <w:highlight w:val="none"/>
          <w:lang w:eastAsia="zh-CN"/>
        </w:rPr>
      </w:pPr>
      <w:r>
        <w:rPr>
          <w:rFonts w:hint="eastAsia" w:ascii="仿宋_GB2312" w:hAnsi="宋体" w:eastAsia="仿宋_GB2312"/>
          <w:b/>
          <w:bCs/>
          <w:color w:val="auto"/>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21BD9882">
      <w:pPr>
        <w:snapToGrid w:val="0"/>
        <w:spacing w:line="240" w:lineRule="exact"/>
        <w:ind w:firstLine="400" w:firstLineChars="200"/>
        <w:jc w:val="both"/>
        <w:rPr>
          <w:rFonts w:ascii="仿宋_GB2312" w:hAnsi="宋体" w:eastAsia="仿宋_GB2312"/>
          <w:color w:val="auto"/>
          <w:sz w:val="20"/>
          <w:szCs w:val="20"/>
          <w:highlight w:val="none"/>
          <w:lang w:eastAsia="zh-CN"/>
        </w:rPr>
      </w:pPr>
      <w:r>
        <w:rPr>
          <w:rFonts w:hint="eastAsia" w:ascii="仿宋_GB2312" w:hAnsi="宋体" w:eastAsia="仿宋_GB2312"/>
          <w:color w:val="auto"/>
          <w:sz w:val="20"/>
          <w:szCs w:val="20"/>
          <w:highlight w:val="none"/>
          <w:lang w:eastAsia="zh-CN"/>
        </w:rPr>
        <w:t>十八、本协议一式二份，甲乙双方各执一份，具有同等法律效力。</w:t>
      </w:r>
    </w:p>
    <w:p w14:paraId="0F5A5273">
      <w:pPr>
        <w:snapToGrid w:val="0"/>
        <w:spacing w:line="240" w:lineRule="exact"/>
        <w:ind w:firstLine="400" w:firstLineChars="200"/>
        <w:jc w:val="both"/>
        <w:rPr>
          <w:rFonts w:hint="eastAsia" w:ascii="仿宋_GB2312" w:hAnsi="宋体" w:eastAsia="仿宋_GB2312"/>
          <w:color w:val="auto"/>
          <w:sz w:val="20"/>
          <w:szCs w:val="20"/>
          <w:highlight w:val="none"/>
          <w:lang w:eastAsia="zh-CN"/>
        </w:rPr>
      </w:pPr>
      <w:r>
        <w:rPr>
          <w:rFonts w:hint="eastAsia" w:ascii="仿宋_GB2312" w:hAnsi="宋体" w:eastAsia="仿宋_GB2312"/>
          <w:color w:val="auto"/>
          <w:sz w:val="20"/>
          <w:szCs w:val="20"/>
          <w:highlight w:val="none"/>
          <w:lang w:eastAsia="zh-CN"/>
        </w:rPr>
        <w:t>十九、</w:t>
      </w:r>
      <w:r>
        <w:rPr>
          <w:rFonts w:hint="eastAsia" w:ascii="仿宋_GB2312" w:hAnsi="宋体" w:eastAsia="仿宋_GB2312"/>
          <w:color w:val="auto"/>
          <w:sz w:val="20"/>
          <w:szCs w:val="20"/>
          <w:highlight w:val="none"/>
          <w:lang w:val="en-US" w:eastAsia="zh-CN"/>
        </w:rPr>
        <w:t>本协议</w:t>
      </w:r>
      <w:r>
        <w:rPr>
          <w:rFonts w:hint="eastAsia" w:ascii="仿宋_GB2312" w:hAnsi="宋体" w:eastAsia="仿宋_GB2312"/>
          <w:color w:val="auto"/>
          <w:sz w:val="20"/>
          <w:szCs w:val="20"/>
          <w:highlight w:val="none"/>
          <w:lang w:eastAsia="zh-CN"/>
        </w:rPr>
        <w:t>为纸质的，自甲、乙双方签署之日起生效；</w:t>
      </w:r>
      <w:r>
        <w:rPr>
          <w:rFonts w:hint="eastAsia" w:ascii="仿宋_GB2312" w:hAnsi="宋体" w:eastAsia="仿宋_GB2312"/>
          <w:color w:val="auto"/>
          <w:sz w:val="20"/>
          <w:szCs w:val="20"/>
          <w:highlight w:val="none"/>
          <w:lang w:val="en-US" w:eastAsia="zh-CN"/>
        </w:rPr>
        <w:t>如</w:t>
      </w:r>
      <w:r>
        <w:rPr>
          <w:rFonts w:hint="eastAsia" w:ascii="仿宋_GB2312" w:hAnsi="宋体" w:eastAsia="仿宋_GB2312"/>
          <w:color w:val="auto"/>
          <w:sz w:val="20"/>
          <w:szCs w:val="20"/>
          <w:highlight w:val="none"/>
          <w:lang w:eastAsia="zh-CN"/>
        </w:rPr>
        <w:t>本</w:t>
      </w:r>
      <w:r>
        <w:rPr>
          <w:rFonts w:hint="eastAsia" w:ascii="仿宋_GB2312" w:hAnsi="宋体" w:eastAsia="仿宋_GB2312"/>
          <w:color w:val="auto"/>
          <w:sz w:val="20"/>
          <w:szCs w:val="20"/>
          <w:highlight w:val="none"/>
          <w:lang w:val="en-US" w:eastAsia="zh-CN"/>
        </w:rPr>
        <w:t>协议</w:t>
      </w:r>
      <w:r>
        <w:rPr>
          <w:rFonts w:hint="eastAsia" w:ascii="仿宋_GB2312" w:hAnsi="宋体" w:eastAsia="仿宋_GB2312"/>
          <w:color w:val="auto"/>
          <w:sz w:val="20"/>
          <w:szCs w:val="20"/>
          <w:highlight w:val="none"/>
          <w:lang w:eastAsia="zh-CN"/>
        </w:rPr>
        <w:t>为电子形式的，经</w:t>
      </w:r>
      <w:r>
        <w:rPr>
          <w:rFonts w:hint="eastAsia" w:ascii="仿宋_GB2312" w:hAnsi="宋体" w:eastAsia="仿宋_GB2312"/>
          <w:color w:val="auto"/>
          <w:sz w:val="20"/>
          <w:szCs w:val="20"/>
          <w:highlight w:val="none"/>
          <w:lang w:val="en-US" w:eastAsia="zh-CN"/>
        </w:rPr>
        <w:t>甲方</w:t>
      </w:r>
      <w:r>
        <w:rPr>
          <w:rFonts w:hint="eastAsia" w:ascii="仿宋_GB2312" w:hAnsi="宋体" w:eastAsia="仿宋_GB2312"/>
          <w:color w:val="auto"/>
          <w:sz w:val="20"/>
          <w:szCs w:val="20"/>
          <w:highlight w:val="none"/>
          <w:lang w:eastAsia="zh-CN"/>
        </w:rPr>
        <w:t>在贵阳农商银行电子渠道页面上勾选确认后生效。双方权利义务履行完毕后终止。</w:t>
      </w:r>
    </w:p>
    <w:p w14:paraId="38796B26">
      <w:pPr>
        <w:snapToGrid w:val="0"/>
        <w:spacing w:line="240" w:lineRule="exact"/>
        <w:ind w:firstLine="360" w:firstLineChars="200"/>
        <w:rPr>
          <w:rFonts w:hint="eastAsia" w:ascii="仿宋_GB2312" w:hAnsi="宋体" w:eastAsia="仿宋_GB2312"/>
          <w:color w:val="auto"/>
          <w:sz w:val="18"/>
          <w:szCs w:val="18"/>
          <w:highlight w:val="none"/>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F06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1FDCD9DA">
            <w:pPr>
              <w:spacing w:line="500" w:lineRule="exact"/>
              <w:jc w:val="center"/>
              <w:rPr>
                <w:rFonts w:ascii="黑体" w:hAnsi="黑体" w:eastAsia="黑体"/>
                <w:b/>
                <w:color w:val="auto"/>
                <w:sz w:val="21"/>
                <w:szCs w:val="21"/>
                <w:highlight w:val="none"/>
              </w:rPr>
            </w:pPr>
            <w:r>
              <w:rPr>
                <w:rFonts w:hint="eastAsia" w:ascii="黑体" w:hAnsi="黑体" w:eastAsia="黑体"/>
                <w:b/>
                <w:color w:val="auto"/>
                <w:sz w:val="21"/>
                <w:szCs w:val="21"/>
                <w:highlight w:val="none"/>
              </w:rPr>
              <w:t>特别提示</w:t>
            </w:r>
          </w:p>
        </w:tc>
      </w:tr>
      <w:tr w14:paraId="60CFD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0ADC4E68">
            <w:pPr>
              <w:spacing w:line="400" w:lineRule="exact"/>
              <w:ind w:firstLine="422" w:firstLineChars="200"/>
              <w:jc w:val="both"/>
              <w:rPr>
                <w:rFonts w:hint="eastAsia" w:ascii="黑体" w:hAnsi="黑体" w:eastAsia="黑体"/>
                <w:b/>
                <w:color w:val="auto"/>
                <w:sz w:val="21"/>
                <w:szCs w:val="21"/>
                <w:highlight w:val="none"/>
              </w:rPr>
            </w:pPr>
            <w:r>
              <w:rPr>
                <w:rFonts w:hint="eastAsia" w:ascii="黑体" w:hAnsi="黑体" w:eastAsia="黑体"/>
                <w:b/>
                <w:color w:val="auto"/>
                <w:sz w:val="21"/>
                <w:szCs w:val="21"/>
                <w:highlight w:val="none"/>
              </w:rPr>
              <w:t>请您在理解并同意本</w:t>
            </w:r>
            <w:r>
              <w:rPr>
                <w:rFonts w:hint="eastAsia" w:ascii="黑体" w:hAnsi="黑体" w:eastAsia="黑体"/>
                <w:b/>
                <w:color w:val="auto"/>
                <w:sz w:val="21"/>
                <w:szCs w:val="21"/>
                <w:highlight w:val="none"/>
                <w:lang w:eastAsia="zh-CN"/>
              </w:rPr>
              <w:t>协议</w:t>
            </w:r>
            <w:r>
              <w:rPr>
                <w:rFonts w:hint="eastAsia" w:ascii="黑体" w:hAnsi="黑体" w:eastAsia="黑体"/>
                <w:b/>
                <w:color w:val="auto"/>
                <w:sz w:val="21"/>
                <w:szCs w:val="21"/>
                <w:highlight w:val="none"/>
              </w:rPr>
              <w:t>所有条款的情况下，再签署</w:t>
            </w:r>
            <w:r>
              <w:rPr>
                <w:rFonts w:hint="eastAsia" w:ascii="黑体" w:hAnsi="黑体" w:eastAsia="黑体"/>
                <w:b/>
                <w:color w:val="auto"/>
                <w:sz w:val="21"/>
                <w:szCs w:val="21"/>
                <w:highlight w:val="none"/>
                <w:lang w:eastAsia="zh-CN"/>
              </w:rPr>
              <w:t>协议</w:t>
            </w:r>
            <w:r>
              <w:rPr>
                <w:rFonts w:hint="eastAsia" w:ascii="黑体" w:hAnsi="黑体" w:eastAsia="黑体"/>
                <w:b/>
                <w:color w:val="auto"/>
                <w:sz w:val="21"/>
                <w:szCs w:val="21"/>
                <w:highlight w:val="none"/>
              </w:rPr>
              <w:t>，对于不理解的内容，您有权向贵阳农商银行工作人员进行咨询并得到答复。</w:t>
            </w:r>
          </w:p>
          <w:p w14:paraId="59542947">
            <w:pPr>
              <w:spacing w:line="400" w:lineRule="exact"/>
              <w:ind w:firstLine="422" w:firstLineChars="200"/>
              <w:jc w:val="both"/>
              <w:rPr>
                <w:rFonts w:hint="eastAsia" w:ascii="黑体" w:hAnsi="黑体" w:eastAsia="黑体"/>
                <w:b/>
                <w:color w:val="auto"/>
                <w:sz w:val="21"/>
                <w:szCs w:val="21"/>
                <w:highlight w:val="none"/>
              </w:rPr>
            </w:pPr>
            <w:r>
              <w:rPr>
                <w:rFonts w:hint="eastAsia" w:ascii="黑体" w:hAnsi="黑体" w:eastAsia="黑体"/>
                <w:b/>
                <w:color w:val="auto"/>
                <w:sz w:val="21"/>
                <w:szCs w:val="21"/>
                <w:highlight w:val="none"/>
              </w:rPr>
              <w:t>签署本提示，系建立在您已经认真阅读并理解本</w:t>
            </w:r>
            <w:r>
              <w:rPr>
                <w:rFonts w:hint="eastAsia" w:ascii="黑体" w:hAnsi="黑体" w:eastAsia="黑体"/>
                <w:b/>
                <w:color w:val="auto"/>
                <w:sz w:val="21"/>
                <w:szCs w:val="21"/>
                <w:highlight w:val="none"/>
                <w:lang w:eastAsia="zh-CN"/>
              </w:rPr>
              <w:t>协议</w:t>
            </w:r>
            <w:r>
              <w:rPr>
                <w:rFonts w:hint="eastAsia" w:ascii="黑体" w:hAnsi="黑体" w:eastAsia="黑体"/>
                <w:b/>
                <w:color w:val="auto"/>
                <w:sz w:val="21"/>
                <w:szCs w:val="21"/>
                <w:highlight w:val="none"/>
              </w:rPr>
              <w:t>全部条款的基础上，如您未阅读并</w:t>
            </w:r>
            <w:r>
              <w:rPr>
                <w:rFonts w:ascii="黑体" w:hAnsi="黑体" w:eastAsia="黑体"/>
                <w:b/>
                <w:color w:val="auto"/>
                <w:sz w:val="21"/>
                <w:szCs w:val="21"/>
                <w:highlight w:val="none"/>
              </w:rPr>
              <w:t>理解</w:t>
            </w:r>
            <w:r>
              <w:rPr>
                <w:rFonts w:hint="eastAsia" w:ascii="黑体" w:hAnsi="黑体" w:eastAsia="黑体"/>
                <w:b/>
                <w:color w:val="auto"/>
                <w:sz w:val="21"/>
                <w:szCs w:val="21"/>
                <w:highlight w:val="none"/>
              </w:rPr>
              <w:t>本</w:t>
            </w:r>
            <w:r>
              <w:rPr>
                <w:rFonts w:hint="eastAsia" w:ascii="黑体" w:hAnsi="黑体" w:eastAsia="黑体"/>
                <w:b/>
                <w:color w:val="auto"/>
                <w:sz w:val="21"/>
                <w:szCs w:val="21"/>
                <w:highlight w:val="none"/>
                <w:lang w:eastAsia="zh-CN"/>
              </w:rPr>
              <w:t>协议</w:t>
            </w:r>
            <w:r>
              <w:rPr>
                <w:rFonts w:hint="eastAsia" w:ascii="黑体" w:hAnsi="黑体" w:eastAsia="黑体"/>
                <w:b/>
                <w:color w:val="auto"/>
                <w:sz w:val="21"/>
                <w:szCs w:val="21"/>
                <w:highlight w:val="none"/>
              </w:rPr>
              <w:t>全部条款，请您不要签署本提示及本</w:t>
            </w:r>
            <w:r>
              <w:rPr>
                <w:rFonts w:hint="eastAsia" w:ascii="黑体" w:hAnsi="黑体" w:eastAsia="黑体"/>
                <w:b/>
                <w:color w:val="auto"/>
                <w:sz w:val="21"/>
                <w:szCs w:val="21"/>
                <w:highlight w:val="none"/>
                <w:lang w:eastAsia="zh-CN"/>
              </w:rPr>
              <w:t>协议</w:t>
            </w:r>
            <w:r>
              <w:rPr>
                <w:rFonts w:hint="eastAsia" w:ascii="黑体" w:hAnsi="黑体" w:eastAsia="黑体"/>
                <w:b/>
                <w:color w:val="auto"/>
                <w:sz w:val="21"/>
                <w:szCs w:val="21"/>
                <w:highlight w:val="none"/>
              </w:rPr>
              <w:t>。</w:t>
            </w:r>
          </w:p>
          <w:p w14:paraId="023682EE">
            <w:pPr>
              <w:spacing w:line="400" w:lineRule="exact"/>
              <w:ind w:firstLine="422" w:firstLineChars="200"/>
              <w:jc w:val="both"/>
              <w:rPr>
                <w:rFonts w:hint="eastAsia" w:ascii="黑体" w:hAnsi="黑体" w:eastAsia="黑体"/>
                <w:b/>
                <w:color w:val="auto"/>
                <w:sz w:val="21"/>
                <w:szCs w:val="21"/>
                <w:highlight w:val="none"/>
              </w:rPr>
            </w:pPr>
            <w:r>
              <w:rPr>
                <w:rFonts w:hint="eastAsia" w:ascii="黑体" w:hAnsi="黑体" w:eastAsia="黑体"/>
                <w:b/>
                <w:color w:val="auto"/>
                <w:sz w:val="21"/>
                <w:szCs w:val="21"/>
                <w:highlight w:val="none"/>
              </w:rPr>
              <w:t>本提示为《贵阳农商银行理财产品协议》</w:t>
            </w:r>
            <w:r>
              <w:rPr>
                <w:rFonts w:hint="eastAsia" w:ascii="黑体" w:hAnsi="黑体" w:eastAsia="黑体"/>
                <w:b/>
                <w:color w:val="auto"/>
                <w:sz w:val="21"/>
                <w:szCs w:val="21"/>
                <w:highlight w:val="none"/>
                <w:lang w:val="en-US" w:eastAsia="zh-CN"/>
              </w:rPr>
              <w:t>及理财产品销售文件</w:t>
            </w:r>
            <w:r>
              <w:rPr>
                <w:rFonts w:hint="eastAsia" w:ascii="黑体" w:hAnsi="黑体" w:eastAsia="黑体"/>
                <w:b/>
                <w:color w:val="auto"/>
                <w:sz w:val="21"/>
                <w:szCs w:val="21"/>
                <w:highlight w:val="none"/>
              </w:rPr>
              <w:t>的重要组成部分，如您购买本理财产品，即视为您已阅读、理解理财产品销售文件，并同意接受理财产品销售文件所有内容的约束。</w:t>
            </w:r>
          </w:p>
          <w:p w14:paraId="5EA21EAD">
            <w:pPr>
              <w:spacing w:line="400" w:lineRule="exact"/>
              <w:ind w:firstLine="420" w:firstLineChars="20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您是否已阅读并理解本</w:t>
            </w:r>
            <w:r>
              <w:rPr>
                <w:rFonts w:hint="eastAsia" w:ascii="黑体" w:hAnsi="黑体" w:eastAsia="黑体"/>
                <w:color w:val="auto"/>
                <w:sz w:val="21"/>
                <w:szCs w:val="21"/>
                <w:highlight w:val="none"/>
                <w:lang w:eastAsia="zh-CN"/>
              </w:rPr>
              <w:t>协议</w:t>
            </w:r>
            <w:r>
              <w:rPr>
                <w:rFonts w:hint="eastAsia" w:ascii="黑体" w:hAnsi="黑体" w:eastAsia="黑体"/>
                <w:color w:val="auto"/>
                <w:sz w:val="21"/>
                <w:szCs w:val="21"/>
                <w:highlight w:val="none"/>
              </w:rPr>
              <w:t>项下全部条款。</w:t>
            </w:r>
          </w:p>
          <w:p w14:paraId="6915308D">
            <w:pPr>
              <w:spacing w:line="400" w:lineRule="exact"/>
              <w:ind w:firstLine="420" w:firstLineChars="200"/>
              <w:rPr>
                <w:rFonts w:hint="eastAsia" w:ascii="黑体" w:hAnsi="黑体" w:eastAsia="黑体"/>
                <w:color w:val="auto"/>
                <w:sz w:val="21"/>
                <w:szCs w:val="21"/>
                <w:highlight w:val="none"/>
                <w:u w:val="single"/>
                <w:lang w:eastAsia="zh-CN"/>
              </w:rPr>
            </w:pPr>
            <w:r>
              <w:rPr>
                <w:rFonts w:hint="eastAsia" w:ascii="黑体" w:hAnsi="黑体" w:eastAsia="黑体"/>
                <w:color w:val="000000"/>
                <w:sz w:val="21"/>
                <w:szCs w:val="21"/>
                <w:highlight w:val="none"/>
                <w:u w:val="single"/>
              </w:rPr>
              <w:t xml:space="preserve">                                     </w:t>
            </w:r>
          </w:p>
          <w:p w14:paraId="725ECC1B">
            <w:pPr>
              <w:spacing w:line="400" w:lineRule="exact"/>
              <w:ind w:firstLine="420" w:firstLineChars="200"/>
              <w:rPr>
                <w:rFonts w:ascii="黑体" w:hAnsi="黑体" w:eastAsia="黑体"/>
                <w:color w:val="auto"/>
                <w:sz w:val="21"/>
                <w:szCs w:val="21"/>
                <w:highlight w:val="none"/>
              </w:rPr>
            </w:pPr>
            <w:r>
              <w:rPr>
                <w:rFonts w:hint="eastAsia" w:ascii="黑体" w:hAnsi="黑体" w:eastAsia="黑体"/>
                <w:color w:val="auto"/>
                <w:sz w:val="21"/>
                <w:szCs w:val="21"/>
                <w:highlight w:val="none"/>
              </w:rPr>
              <w:t>贵阳农商银行工作人员是否对</w:t>
            </w:r>
            <w:r>
              <w:rPr>
                <w:rFonts w:hint="eastAsia" w:ascii="黑体" w:hAnsi="黑体" w:eastAsia="黑体"/>
                <w:color w:val="auto"/>
                <w:sz w:val="21"/>
                <w:szCs w:val="21"/>
                <w:highlight w:val="none"/>
                <w:lang w:eastAsia="zh-CN"/>
              </w:rPr>
              <w:t>协议</w:t>
            </w:r>
            <w:r>
              <w:rPr>
                <w:rFonts w:hint="eastAsia" w:ascii="黑体" w:hAnsi="黑体" w:eastAsia="黑体"/>
                <w:color w:val="auto"/>
                <w:sz w:val="21"/>
                <w:szCs w:val="21"/>
                <w:highlight w:val="none"/>
              </w:rPr>
              <w:t>相关条款进行了解释及说明。</w:t>
            </w:r>
          </w:p>
          <w:p w14:paraId="684EB9FA">
            <w:pPr>
              <w:spacing w:line="400" w:lineRule="exact"/>
              <w:ind w:firstLine="420" w:firstLineChars="200"/>
              <w:rPr>
                <w:rFonts w:hint="eastAsia" w:ascii="黑体" w:hAnsi="黑体" w:eastAsia="黑体"/>
                <w:color w:val="auto"/>
                <w:sz w:val="21"/>
                <w:szCs w:val="21"/>
                <w:highlight w:val="none"/>
                <w:u w:val="single"/>
                <w:lang w:eastAsia="zh-CN"/>
              </w:rPr>
            </w:pPr>
            <w:r>
              <w:rPr>
                <w:rFonts w:hint="eastAsia" w:ascii="黑体" w:hAnsi="黑体" w:eastAsia="黑体"/>
                <w:color w:val="000000"/>
                <w:sz w:val="21"/>
                <w:szCs w:val="21"/>
                <w:highlight w:val="none"/>
                <w:u w:val="single"/>
              </w:rPr>
              <w:t xml:space="preserve">                                     </w:t>
            </w:r>
          </w:p>
          <w:p w14:paraId="0A0A5C98">
            <w:pPr>
              <w:snapToGrid w:val="0"/>
              <w:spacing w:line="400" w:lineRule="exact"/>
              <w:ind w:firstLine="360" w:firstLineChars="200"/>
              <w:rPr>
                <w:rFonts w:ascii="仿宋_GB2312" w:hAnsi="宋体" w:eastAsia="仿宋_GB2312"/>
                <w:color w:val="auto"/>
                <w:sz w:val="18"/>
                <w:szCs w:val="18"/>
                <w:highlight w:val="none"/>
                <w:lang w:eastAsia="zh-CN"/>
              </w:rPr>
            </w:pPr>
          </w:p>
          <w:p w14:paraId="070111E7">
            <w:pPr>
              <w:snapToGrid w:val="0"/>
              <w:spacing w:line="400" w:lineRule="exact"/>
              <w:ind w:firstLine="360" w:firstLineChars="200"/>
              <w:rPr>
                <w:rFonts w:ascii="仿宋_GB2312" w:hAnsi="宋体" w:eastAsia="仿宋_GB2312"/>
                <w:color w:val="auto"/>
                <w:sz w:val="18"/>
                <w:szCs w:val="18"/>
                <w:highlight w:val="none"/>
                <w:lang w:eastAsia="zh-CN"/>
              </w:rPr>
            </w:pPr>
          </w:p>
          <w:p w14:paraId="4619E356">
            <w:pPr>
              <w:snapToGrid w:val="0"/>
              <w:spacing w:line="400" w:lineRule="exact"/>
              <w:ind w:firstLine="360" w:firstLineChars="200"/>
              <w:rPr>
                <w:rFonts w:ascii="仿宋_GB2312" w:hAnsi="宋体" w:eastAsia="仿宋_GB2312"/>
                <w:color w:val="auto"/>
                <w:sz w:val="18"/>
                <w:szCs w:val="18"/>
                <w:highlight w:val="none"/>
                <w:lang w:eastAsia="zh-CN"/>
              </w:rPr>
            </w:pPr>
          </w:p>
          <w:p w14:paraId="2133058C">
            <w:pPr>
              <w:snapToGrid w:val="0"/>
              <w:spacing w:line="400" w:lineRule="exact"/>
              <w:ind w:firstLine="360" w:firstLineChars="200"/>
              <w:rPr>
                <w:rFonts w:ascii="仿宋_GB2312" w:hAnsi="宋体" w:eastAsia="仿宋_GB2312"/>
                <w:color w:val="auto"/>
                <w:sz w:val="18"/>
                <w:szCs w:val="18"/>
                <w:highlight w:val="none"/>
                <w:lang w:eastAsia="zh-CN"/>
              </w:rPr>
            </w:pPr>
          </w:p>
          <w:p w14:paraId="5900BA71">
            <w:pPr>
              <w:snapToGrid w:val="0"/>
              <w:spacing w:line="400" w:lineRule="exact"/>
              <w:ind w:firstLine="360" w:firstLineChars="200"/>
              <w:rPr>
                <w:rFonts w:ascii="仿宋_GB2312" w:hAnsi="宋体" w:eastAsia="仿宋_GB2312"/>
                <w:color w:val="auto"/>
                <w:sz w:val="18"/>
                <w:szCs w:val="18"/>
                <w:highlight w:val="none"/>
                <w:lang w:eastAsia="zh-CN"/>
              </w:rPr>
            </w:pPr>
          </w:p>
          <w:p w14:paraId="31761466">
            <w:pPr>
              <w:spacing w:line="500" w:lineRule="exact"/>
              <w:ind w:firstLine="0" w:firstLineChars="0"/>
              <w:rPr>
                <w:rFonts w:ascii="黑体" w:hAnsi="黑体" w:eastAsia="黑体"/>
                <w:color w:val="auto"/>
                <w:sz w:val="21"/>
                <w:szCs w:val="21"/>
                <w:highlight w:val="none"/>
                <w:u w:val="single"/>
              </w:rPr>
            </w:pPr>
          </w:p>
          <w:p w14:paraId="55E33A7E">
            <w:pPr>
              <w:spacing w:line="500" w:lineRule="exact"/>
              <w:ind w:firstLine="420" w:firstLineChars="200"/>
              <w:rPr>
                <w:rFonts w:hint="eastAsia" w:ascii="黑体" w:hAnsi="黑体" w:eastAsia="黑体"/>
                <w:color w:val="auto"/>
                <w:sz w:val="21"/>
                <w:szCs w:val="21"/>
                <w:highlight w:val="none"/>
              </w:rPr>
            </w:pPr>
          </w:p>
          <w:p w14:paraId="6D79CDEC">
            <w:pPr>
              <w:spacing w:line="500" w:lineRule="exact"/>
              <w:ind w:firstLine="2310" w:firstLineChars="1100"/>
              <w:jc w:val="center"/>
              <w:rPr>
                <w:rFonts w:hint="eastAsia" w:ascii="仿宋_GB2312" w:eastAsia="仿宋_GB2312"/>
                <w:color w:val="auto"/>
                <w:sz w:val="21"/>
                <w:szCs w:val="21"/>
                <w:highlight w:val="none"/>
                <w:u w:val="single"/>
                <w:lang w:eastAsia="zh-CN"/>
              </w:rPr>
            </w:pPr>
            <w:r>
              <w:rPr>
                <w:rFonts w:ascii="仿宋_GB2312" w:eastAsia="仿宋_GB2312"/>
                <w:color w:val="auto"/>
                <w:sz w:val="21"/>
                <w:szCs w:val="21"/>
                <w:highlight w:val="none"/>
              </w:rPr>
              <w:t>签</w:t>
            </w:r>
            <w:r>
              <w:rPr>
                <w:rFonts w:hint="eastAsia" w:ascii="仿宋_GB2312" w:eastAsia="仿宋_GB2312"/>
                <w:color w:val="auto"/>
                <w:sz w:val="21"/>
                <w:szCs w:val="21"/>
                <w:highlight w:val="none"/>
              </w:rPr>
              <w:t>名</w:t>
            </w:r>
            <w:r>
              <w:rPr>
                <w:rFonts w:ascii="仿宋_GB2312" w:eastAsia="仿宋_GB2312"/>
                <w:color w:val="auto"/>
                <w:sz w:val="21"/>
                <w:szCs w:val="21"/>
                <w:highlight w:val="none"/>
              </w:rPr>
              <w:t>确认</w:t>
            </w:r>
            <w:r>
              <w:rPr>
                <w:rFonts w:hint="eastAsia" w:ascii="仿宋_GB2312" w:eastAsia="仿宋_GB2312"/>
                <w:color w:val="auto"/>
                <w:sz w:val="21"/>
                <w:szCs w:val="21"/>
                <w:highlight w:val="none"/>
              </w:rPr>
              <w:t>：</w:t>
            </w:r>
          </w:p>
          <w:p w14:paraId="18CE4040">
            <w:pPr>
              <w:spacing w:line="500" w:lineRule="exact"/>
              <w:rPr>
                <w:rFonts w:hint="eastAsia" w:ascii="仿宋_GB2312" w:hAnsi="宋体" w:eastAsia="仿宋_GB2312"/>
                <w:color w:val="auto"/>
                <w:sz w:val="21"/>
                <w:szCs w:val="21"/>
                <w:highlight w:val="none"/>
              </w:rPr>
            </w:pPr>
          </w:p>
        </w:tc>
      </w:tr>
    </w:tbl>
    <w:p w14:paraId="108F758B">
      <w:pPr>
        <w:rPr>
          <w:rFonts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eastAsia="zh-CN"/>
        </w:rPr>
        <w:br w:type="page"/>
      </w:r>
    </w:p>
    <w:p w14:paraId="6E41017A">
      <w:pPr>
        <w:snapToGrid w:val="0"/>
        <w:ind w:firstLine="360" w:firstLineChars="200"/>
        <w:rPr>
          <w:rFonts w:ascii="仿宋_GB2312" w:hAnsi="宋体" w:eastAsia="仿宋_GB2312"/>
          <w:color w:val="auto"/>
          <w:sz w:val="18"/>
          <w:szCs w:val="18"/>
          <w:highlight w:val="none"/>
          <w:lang w:eastAsia="zh-CN"/>
        </w:rPr>
      </w:pPr>
    </w:p>
    <w:p w14:paraId="070F3634">
      <w:pPr>
        <w:widowControl/>
        <w:rPr>
          <w:rFonts w:ascii="仿宋_GB2312" w:hAnsi="宋体" w:eastAsia="仿宋_GB2312"/>
          <w:color w:val="auto"/>
          <w:sz w:val="20"/>
          <w:szCs w:val="18"/>
          <w:highlight w:val="none"/>
          <w:lang w:eastAsia="zh-CN"/>
        </w:rPr>
      </w:pPr>
      <w:r>
        <w:rPr>
          <w:rFonts w:ascii="仿宋_GB2312" w:hAnsi="宋体" w:eastAsia="仿宋_GB2312"/>
          <w:color w:val="auto"/>
          <w:sz w:val="18"/>
          <w:szCs w:val="18"/>
          <w:highlight w:val="none"/>
          <w:lang w:eastAsia="zh-CN"/>
        </w:rPr>
        <w:drawing>
          <wp:anchor distT="0" distB="0" distL="114300" distR="114300" simplePos="0" relativeHeight="251662336" behindDoc="0" locked="0" layoutInCell="1" allowOverlap="1">
            <wp:simplePos x="0" y="0"/>
            <wp:positionH relativeFrom="column">
              <wp:posOffset>149860</wp:posOffset>
            </wp:positionH>
            <wp:positionV relativeFrom="paragraph">
              <wp:posOffset>-123190</wp:posOffset>
            </wp:positionV>
            <wp:extent cx="593725" cy="810895"/>
            <wp:effectExtent l="19050" t="0" r="0" b="0"/>
            <wp:wrapNone/>
            <wp:docPr id="41"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descr="我的插图-1"/>
                    <pic:cNvPicPr>
                      <a:picLocks noChangeAspect="1" noChangeArrowheads="1"/>
                    </pic:cNvPicPr>
                  </pic:nvPicPr>
                  <pic:blipFill>
                    <a:blip r:embed="rId7"/>
                    <a:srcRect/>
                    <a:stretch>
                      <a:fillRect/>
                    </a:stretch>
                  </pic:blipFill>
                  <pic:spPr>
                    <a:xfrm>
                      <a:off x="0" y="0"/>
                      <a:ext cx="593425" cy="810883"/>
                    </a:xfrm>
                    <a:prstGeom prst="rect">
                      <a:avLst/>
                    </a:prstGeom>
                    <a:noFill/>
                    <a:ln w="9525">
                      <a:noFill/>
                      <a:miter lim="800000"/>
                      <a:headEnd/>
                      <a:tailEnd/>
                    </a:ln>
                  </pic:spPr>
                </pic:pic>
              </a:graphicData>
            </a:graphic>
          </wp:anchor>
        </w:drawing>
      </w:r>
    </w:p>
    <w:p w14:paraId="35EBF0CC">
      <w:pPr>
        <w:snapToGrid w:val="0"/>
        <w:spacing w:line="360" w:lineRule="auto"/>
        <w:ind w:firstLine="720" w:firstLineChars="200"/>
        <w:jc w:val="center"/>
        <w:rPr>
          <w:rFonts w:ascii="方正小标宋简体" w:eastAsia="方正小标宋简体"/>
          <w:color w:val="auto"/>
          <w:sz w:val="36"/>
          <w:szCs w:val="36"/>
          <w:highlight w:val="none"/>
          <w:lang w:eastAsia="zh-CN"/>
        </w:rPr>
      </w:pPr>
      <w:r>
        <w:rPr>
          <w:rFonts w:hint="eastAsia" w:ascii="方正小标宋_GBK" w:hAnsi="方正小标宋_GBK" w:eastAsia="方正小标宋_GBK" w:cs="方正小标宋_GBK"/>
          <w:color w:val="auto"/>
          <w:sz w:val="36"/>
          <w:szCs w:val="36"/>
          <w:highlight w:val="none"/>
          <w:lang w:eastAsia="zh-CN"/>
        </w:rPr>
        <w:t>贵阳农商银行理财产品投资者权益须知</w:t>
      </w:r>
    </w:p>
    <w:p w14:paraId="4E480C77">
      <w:pPr>
        <w:snapToGrid w:val="0"/>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b/>
          <w:color w:val="auto"/>
          <w:sz w:val="20"/>
          <w:szCs w:val="20"/>
          <w:highlight w:val="none"/>
          <w:lang w:eastAsia="zh-CN"/>
        </w:rPr>
        <w:t>尊敬的投资者：</w:t>
      </w:r>
    </w:p>
    <w:p w14:paraId="427208B7">
      <w:pPr>
        <w:snapToGrid w:val="0"/>
        <w:ind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在本行营业网点</w:t>
      </w:r>
      <w:r>
        <w:rPr>
          <w:rFonts w:hint="eastAsia" w:ascii="仿宋_GB2312" w:eastAsia="仿宋_GB2312" w:cs="Times New Roman" w:hAnsiTheme="minorEastAsia"/>
          <w:b/>
          <w:bCs/>
          <w:color w:val="auto"/>
          <w:sz w:val="20"/>
          <w:highlight w:val="none"/>
          <w:lang w:eastAsia="zh-CN"/>
        </w:rPr>
        <w:t>购买理财产品，</w:t>
      </w:r>
      <w:r>
        <w:rPr>
          <w:rFonts w:hint="eastAsia" w:ascii="仿宋_GB2312" w:eastAsia="仿宋_GB2312" w:cs="Times New Roman" w:hAnsiTheme="minorEastAsia"/>
          <w:b/>
          <w:bCs/>
          <w:color w:val="auto"/>
          <w:sz w:val="20"/>
          <w:highlight w:val="none"/>
          <w:lang w:val="en-US" w:eastAsia="zh-CN"/>
        </w:rPr>
        <w:t>本行</w:t>
      </w:r>
      <w:r>
        <w:rPr>
          <w:rFonts w:hint="eastAsia" w:ascii="仿宋_GB2312" w:eastAsia="仿宋_GB2312" w:cs="Times New Roman" w:hAnsiTheme="minorEastAsia"/>
          <w:b/>
          <w:bCs/>
          <w:color w:val="auto"/>
          <w:sz w:val="20"/>
          <w:highlight w:val="none"/>
          <w:lang w:eastAsia="zh-CN"/>
        </w:rPr>
        <w:t>将在征求您的同意后对销售过程进行录音录像，感谢您的配合。请在购买理财产品前认真阅读以下内容：</w:t>
      </w:r>
    </w:p>
    <w:p w14:paraId="421ED1F9">
      <w:pPr>
        <w:snapToGrid w:val="0"/>
        <w:ind w:firstLine="431" w:firstLineChars="196"/>
        <w:rPr>
          <w:rFonts w:ascii="黑体" w:hAnsi="黑体" w:eastAsia="黑体" w:cs="Times New Roman"/>
          <w:color w:val="auto"/>
          <w:highlight w:val="none"/>
          <w:lang w:eastAsia="zh-CN"/>
        </w:rPr>
      </w:pPr>
      <w:r>
        <w:rPr>
          <w:rFonts w:ascii="黑体" w:hAnsi="黑体" w:eastAsia="黑体" w:cs="Times New Roman"/>
          <w:color w:val="auto"/>
          <w:highlight w:val="none"/>
          <w:lang w:eastAsia="zh-CN"/>
        </w:rPr>
        <w:t>一、购买理财产品流程</w:t>
      </w:r>
    </w:p>
    <w:p w14:paraId="3724CD1D">
      <w:pPr>
        <w:snapToGrid w:val="0"/>
        <w:ind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（一）投资者填写《风险评估问卷》进行风险评估，阅读《风险揭示书》，依据自身的投资经验、目标、财务状况、承担风险能力等自行决定是否购买本产品。</w:t>
      </w:r>
    </w:p>
    <w:p w14:paraId="129935B7">
      <w:pPr>
        <w:snapToGrid w:val="0"/>
        <w:ind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（二）投资者可通过</w:t>
      </w:r>
      <w:r>
        <w:rPr>
          <w:rFonts w:hint="eastAsia" w:ascii="仿宋_GB2312" w:eastAsia="仿宋_GB2312" w:cs="Times New Roman" w:hAnsiTheme="minorEastAsia"/>
          <w:color w:val="auto"/>
          <w:sz w:val="20"/>
          <w:highlight w:val="none"/>
          <w:u w:val="none"/>
          <w:lang w:val="en-US" w:eastAsia="zh-CN"/>
        </w:rPr>
        <w:t>贵阳农商银行手机银行</w:t>
      </w:r>
      <w:r>
        <w:rPr>
          <w:rFonts w:hint="eastAsia" w:ascii="仿宋_GB2312" w:eastAsia="仿宋_GB2312" w:cs="Times New Roman" w:hAnsiTheme="minorEastAsia"/>
          <w:color w:val="auto"/>
          <w:sz w:val="20"/>
          <w:highlight w:val="none"/>
          <w:lang w:eastAsia="zh-CN"/>
        </w:rPr>
        <w:t>办理理财业务，具体办理时间以贵阳农商银行发布的信息为准。</w:t>
      </w:r>
    </w:p>
    <w:p w14:paraId="55D07F62">
      <w:pPr>
        <w:snapToGrid w:val="0"/>
        <w:ind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（三）投资者已在我行开立个人结算账户，并存入足额资金。</w:t>
      </w:r>
    </w:p>
    <w:p w14:paraId="5BB07FDA">
      <w:pPr>
        <w:snapToGrid w:val="0"/>
        <w:ind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color w:val="auto"/>
          <w:sz w:val="20"/>
          <w:highlight w:val="none"/>
          <w:lang w:eastAsia="zh-CN"/>
        </w:rPr>
        <w:t>，详细了解本期理财产品情况。</w:t>
      </w:r>
    </w:p>
    <w:p w14:paraId="13781B0A">
      <w:pPr>
        <w:snapToGrid w:val="0"/>
        <w:ind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（五）购买意向无误，个人投资者</w:t>
      </w:r>
      <w:r>
        <w:rPr>
          <w:rFonts w:hint="eastAsia" w:ascii="仿宋_GB2312" w:eastAsia="仿宋_GB2312" w:cs="Times New Roman" w:hAnsiTheme="minorEastAsia"/>
          <w:sz w:val="20"/>
          <w:highlight w:val="none"/>
          <w:lang w:eastAsia="zh-CN"/>
        </w:rPr>
        <w:t>本人持</w:t>
      </w:r>
      <w:r>
        <w:rPr>
          <w:rFonts w:hint="eastAsia" w:ascii="仿宋_GB2312" w:eastAsia="仿宋_GB2312" w:cs="Times New Roman" w:hAnsiTheme="minorEastAsia"/>
          <w:color w:val="auto"/>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color w:val="auto"/>
          <w:sz w:val="20"/>
          <w:highlight w:val="none"/>
          <w:lang w:eastAsia="zh-CN"/>
        </w:rPr>
        <w:t>。</w:t>
      </w:r>
    </w:p>
    <w:p w14:paraId="2945AB70">
      <w:pPr>
        <w:snapToGrid w:val="0"/>
        <w:ind w:firstLine="440" w:firstLineChars="200"/>
        <w:rPr>
          <w:rFonts w:ascii="黑体" w:hAnsi="黑体" w:eastAsia="黑体" w:cs="Times New Roman"/>
          <w:color w:val="auto"/>
          <w:sz w:val="20"/>
          <w:highlight w:val="none"/>
          <w:lang w:eastAsia="zh-CN"/>
        </w:rPr>
      </w:pPr>
      <w:r>
        <w:rPr>
          <w:rFonts w:ascii="黑体" w:hAnsi="黑体" w:eastAsia="黑体" w:cs="Times New Roman"/>
          <w:color w:val="auto"/>
          <w:highlight w:val="none"/>
          <w:lang w:eastAsia="zh-CN"/>
        </w:rPr>
        <w:t>二、</w:t>
      </w:r>
      <w:r>
        <w:rPr>
          <w:rFonts w:hint="eastAsia" w:ascii="黑体" w:hAnsi="黑体" w:eastAsia="黑体" w:cs="Times New Roman"/>
          <w:color w:val="auto"/>
          <w:highlight w:val="none"/>
          <w:lang w:eastAsia="zh-CN"/>
        </w:rPr>
        <w:t>投资者</w:t>
      </w:r>
      <w:r>
        <w:rPr>
          <w:rFonts w:ascii="黑体" w:hAnsi="黑体" w:eastAsia="黑体" w:cs="Times New Roman"/>
          <w:color w:val="auto"/>
          <w:highlight w:val="none"/>
          <w:lang w:eastAsia="zh-CN"/>
        </w:rPr>
        <w:t>风险承受能力评估流程</w:t>
      </w:r>
    </w:p>
    <w:p w14:paraId="2FE80526">
      <w:pPr>
        <w:snapToGrid w:val="0"/>
        <w:ind w:firstLine="400" w:firstLineChars="200"/>
        <w:jc w:val="both"/>
        <w:rPr>
          <w:rFonts w:ascii="仿宋_GB2312" w:eastAsia="仿宋_GB2312" w:cs="Times New Roman" w:hAnsiTheme="minorEastAsia"/>
          <w:bCs/>
          <w:color w:val="auto"/>
          <w:sz w:val="20"/>
          <w:highlight w:val="none"/>
          <w:lang w:eastAsia="zh-CN"/>
        </w:rPr>
      </w:pPr>
      <w:r>
        <w:rPr>
          <w:rFonts w:hint="eastAsia" w:ascii="仿宋_GB2312" w:eastAsia="仿宋_GB2312" w:cs="Times New Roman" w:hAnsiTheme="minorEastAsia"/>
          <w:bCs/>
          <w:color w:val="auto"/>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color w:val="auto"/>
          <w:sz w:val="20"/>
          <w:highlight w:val="none"/>
          <w:lang w:eastAsia="zh-CN"/>
        </w:rPr>
        <w:t>风险评估问卷</w:t>
      </w:r>
      <w:r>
        <w:rPr>
          <w:rFonts w:hint="eastAsia" w:ascii="仿宋_GB2312" w:eastAsia="仿宋_GB2312" w:cs="Times New Roman" w:hAnsiTheme="minorEastAsia"/>
          <w:bCs/>
          <w:color w:val="auto"/>
          <w:sz w:val="20"/>
          <w:highlight w:val="none"/>
          <w:lang w:eastAsia="zh-CN"/>
        </w:rPr>
        <w:t>》确认评估结果。</w:t>
      </w:r>
    </w:p>
    <w:p w14:paraId="121152FB">
      <w:pPr>
        <w:snapToGrid w:val="0"/>
        <w:ind w:firstLine="402" w:firstLineChars="200"/>
        <w:jc w:val="both"/>
        <w:rPr>
          <w:rFonts w:ascii="仿宋_GB2312" w:eastAsia="仿宋_GB2312" w:cs="Times New Roman" w:hAnsiTheme="minorEastAsia"/>
          <w:b/>
          <w:bCs w:val="0"/>
          <w:color w:val="auto"/>
          <w:sz w:val="20"/>
          <w:highlight w:val="none"/>
          <w:lang w:eastAsia="zh-CN"/>
        </w:rPr>
      </w:pPr>
      <w:r>
        <w:rPr>
          <w:rFonts w:hint="eastAsia" w:ascii="仿宋_GB2312" w:eastAsia="仿宋_GB2312" w:cs="Times New Roman" w:hAnsiTheme="minorEastAsia"/>
          <w:b/>
          <w:bCs w:val="0"/>
          <w:color w:val="auto"/>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6996D336">
      <w:pPr>
        <w:snapToGrid w:val="0"/>
        <w:ind w:firstLine="400" w:firstLineChars="200"/>
        <w:jc w:val="both"/>
        <w:rPr>
          <w:rFonts w:ascii="仿宋_GB2312" w:eastAsia="仿宋_GB2312" w:cs="Times New Roman" w:hAnsiTheme="minorEastAsia"/>
          <w:bCs/>
          <w:color w:val="auto"/>
          <w:sz w:val="20"/>
          <w:highlight w:val="none"/>
          <w:lang w:eastAsia="zh-CN"/>
        </w:rPr>
      </w:pPr>
      <w:r>
        <w:rPr>
          <w:rFonts w:hint="eastAsia" w:ascii="仿宋_GB2312" w:eastAsia="仿宋_GB2312" w:cs="Times New Roman" w:hAnsiTheme="minorEastAsia"/>
          <w:bCs/>
          <w:color w:val="auto"/>
          <w:sz w:val="20"/>
          <w:highlight w:val="none"/>
          <w:lang w:eastAsia="zh-CN"/>
        </w:rPr>
        <w:t>（三）按照</w:t>
      </w:r>
      <w:r>
        <w:rPr>
          <w:rFonts w:hint="eastAsia" w:ascii="仿宋_GB2312" w:eastAsia="仿宋_GB2312" w:cs="Times New Roman" w:hAnsiTheme="minorEastAsia"/>
          <w:color w:val="auto"/>
          <w:sz w:val="20"/>
          <w:highlight w:val="none"/>
          <w:lang w:val="en-US" w:eastAsia="zh-CN"/>
        </w:rPr>
        <w:t>国家金融监督管理总局</w:t>
      </w:r>
      <w:r>
        <w:rPr>
          <w:rFonts w:hint="eastAsia" w:ascii="仿宋_GB2312" w:eastAsia="仿宋_GB2312" w:cs="Times New Roman" w:hAnsiTheme="minorEastAsia"/>
          <w:bCs/>
          <w:color w:val="auto"/>
          <w:sz w:val="20"/>
          <w:highlight w:val="none"/>
          <w:lang w:eastAsia="zh-CN"/>
        </w:rPr>
        <w:t>相关规定，投资者只能</w:t>
      </w:r>
      <w:r>
        <w:rPr>
          <w:rFonts w:hint="eastAsia" w:ascii="仿宋_GB2312" w:eastAsia="仿宋_GB2312" w:cs="Times New Roman" w:hAnsiTheme="minorEastAsia"/>
          <w:b/>
          <w:color w:val="auto"/>
          <w:sz w:val="20"/>
          <w:highlight w:val="none"/>
          <w:lang w:val="en-US" w:eastAsia="zh-CN"/>
        </w:rPr>
        <w:t>认购/申购</w:t>
      </w:r>
      <w:r>
        <w:rPr>
          <w:rFonts w:hint="eastAsia" w:ascii="仿宋_GB2312" w:eastAsia="仿宋_GB2312" w:cs="Times New Roman" w:hAnsiTheme="minorEastAsia"/>
          <w:bCs/>
          <w:color w:val="auto"/>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DEC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198070E">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5B1D1243">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603A289F">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5E2BAAE2">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5FC1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9F29720">
            <w:pPr>
              <w:pStyle w:val="22"/>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一级</w:t>
            </w:r>
          </w:p>
        </w:tc>
        <w:tc>
          <w:tcPr>
            <w:tcW w:w="1290" w:type="dxa"/>
            <w:tcMar>
              <w:left w:w="170" w:type="dxa"/>
              <w:right w:w="170" w:type="dxa"/>
            </w:tcMar>
          </w:tcPr>
          <w:p w14:paraId="6FEE7FD6">
            <w:pPr>
              <w:pStyle w:val="22"/>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低</w:t>
            </w:r>
          </w:p>
        </w:tc>
        <w:tc>
          <w:tcPr>
            <w:tcW w:w="3543" w:type="dxa"/>
          </w:tcPr>
          <w:p w14:paraId="0C3C64AB">
            <w:pPr>
              <w:pStyle w:val="22"/>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390775">
            <w:pPr>
              <w:pStyle w:val="22"/>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风险控制</w:t>
            </w:r>
          </w:p>
        </w:tc>
      </w:tr>
      <w:tr w14:paraId="36E7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02DBBC6">
            <w:pPr>
              <w:pStyle w:val="22"/>
              <w:jc w:val="center"/>
              <w:rPr>
                <w:rFonts w:ascii="Times New Roman" w:hAnsi="Times New Roman" w:eastAsia="仿宋_GB2312" w:cs="Times New Roman"/>
                <w:b w:val="0"/>
                <w:bCs w:val="0"/>
                <w:color w:val="auto"/>
                <w:sz w:val="20"/>
                <w:szCs w:val="20"/>
                <w:highlight w:val="none"/>
                <w:lang w:eastAsia="zh-CN"/>
              </w:rPr>
            </w:pPr>
            <w:r>
              <w:rPr>
                <w:rFonts w:hint="eastAsia" w:ascii="Times New Roman" w:hAnsi="Times New Roman" w:eastAsia="仿宋_GB2312" w:cs="Times New Roman"/>
                <w:b w:val="0"/>
                <w:bCs w:val="0"/>
                <w:color w:val="auto"/>
                <w:sz w:val="20"/>
                <w:szCs w:val="20"/>
                <w:highlight w:val="none"/>
                <w:lang w:eastAsia="zh-CN"/>
              </w:rPr>
              <w:t>二级</w:t>
            </w:r>
          </w:p>
        </w:tc>
        <w:tc>
          <w:tcPr>
            <w:tcW w:w="1290" w:type="dxa"/>
            <w:tcMar>
              <w:left w:w="170" w:type="dxa"/>
              <w:right w:w="170" w:type="dxa"/>
            </w:tcMar>
          </w:tcPr>
          <w:p w14:paraId="029EFEBB">
            <w:pPr>
              <w:pStyle w:val="22"/>
              <w:jc w:val="center"/>
              <w:rPr>
                <w:rFonts w:ascii="Times New Roman" w:hAnsi="Times New Roman" w:eastAsia="仿宋_GB2312" w:cs="Times New Roman"/>
                <w:b w:val="0"/>
                <w:bCs w:val="0"/>
                <w:color w:val="auto"/>
                <w:sz w:val="20"/>
                <w:szCs w:val="20"/>
                <w:highlight w:val="none"/>
                <w:lang w:eastAsia="zh-CN"/>
              </w:rPr>
            </w:pPr>
            <w:r>
              <w:rPr>
                <w:rFonts w:hint="eastAsia" w:ascii="Times New Roman" w:hAnsi="Times New Roman" w:eastAsia="仿宋_GB2312" w:cs="Times New Roman"/>
                <w:b w:val="0"/>
                <w:bCs w:val="0"/>
                <w:color w:val="auto"/>
                <w:sz w:val="20"/>
                <w:szCs w:val="20"/>
                <w:highlight w:val="none"/>
                <w:lang w:eastAsia="zh-CN"/>
              </w:rPr>
              <w:t>较低</w:t>
            </w:r>
          </w:p>
        </w:tc>
        <w:tc>
          <w:tcPr>
            <w:tcW w:w="3543" w:type="dxa"/>
          </w:tcPr>
          <w:p w14:paraId="7D410050">
            <w:pPr>
              <w:pStyle w:val="22"/>
              <w:rPr>
                <w:rFonts w:ascii="Times New Roman" w:hAnsi="Times New Roman" w:eastAsia="仿宋_GB2312" w:cs="Times New Roman"/>
                <w:b w:val="0"/>
                <w:bCs w:val="0"/>
                <w:color w:val="auto"/>
                <w:sz w:val="20"/>
                <w:szCs w:val="20"/>
                <w:highlight w:val="none"/>
                <w:lang w:eastAsia="zh-CN"/>
              </w:rPr>
            </w:pPr>
            <w:r>
              <w:rPr>
                <w:rFonts w:hint="eastAsia" w:ascii="Times New Roman" w:hAnsi="Times New Roman" w:eastAsia="仿宋_GB2312" w:cs="Times New Roman"/>
                <w:b w:val="0"/>
                <w:bCs w:val="0"/>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7F954756">
            <w:pPr>
              <w:pStyle w:val="22"/>
              <w:jc w:val="center"/>
              <w:rPr>
                <w:rFonts w:ascii="Times New Roman" w:hAnsi="Times New Roman" w:eastAsia="仿宋_GB2312" w:cs="Times New Roman"/>
                <w:b w:val="0"/>
                <w:bCs w:val="0"/>
                <w:color w:val="auto"/>
                <w:sz w:val="20"/>
                <w:szCs w:val="20"/>
                <w:highlight w:val="none"/>
                <w:lang w:eastAsia="zh-CN"/>
              </w:rPr>
            </w:pPr>
            <w:r>
              <w:rPr>
                <w:rFonts w:hint="eastAsia" w:ascii="Times New Roman" w:hAnsi="Times New Roman" w:eastAsia="仿宋_GB2312" w:cs="Times New Roman"/>
                <w:b w:val="0"/>
                <w:bCs w:val="0"/>
                <w:color w:val="auto"/>
                <w:sz w:val="20"/>
                <w:szCs w:val="20"/>
                <w:highlight w:val="none"/>
                <w:lang w:eastAsia="zh-CN"/>
              </w:rPr>
              <w:t>稳健发展</w:t>
            </w:r>
          </w:p>
        </w:tc>
      </w:tr>
      <w:tr w14:paraId="2B47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5FD6AC1F">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4ECC6DFC">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79093E94">
            <w:pPr>
              <w:pStyle w:val="22"/>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2FEBE944">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7566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A1A20D7">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4CEFAADC">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15CE4536">
            <w:pPr>
              <w:pStyle w:val="22"/>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DAEC6F8">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733C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F74BE9B">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5125D370">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03E40CD1">
            <w:pPr>
              <w:pStyle w:val="22"/>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0B0069FC">
            <w:pPr>
              <w:pStyle w:val="22"/>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5C0E176D">
      <w:pPr>
        <w:snapToGrid w:val="0"/>
        <w:ind w:firstLine="440" w:firstLineChars="200"/>
        <w:rPr>
          <w:rFonts w:ascii="黑体" w:hAnsi="黑体" w:eastAsia="黑体" w:cs="Times New Roman"/>
          <w:color w:val="auto"/>
          <w:highlight w:val="none"/>
          <w:lang w:eastAsia="zh-CN"/>
        </w:rPr>
      </w:pPr>
      <w:r>
        <w:rPr>
          <w:rFonts w:hint="eastAsia" w:ascii="黑体" w:hAnsi="黑体" w:eastAsia="黑体" w:cs="Times New Roman"/>
          <w:color w:val="auto"/>
          <w:highlight w:val="none"/>
          <w:lang w:eastAsia="zh-CN"/>
        </w:rPr>
        <w:t>三、信息披露</w:t>
      </w:r>
    </w:p>
    <w:p w14:paraId="40A47BAA">
      <w:pPr>
        <w:pStyle w:val="3"/>
        <w:spacing w:before="0"/>
        <w:ind w:left="0" w:right="153" w:firstLine="400" w:firstLineChars="200"/>
        <w:jc w:val="both"/>
        <w:rPr>
          <w:rFonts w:hint="eastAsia" w:ascii="仿宋_GB2312" w:eastAsia="仿宋_GB2312" w:cs="Times New Roman" w:hAnsiTheme="minorEastAsia"/>
          <w:b w:val="0"/>
          <w:bCs w:val="0"/>
          <w:color w:val="auto"/>
          <w:sz w:val="20"/>
          <w:highlight w:val="none"/>
          <w:lang w:eastAsia="zh-CN"/>
        </w:rPr>
      </w:pPr>
      <w:r>
        <w:rPr>
          <w:rFonts w:hint="eastAsia" w:ascii="仿宋_GB2312" w:eastAsia="仿宋_GB2312" w:cs="Times New Roman" w:hAnsiTheme="minorEastAsia"/>
          <w:b w:val="0"/>
          <w:bCs w:val="0"/>
          <w:color w:val="auto"/>
          <w:sz w:val="20"/>
          <w:highlight w:val="none"/>
          <w:lang w:eastAsia="zh-CN"/>
        </w:rPr>
        <w:t>（</w:t>
      </w:r>
      <w:r>
        <w:rPr>
          <w:rFonts w:hint="eastAsia" w:ascii="仿宋_GB2312" w:eastAsia="仿宋_GB2312" w:cs="Times New Roman" w:hAnsiTheme="minorEastAsia"/>
          <w:b w:val="0"/>
          <w:bCs w:val="0"/>
          <w:color w:val="auto"/>
          <w:sz w:val="20"/>
          <w:highlight w:val="none"/>
          <w:lang w:val="en-US" w:eastAsia="zh-CN"/>
        </w:rPr>
        <w:t>一</w:t>
      </w:r>
      <w:r>
        <w:rPr>
          <w:rFonts w:hint="eastAsia" w:ascii="仿宋_GB2312" w:eastAsia="仿宋_GB2312" w:cs="Times New Roman" w:hAnsiTheme="minorEastAsia"/>
          <w:b w:val="0"/>
          <w:bCs w:val="0"/>
          <w:color w:val="auto"/>
          <w:sz w:val="20"/>
          <w:highlight w:val="none"/>
          <w:lang w:eastAsia="zh-CN"/>
        </w:rPr>
        <w:t>）信息披露的渠道</w:t>
      </w:r>
    </w:p>
    <w:p w14:paraId="67C380DB">
      <w:pPr>
        <w:pStyle w:val="3"/>
        <w:keepNext w:val="0"/>
        <w:keepLines w:val="0"/>
        <w:pageBreakBefore w:val="0"/>
        <w:widowControl w:val="0"/>
        <w:kinsoku/>
        <w:wordWrap w:val="0"/>
        <w:overflowPunct/>
        <w:topLinePunct w:val="0"/>
        <w:autoSpaceDE/>
        <w:autoSpaceDN/>
        <w:bidi w:val="0"/>
        <w:adjustRightInd/>
        <w:snapToGrid/>
        <w:spacing w:before="0"/>
        <w:ind w:left="0" w:right="153" w:firstLine="400" w:firstLineChars="200"/>
        <w:jc w:val="both"/>
        <w:textAlignment w:val="auto"/>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理财产品存续期间，产品相关信息将</w:t>
      </w:r>
      <w:r>
        <w:rPr>
          <w:rFonts w:ascii="仿宋_GB2312" w:eastAsia="仿宋_GB2312" w:cs="Times New Roman" w:hAnsiTheme="minorEastAsia"/>
          <w:color w:val="auto"/>
          <w:sz w:val="20"/>
          <w:highlight w:val="none"/>
          <w:lang w:eastAsia="zh-CN"/>
        </w:rPr>
        <w:t>通过贵阳农商银行</w:t>
      </w:r>
      <w:r>
        <w:rPr>
          <w:rFonts w:hint="eastAsia" w:ascii="仿宋_GB2312" w:eastAsia="仿宋_GB2312" w:cs="Times New Roman" w:hAnsiTheme="minorEastAsia"/>
          <w:color w:val="auto"/>
          <w:sz w:val="20"/>
          <w:highlight w:val="none"/>
          <w:lang w:val="en-US" w:eastAsia="zh-CN"/>
        </w:rPr>
        <w:t>官方</w:t>
      </w:r>
      <w:r>
        <w:rPr>
          <w:rFonts w:ascii="仿宋_GB2312" w:eastAsia="仿宋_GB2312" w:cs="Times New Roman" w:hAnsiTheme="minorEastAsia"/>
          <w:color w:val="auto"/>
          <w:sz w:val="20"/>
          <w:highlight w:val="none"/>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color w:val="auto"/>
          <w:sz w:val="20"/>
          <w:highlight w:val="none"/>
          <w:lang w:eastAsia="zh-CN"/>
        </w:rPr>
        <w:t>）</w:t>
      </w:r>
      <w:r>
        <w:rPr>
          <w:rFonts w:hint="default" w:ascii="仿宋_GB2312" w:eastAsia="仿宋_GB2312" w:cs="Times New Roman" w:hAnsiTheme="minorEastAsia"/>
          <w:b w:val="0"/>
          <w:bCs w:val="0"/>
          <w:color w:val="auto"/>
          <w:sz w:val="20"/>
          <w:szCs w:val="18"/>
          <w:highlight w:val="none"/>
          <w:lang w:val="en-US" w:eastAsia="zh-CN"/>
        </w:rPr>
        <w:t>等渠道</w:t>
      </w:r>
      <w:r>
        <w:rPr>
          <w:rFonts w:hint="eastAsia" w:ascii="仿宋_GB2312" w:eastAsia="仿宋_GB2312" w:cs="Times New Roman" w:hAnsiTheme="minorEastAsia"/>
          <w:color w:val="auto"/>
          <w:sz w:val="20"/>
          <w:highlight w:val="none"/>
          <w:lang w:eastAsia="zh-CN"/>
        </w:rPr>
        <w:t>（以下简称“相关披露渠道”）发布。为保障投资者获取信息的准确性，产品信息内容以上述贵阳农商银行官方渠道发布为准。</w:t>
      </w:r>
    </w:p>
    <w:p w14:paraId="3FC3A33C">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w:t>
      </w:r>
      <w:r>
        <w:rPr>
          <w:rFonts w:hint="eastAsia" w:ascii="仿宋_GB2312" w:eastAsia="仿宋_GB2312" w:cs="Times New Roman" w:hAnsiTheme="minorEastAsia"/>
          <w:color w:val="auto"/>
          <w:sz w:val="20"/>
          <w:highlight w:val="none"/>
          <w:lang w:val="en-US" w:eastAsia="zh-CN"/>
        </w:rPr>
        <w:t>二</w:t>
      </w:r>
      <w:r>
        <w:rPr>
          <w:rFonts w:hint="eastAsia" w:ascii="仿宋_GB2312" w:eastAsia="仿宋_GB2312" w:cs="Times New Roman" w:hAnsiTheme="minorEastAsia"/>
          <w:color w:val="auto"/>
          <w:sz w:val="20"/>
          <w:highlight w:val="none"/>
          <w:lang w:eastAsia="zh-CN"/>
        </w:rPr>
        <w:t>）信息披露的时间和内容</w:t>
      </w:r>
    </w:p>
    <w:p w14:paraId="0F44396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D4DA3A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47C70F0">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3.</w:t>
      </w:r>
      <w:r>
        <w:rPr>
          <w:rFonts w:hint="eastAsia" w:ascii="仿宋_GB2312" w:eastAsia="仿宋_GB2312" w:cs="Times New Roman" w:hAnsiTheme="minorEastAsia"/>
          <w:color w:val="auto"/>
          <w:sz w:val="20"/>
          <w:highlight w:val="none"/>
          <w:lang w:eastAsia="zh-CN"/>
        </w:rPr>
        <w:t>净值公告：在每个</w:t>
      </w:r>
      <w:r>
        <w:rPr>
          <w:rFonts w:hint="eastAsia" w:ascii="仿宋_GB2312" w:eastAsia="仿宋_GB2312" w:cs="Times New Roman" w:hAnsiTheme="minorEastAsia"/>
          <w:color w:val="auto"/>
          <w:sz w:val="20"/>
          <w:highlight w:val="none"/>
          <w:lang w:val="en-US" w:eastAsia="zh-CN"/>
        </w:rPr>
        <w:t>开放日</w:t>
      </w:r>
      <w:r>
        <w:rPr>
          <w:rFonts w:hint="eastAsia" w:ascii="仿宋_GB2312" w:eastAsia="仿宋_GB2312" w:cs="Times New Roman" w:hAnsiTheme="minorEastAsia"/>
          <w:color w:val="auto"/>
          <w:sz w:val="20"/>
          <w:highlight w:val="none"/>
          <w:lang w:eastAsia="zh-CN"/>
        </w:rPr>
        <w:t>结束后</w:t>
      </w:r>
      <w:r>
        <w:rPr>
          <w:rFonts w:hint="eastAsia" w:ascii="仿宋_GB2312" w:eastAsia="仿宋_GB2312" w:cs="Times New Roman" w:hAnsiTheme="minorEastAsia"/>
          <w:b w:val="0"/>
          <w:bCs w:val="0"/>
          <w:color w:val="auto"/>
          <w:sz w:val="20"/>
          <w:highlight w:val="none"/>
          <w:lang w:eastAsia="zh-CN"/>
        </w:rPr>
        <w:t>2</w:t>
      </w:r>
      <w:r>
        <w:rPr>
          <w:rFonts w:hint="eastAsia" w:ascii="仿宋_GB2312" w:eastAsia="仿宋_GB2312" w:cs="Times New Roman" w:hAnsiTheme="minorEastAsia"/>
          <w:color w:val="auto"/>
          <w:sz w:val="20"/>
          <w:highlight w:val="none"/>
          <w:lang w:eastAsia="zh-CN"/>
        </w:rPr>
        <w:t>个工作日内披露。披露内容包括本理财产品在</w:t>
      </w:r>
      <w:r>
        <w:rPr>
          <w:rFonts w:hint="eastAsia" w:ascii="仿宋_GB2312" w:eastAsia="仿宋_GB2312" w:cs="Times New Roman" w:hAnsiTheme="minorEastAsia"/>
          <w:color w:val="auto"/>
          <w:sz w:val="20"/>
          <w:highlight w:val="none"/>
          <w:lang w:val="en-US" w:eastAsia="zh-CN"/>
        </w:rPr>
        <w:t>开放日</w:t>
      </w:r>
      <w:r>
        <w:rPr>
          <w:rFonts w:hint="eastAsia" w:ascii="仿宋_GB2312" w:eastAsia="仿宋_GB2312" w:cs="Times New Roman" w:hAnsiTheme="minorEastAsia"/>
          <w:color w:val="auto"/>
          <w:sz w:val="20"/>
          <w:highlight w:val="none"/>
          <w:lang w:eastAsia="zh-CN"/>
        </w:rPr>
        <w:t>的份额净值、份额累计净值、</w:t>
      </w:r>
      <w:r>
        <w:rPr>
          <w:rFonts w:hint="eastAsia" w:ascii="仿宋_GB2312" w:eastAsia="仿宋_GB2312" w:cs="Times New Roman" w:hAnsiTheme="minorEastAsia"/>
          <w:color w:val="auto"/>
          <w:sz w:val="20"/>
          <w:highlight w:val="none"/>
          <w:lang w:val="en-US" w:eastAsia="zh-CN"/>
        </w:rPr>
        <w:t>申购/</w:t>
      </w:r>
      <w:r>
        <w:rPr>
          <w:rFonts w:hint="eastAsia" w:ascii="仿宋_GB2312" w:eastAsia="仿宋_GB2312" w:cs="Times New Roman" w:hAnsiTheme="minorEastAsia"/>
          <w:color w:val="auto"/>
          <w:sz w:val="20"/>
          <w:highlight w:val="none"/>
          <w:lang w:eastAsia="zh-CN"/>
        </w:rPr>
        <w:t>认购价格、赎回价格、每万份收益和7日年化收益率</w:t>
      </w:r>
      <w:r>
        <w:rPr>
          <w:rFonts w:hint="eastAsia" w:ascii="仿宋_GB2312" w:eastAsia="仿宋_GB2312" w:cs="Times New Roman" w:hAnsiTheme="minorEastAsia"/>
          <w:color w:val="auto"/>
          <w:sz w:val="20"/>
          <w:highlight w:val="none"/>
          <w:lang w:val="en-US" w:eastAsia="zh-CN"/>
        </w:rPr>
        <w:t>等信息</w:t>
      </w:r>
      <w:r>
        <w:rPr>
          <w:rFonts w:hint="eastAsia" w:ascii="仿宋_GB2312" w:eastAsia="仿宋_GB2312" w:cs="Times New Roman" w:hAnsiTheme="minorEastAsia"/>
          <w:color w:val="auto"/>
          <w:sz w:val="20"/>
          <w:highlight w:val="none"/>
          <w:lang w:eastAsia="zh-CN"/>
        </w:rPr>
        <w:t>。</w:t>
      </w:r>
    </w:p>
    <w:p w14:paraId="2D4B2A4C">
      <w:pPr>
        <w:pStyle w:val="3"/>
        <w:spacing w:before="0" w:beforeLines="-2147483648" w:after="0" w:afterLines="-2147483648"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val="en-US" w:eastAsia="zh-CN"/>
        </w:rPr>
        <w:t>4.</w:t>
      </w:r>
      <w:r>
        <w:rPr>
          <w:rFonts w:hint="eastAsia" w:ascii="仿宋_GB2312" w:eastAsia="仿宋_GB2312" w:cs="Times New Roman" w:hAnsiTheme="minorEastAsia"/>
          <w:color w:val="auto"/>
          <w:sz w:val="20"/>
          <w:highlight w:val="none"/>
          <w:lang w:eastAsia="zh-CN"/>
        </w:rPr>
        <w:t>临时公告：</w:t>
      </w:r>
      <w:r>
        <w:rPr>
          <w:rFonts w:hint="default" w:ascii="仿宋_GB2312" w:eastAsia="仿宋_GB2312" w:cs="Times New Roman" w:hAnsiTheme="minorEastAsia"/>
          <w:sz w:val="20"/>
          <w:highlight w:val="none"/>
          <w:lang w:eastAsia="zh-CN"/>
        </w:rPr>
        <w:t>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83E9A09">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149B994">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产品管理人</w:t>
      </w:r>
      <w:r>
        <w:rPr>
          <w:rFonts w:hint="eastAsia" w:ascii="仿宋_GB2312" w:eastAsia="仿宋_GB2312" w:cs="Times New Roman" w:hAnsiTheme="minorEastAsia"/>
          <w:color w:val="auto"/>
          <w:sz w:val="20"/>
          <w:highlight w:val="none"/>
          <w:lang w:val="en-US" w:eastAsia="zh-CN"/>
        </w:rPr>
        <w:t>将</w:t>
      </w:r>
      <w:r>
        <w:rPr>
          <w:rFonts w:hint="eastAsia" w:ascii="仿宋_GB2312" w:eastAsia="仿宋_GB2312" w:cs="Times New Roman" w:hAnsiTheme="minorEastAsia"/>
          <w:color w:val="auto"/>
          <w:sz w:val="20"/>
          <w:highlight w:val="none"/>
          <w:lang w:eastAsia="zh-CN"/>
        </w:rPr>
        <w:t>在产品的半年和年度报告中，披露前10名投资者的类别、持有份额及占总份额的比例等信息。产品存续期间，如出现单一投资者持有产品份额达到或者超过本产品总份额20%的情形，为保障其他投资者的权益，管理人将在定期报告中披露该投资者的类别、持有份额及占比、持有份额变化情况及产品风险等信息，国家金融监督管理总局认定的特殊情形除外。</w:t>
      </w:r>
    </w:p>
    <w:p w14:paraId="3DA43E45">
      <w:pPr>
        <w:pStyle w:val="3"/>
        <w:spacing w:before="0" w:beforeLines="0" w:afterLines="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6.</w:t>
      </w:r>
      <w:r>
        <w:rPr>
          <w:rFonts w:hint="eastAsia" w:ascii="仿宋_GB2312" w:eastAsia="仿宋_GB2312" w:cs="Times New Roman" w:hAnsiTheme="minorEastAsia"/>
          <w:color w:val="auto"/>
          <w:sz w:val="20"/>
          <w:highlight w:val="none"/>
          <w:lang w:eastAsia="zh-CN"/>
        </w:rPr>
        <w:t>到期公告：</w:t>
      </w:r>
      <w:r>
        <w:rPr>
          <w:rFonts w:hint="default" w:ascii="仿宋_GB2312" w:eastAsia="仿宋_GB2312" w:cs="Times New Roman" w:hAnsiTheme="minorEastAsia"/>
          <w:sz w:val="20"/>
          <w:highlight w:val="none"/>
          <w:lang w:eastAsia="zh-CN"/>
        </w:rPr>
        <w:t>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9F8014C">
      <w:pPr>
        <w:pStyle w:val="3"/>
        <w:spacing w:before="0" w:beforeLines="0" w:afterLines="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color w:val="auto"/>
          <w:sz w:val="20"/>
          <w:highlight w:val="none"/>
          <w:lang w:val="en-US" w:eastAsia="zh-CN"/>
        </w:rPr>
        <w:t>.</w:t>
      </w:r>
      <w:r>
        <w:rPr>
          <w:rFonts w:hint="eastAsia" w:ascii="仿宋_GB2312" w:eastAsia="仿宋_GB2312" w:cs="Times New Roman" w:hAnsiTheme="minorEastAsia"/>
          <w:color w:val="auto"/>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46E38863">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本产品拟投资于主体信用评级低于AA+的商业银行的银行存款与同业存单的，将作为重大事项履行信息披露程序。</w:t>
      </w:r>
    </w:p>
    <w:p w14:paraId="44A759C8">
      <w:pPr>
        <w:pStyle w:val="3"/>
        <w:spacing w:before="0"/>
        <w:ind w:left="0" w:right="153"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8.</w:t>
      </w:r>
      <w:r>
        <w:rPr>
          <w:rFonts w:hint="eastAsia" w:ascii="仿宋_GB2312" w:eastAsia="仿宋_GB2312" w:cs="Times New Roman" w:hAnsiTheme="minorEastAsia"/>
          <w:b/>
          <w:bCs/>
          <w:color w:val="auto"/>
          <w:sz w:val="20"/>
          <w:highlight w:val="none"/>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金额、份额净值、收益情况、交易明细等信息</w:t>
      </w:r>
      <w:r>
        <w:rPr>
          <w:rFonts w:hint="eastAsia" w:ascii="仿宋_GB2312" w:eastAsia="仿宋_GB2312" w:cs="Times New Roman" w:hAnsiTheme="minorEastAsia"/>
          <w:b/>
          <w:bCs/>
          <w:color w:val="auto"/>
          <w:sz w:val="20"/>
          <w:highlight w:val="none"/>
          <w:lang w:val="en-US" w:eastAsia="zh-CN"/>
        </w:rPr>
        <w:t>。</w:t>
      </w:r>
    </w:p>
    <w:p w14:paraId="197BE16F">
      <w:pPr>
        <w:snapToGrid w:val="0"/>
        <w:ind w:firstLine="440" w:firstLineChars="200"/>
        <w:rPr>
          <w:rFonts w:ascii="黑体" w:hAnsi="黑体" w:eastAsia="黑体" w:cs="Times New Roman"/>
          <w:color w:val="auto"/>
          <w:highlight w:val="none"/>
          <w:lang w:eastAsia="zh-CN"/>
        </w:rPr>
      </w:pPr>
      <w:r>
        <w:rPr>
          <w:rFonts w:hint="eastAsia" w:ascii="黑体" w:hAnsi="黑体" w:eastAsia="黑体" w:cs="Times New Roman"/>
          <w:color w:val="auto"/>
          <w:highlight w:val="none"/>
          <w:lang w:eastAsia="zh-CN"/>
        </w:rPr>
        <w:t>四、投诉及咨询电话</w:t>
      </w:r>
    </w:p>
    <w:p w14:paraId="1BA7E3D8">
      <w:pPr>
        <w:snapToGrid w:val="0"/>
        <w:ind w:firstLine="400" w:firstLineChars="200"/>
        <w:rPr>
          <w:rFonts w:ascii="仿宋_GB2312" w:hAnsi="宋体" w:eastAsia="仿宋_GB2312" w:cs="Times New Roman"/>
          <w:bCs/>
          <w:color w:val="auto"/>
          <w:sz w:val="20"/>
          <w:highlight w:val="none"/>
          <w:lang w:eastAsia="zh-CN"/>
        </w:rPr>
      </w:pPr>
      <w:r>
        <w:rPr>
          <w:rFonts w:hint="eastAsia" w:ascii="仿宋_GB2312" w:hAnsi="宋体" w:eastAsia="仿宋_GB2312" w:cs="Times New Roman"/>
          <w:bCs/>
          <w:color w:val="auto"/>
          <w:sz w:val="20"/>
          <w:highlight w:val="none"/>
          <w:lang w:eastAsia="zh-CN"/>
        </w:rPr>
        <w:t>若您在理财产品办理中有</w:t>
      </w:r>
      <w:r>
        <w:rPr>
          <w:rFonts w:hint="eastAsia" w:ascii="仿宋_GB2312" w:hAnsi="宋体" w:eastAsia="仿宋_GB2312" w:cs="Times New Roman"/>
          <w:bCs/>
          <w:color w:val="auto"/>
          <w:sz w:val="20"/>
          <w:highlight w:val="none"/>
          <w:lang w:val="en-US" w:eastAsia="zh-CN"/>
        </w:rPr>
        <w:t>任何</w:t>
      </w:r>
      <w:r>
        <w:rPr>
          <w:rFonts w:hint="eastAsia" w:ascii="仿宋_GB2312" w:hAnsi="宋体" w:eastAsia="仿宋_GB2312" w:cs="Times New Roman"/>
          <w:bCs/>
          <w:color w:val="auto"/>
          <w:sz w:val="20"/>
          <w:highlight w:val="none"/>
          <w:lang w:eastAsia="zh-CN"/>
        </w:rPr>
        <w:t>疑问或者投诉，可拨打我行客服电话</w:t>
      </w:r>
      <w:r>
        <w:rPr>
          <w:rFonts w:hint="eastAsia" w:ascii="仿宋_GB2312" w:hAnsi="宋体" w:eastAsia="仿宋_GB2312" w:cs="Times New Roman"/>
          <w:b/>
          <w:bCs w:val="0"/>
          <w:color w:val="auto"/>
          <w:sz w:val="20"/>
          <w:highlight w:val="none"/>
          <w:lang w:eastAsia="zh-CN"/>
        </w:rPr>
        <w:t>0851-</w:t>
      </w:r>
      <w:r>
        <w:rPr>
          <w:rFonts w:hint="eastAsia" w:ascii="仿宋_GB2312" w:hAnsi="宋体" w:eastAsia="仿宋_GB2312" w:cs="Times New Roman"/>
          <w:b/>
          <w:bCs w:val="0"/>
          <w:color w:val="auto"/>
          <w:sz w:val="20"/>
          <w:highlight w:val="none"/>
          <w:lang w:val="en-US" w:eastAsia="zh-CN"/>
        </w:rPr>
        <w:t>96688</w:t>
      </w:r>
      <w:r>
        <w:rPr>
          <w:rFonts w:hint="eastAsia" w:ascii="仿宋_GB2312" w:hAnsi="宋体" w:eastAsia="仿宋_GB2312" w:cs="Times New Roman"/>
          <w:bCs/>
          <w:color w:val="auto"/>
          <w:sz w:val="20"/>
          <w:highlight w:val="none"/>
          <w:lang w:eastAsia="zh-CN"/>
        </w:rPr>
        <w:t>，或到贵阳农商银行营业网点进行咨询，</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3C529122">
      <w:pPr>
        <w:snapToGrid w:val="0"/>
        <w:ind w:firstLine="402" w:firstLineChars="200"/>
        <w:rPr>
          <w:rFonts w:ascii="仿宋_GB2312" w:hAnsi="宋体" w:eastAsia="仿宋_GB2312" w:cs="Times New Roman"/>
          <w:b/>
          <w:bCs w:val="0"/>
          <w:color w:val="auto"/>
          <w:sz w:val="20"/>
          <w:highlight w:val="none"/>
          <w:lang w:eastAsia="zh-CN"/>
        </w:rPr>
      </w:pPr>
      <w:r>
        <w:rPr>
          <w:rFonts w:hint="eastAsia" w:ascii="仿宋_GB2312" w:hAnsi="宋体" w:eastAsia="仿宋_GB2312" w:cs="Times New Roman"/>
          <w:b/>
          <w:bCs w:val="0"/>
          <w:color w:val="auto"/>
          <w:sz w:val="20"/>
          <w:highlight w:val="none"/>
          <w:lang w:eastAsia="zh-CN"/>
        </w:rPr>
        <w:t>投诉流程：1.拨打0851-96</w:t>
      </w:r>
      <w:r>
        <w:rPr>
          <w:rFonts w:hint="eastAsia" w:ascii="仿宋_GB2312" w:hAnsi="宋体" w:eastAsia="仿宋_GB2312" w:cs="Times New Roman"/>
          <w:b/>
          <w:bCs w:val="0"/>
          <w:color w:val="auto"/>
          <w:sz w:val="20"/>
          <w:highlight w:val="none"/>
          <w:lang w:val="en-US" w:eastAsia="zh-CN"/>
        </w:rPr>
        <w:t>688</w:t>
      </w:r>
      <w:r>
        <w:rPr>
          <w:rFonts w:hint="eastAsia" w:ascii="仿宋_GB2312" w:hAnsi="宋体" w:eastAsia="仿宋_GB2312" w:cs="Times New Roman"/>
          <w:b/>
          <w:bCs w:val="0"/>
          <w:color w:val="auto"/>
          <w:sz w:val="20"/>
          <w:highlight w:val="none"/>
          <w:lang w:eastAsia="zh-CN"/>
        </w:rPr>
        <w:t>投诉；2. 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hAnsi="宋体" w:eastAsia="仿宋_GB2312" w:cs="Times New Roman"/>
          <w:b/>
          <w:bCs w:val="0"/>
          <w:color w:val="auto"/>
          <w:sz w:val="20"/>
          <w:highlight w:val="none"/>
          <w:lang w:eastAsia="zh-CN"/>
        </w:rPr>
        <w:t>业务主管部门核实投诉情况，制定处理、解决方案；4.</w:t>
      </w:r>
      <w:r>
        <w:rPr>
          <w:rFonts w:hint="eastAsia" w:ascii="仿宋_GB2312" w:hAnsi="宋体" w:eastAsia="仿宋_GB2312" w:cs="Times New Roman"/>
          <w:b/>
          <w:bCs w:val="0"/>
          <w:color w:val="auto"/>
          <w:sz w:val="20"/>
          <w:highlight w:val="none"/>
          <w:lang w:val="en-US" w:eastAsia="zh-CN"/>
        </w:rPr>
        <w:t>投诉处理；5</w:t>
      </w:r>
      <w:r>
        <w:rPr>
          <w:rFonts w:hint="eastAsia" w:ascii="仿宋_GB2312" w:hAnsi="宋体" w:eastAsia="仿宋_GB2312" w:cs="Times New Roman"/>
          <w:b/>
          <w:bCs w:val="0"/>
          <w:color w:val="auto"/>
          <w:sz w:val="20"/>
          <w:highlight w:val="none"/>
          <w:lang w:eastAsia="zh-CN"/>
        </w:rPr>
        <w:t>.客服中心向您反馈处理结果。</w:t>
      </w:r>
    </w:p>
    <w:p w14:paraId="6E3B5090">
      <w:pPr>
        <w:rPr>
          <w:rFonts w:ascii="Times New Roman" w:hAnsi="Times New Roman" w:eastAsia="方正小标宋简体" w:cs="Times New Roman"/>
          <w:color w:val="auto"/>
          <w:spacing w:val="1"/>
          <w:sz w:val="30"/>
          <w:szCs w:val="30"/>
          <w:highlight w:val="none"/>
          <w:lang w:eastAsia="zh-CN"/>
        </w:rPr>
      </w:pPr>
      <w:r>
        <w:rPr>
          <w:rFonts w:ascii="Times New Roman" w:hAnsi="Times New Roman" w:eastAsia="方正小标宋简体" w:cs="Times New Roman"/>
          <w:color w:val="auto"/>
          <w:spacing w:val="1"/>
          <w:highlight w:val="none"/>
          <w:lang w:eastAsia="zh-CN"/>
        </w:rPr>
        <w:br w:type="page"/>
      </w:r>
    </w:p>
    <w:p w14:paraId="04BC0435">
      <w:pPr>
        <w:pStyle w:val="15"/>
        <w:ind w:right="271"/>
        <w:jc w:val="center"/>
        <w:rPr>
          <w:rFonts w:hint="eastAsia" w:ascii="方正小标宋_GBK" w:hAnsi="方正小标宋_GBK" w:eastAsia="方正小标宋_GBK" w:cs="方正小标宋_GBK"/>
          <w:color w:val="auto"/>
          <w:spacing w:val="1"/>
          <w:sz w:val="36"/>
          <w:szCs w:val="36"/>
          <w:highlight w:val="none"/>
          <w:lang w:eastAsia="zh-CN"/>
        </w:rPr>
      </w:pPr>
      <w:r>
        <w:rPr>
          <w:rFonts w:hint="eastAsia" w:ascii="方正小标宋_GBK" w:hAnsi="方正小标宋_GBK" w:eastAsia="方正小标宋_GBK" w:cs="方正小标宋_GBK"/>
          <w:color w:val="auto"/>
          <w:spacing w:val="1"/>
          <w:sz w:val="36"/>
          <w:szCs w:val="36"/>
          <w:highlight w:val="none"/>
          <w:lang w:eastAsia="zh-CN"/>
        </w:rPr>
        <w:drawing>
          <wp:anchor distT="0" distB="0" distL="114300" distR="114300" simplePos="0" relativeHeight="251663360" behindDoc="0" locked="0" layoutInCell="1" allowOverlap="1">
            <wp:simplePos x="0" y="0"/>
            <wp:positionH relativeFrom="column">
              <wp:posOffset>-296545</wp:posOffset>
            </wp:positionH>
            <wp:positionV relativeFrom="paragraph">
              <wp:posOffset>-250825</wp:posOffset>
            </wp:positionV>
            <wp:extent cx="580390" cy="805180"/>
            <wp:effectExtent l="19050" t="0" r="0" b="0"/>
            <wp:wrapNone/>
            <wp:docPr id="4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 descr="我的插图-1"/>
                    <pic:cNvPicPr>
                      <a:picLocks noChangeAspect="1" noChangeArrowheads="1"/>
                    </pic:cNvPicPr>
                  </pic:nvPicPr>
                  <pic:blipFill>
                    <a:blip r:embed="rId7"/>
                    <a:srcRect/>
                    <a:stretch>
                      <a:fillRect/>
                    </a:stretch>
                  </pic:blipFill>
                  <pic:spPr>
                    <a:xfrm>
                      <a:off x="0" y="0"/>
                      <a:ext cx="580655" cy="805217"/>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color w:val="auto"/>
          <w:spacing w:val="1"/>
          <w:sz w:val="36"/>
          <w:szCs w:val="36"/>
          <w:highlight w:val="none"/>
          <w:lang w:eastAsia="zh-CN"/>
        </w:rPr>
        <w:t>贵阳农商银行</w:t>
      </w:r>
      <w:r>
        <w:rPr>
          <w:rFonts w:hint="eastAsia" w:ascii="方正小标宋_GBK" w:hAnsi="方正小标宋_GBK" w:eastAsia="方正小标宋_GBK" w:cs="方正小标宋_GBK"/>
          <w:color w:val="auto"/>
          <w:sz w:val="36"/>
          <w:szCs w:val="36"/>
          <w:highlight w:val="none"/>
          <w:lang w:eastAsia="zh-CN"/>
        </w:rPr>
        <w:t>理财产品风险揭示书</w:t>
      </w:r>
    </w:p>
    <w:p w14:paraId="48249A9C">
      <w:pPr>
        <w:jc w:val="center"/>
        <w:rPr>
          <w:rFonts w:ascii="Times New Roman" w:hAnsi="黑体" w:eastAsia="黑体" w:cs="Times New Roman"/>
          <w:b/>
          <w:color w:val="auto"/>
          <w:sz w:val="18"/>
          <w:szCs w:val="13"/>
          <w:highlight w:val="none"/>
          <w:lang w:eastAsia="zh-CN"/>
        </w:rPr>
      </w:pPr>
      <w:r>
        <w:rPr>
          <w:rFonts w:ascii="Times New Roman" w:hAnsi="黑体" w:eastAsia="黑体" w:cs="Times New Roman"/>
          <w:b/>
          <w:color w:val="auto"/>
          <w:sz w:val="18"/>
          <w:szCs w:val="13"/>
          <w:highlight w:val="none"/>
          <w:lang w:eastAsia="zh-CN"/>
        </w:rPr>
        <w:t>理财非存款、产品有风险、投资须谨慎</w:t>
      </w:r>
    </w:p>
    <w:p w14:paraId="6DC5B0D7">
      <w:pPr>
        <w:jc w:val="center"/>
        <w:rPr>
          <w:rFonts w:ascii="Times New Roman" w:hAnsi="黑体" w:eastAsia="黑体" w:cs="Times New Roman"/>
          <w:b/>
          <w:color w:val="auto"/>
          <w:sz w:val="18"/>
          <w:szCs w:val="13"/>
          <w:highlight w:val="none"/>
          <w:lang w:eastAsia="zh-CN"/>
        </w:rPr>
      </w:pPr>
      <w:r>
        <w:rPr>
          <w:rFonts w:hint="eastAsia" w:ascii="Times New Roman" w:hAnsi="黑体" w:eastAsia="黑体" w:cs="Times New Roman"/>
          <w:b/>
          <w:color w:val="auto"/>
          <w:sz w:val="18"/>
          <w:szCs w:val="13"/>
          <w:highlight w:val="none"/>
          <w:lang w:eastAsia="zh-CN"/>
        </w:rPr>
        <w:t>理财产品过往业绩不代表其未来表现，不等于理财产品实际收益，投资须谨慎</w:t>
      </w:r>
    </w:p>
    <w:p w14:paraId="6F36C38B">
      <w:pPr>
        <w:ind w:left="140"/>
        <w:rPr>
          <w:rFonts w:ascii="仿宋_GB2312" w:hAnsi="Times New Roman" w:eastAsia="仿宋_GB2312" w:cs="Times New Roman"/>
          <w:b/>
          <w:color w:val="auto"/>
          <w:sz w:val="20"/>
          <w:szCs w:val="20"/>
          <w:highlight w:val="none"/>
          <w:lang w:eastAsia="zh-CN"/>
        </w:rPr>
      </w:pPr>
      <w:r>
        <w:rPr>
          <w:rFonts w:ascii="仿宋_GB2312" w:hAnsi="黑体" w:eastAsia="仿宋_GB2312" w:cs="Times New Roman"/>
          <w:b/>
          <w:color w:val="auto"/>
          <w:sz w:val="20"/>
          <w:szCs w:val="20"/>
          <w:highlight w:val="none"/>
          <w:lang w:eastAsia="zh-CN"/>
        </w:rPr>
        <w:t>尊敬的</w:t>
      </w:r>
      <w:r>
        <w:rPr>
          <w:rFonts w:hint="eastAsia" w:ascii="仿宋_GB2312" w:hAnsi="黑体" w:eastAsia="仿宋_GB2312" w:cs="Times New Roman"/>
          <w:b/>
          <w:color w:val="auto"/>
          <w:sz w:val="20"/>
          <w:szCs w:val="20"/>
          <w:highlight w:val="none"/>
          <w:lang w:eastAsia="zh-CN"/>
        </w:rPr>
        <w:t>投资者</w:t>
      </w:r>
      <w:r>
        <w:rPr>
          <w:rFonts w:ascii="仿宋_GB2312" w:hAnsi="黑体" w:eastAsia="仿宋_GB2312" w:cs="Times New Roman"/>
          <w:b/>
          <w:color w:val="auto"/>
          <w:sz w:val="20"/>
          <w:szCs w:val="20"/>
          <w:highlight w:val="none"/>
          <w:lang w:eastAsia="zh-CN"/>
        </w:rPr>
        <w:t>：</w:t>
      </w:r>
    </w:p>
    <w:p w14:paraId="4123959D">
      <w:pPr>
        <w:ind w:left="140" w:right="151" w:firstLine="400"/>
        <w:jc w:val="both"/>
        <w:rPr>
          <w:rFonts w:ascii="仿宋_GB2312" w:hAnsi="Times New Roman" w:eastAsia="仿宋_GB2312" w:cs="Times New Roman"/>
          <w:color w:val="auto"/>
          <w:sz w:val="20"/>
          <w:szCs w:val="20"/>
          <w:highlight w:val="none"/>
          <w:lang w:eastAsia="zh-CN"/>
        </w:rPr>
      </w:pPr>
      <w:r>
        <w:rPr>
          <w:rFonts w:ascii="仿宋_GB2312" w:hAnsi="黑体" w:eastAsia="仿宋_GB2312" w:cs="Times New Roman"/>
          <w:color w:val="auto"/>
          <w:spacing w:val="2"/>
          <w:sz w:val="20"/>
          <w:szCs w:val="20"/>
          <w:highlight w:val="none"/>
          <w:lang w:eastAsia="zh-CN"/>
        </w:rPr>
        <w:t>理财产品管理</w:t>
      </w:r>
      <w:r>
        <w:rPr>
          <w:rFonts w:hint="eastAsia" w:ascii="仿宋_GB2312" w:hAnsi="仿宋_GB2312" w:eastAsia="仿宋_GB2312" w:cs="仿宋_GB2312"/>
          <w:spacing w:val="2"/>
          <w:sz w:val="20"/>
          <w:szCs w:val="20"/>
          <w:highlight w:val="none"/>
          <w:lang w:eastAsia="zh-CN"/>
        </w:rPr>
        <w:t>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color w:val="auto"/>
          <w:spacing w:val="2"/>
          <w:sz w:val="20"/>
          <w:szCs w:val="20"/>
          <w:highlight w:val="none"/>
          <w:lang w:eastAsia="zh-CN"/>
        </w:rPr>
        <w:t>过程</w:t>
      </w:r>
      <w:r>
        <w:rPr>
          <w:rFonts w:hint="eastAsia" w:ascii="仿宋_GB2312" w:hAnsi="仿宋_GB2312" w:eastAsia="仿宋_GB2312" w:cs="仿宋_GB2312"/>
          <w:spacing w:val="2"/>
          <w:sz w:val="20"/>
          <w:szCs w:val="20"/>
          <w:highlight w:val="none"/>
          <w:lang w:val="en-US" w:eastAsia="zh-CN"/>
        </w:rPr>
        <w:t>中</w:t>
      </w:r>
      <w:r>
        <w:rPr>
          <w:rFonts w:ascii="仿宋_GB2312" w:hAnsi="黑体" w:eastAsia="仿宋_GB2312" w:cs="Times New Roman"/>
          <w:color w:val="auto"/>
          <w:spacing w:val="2"/>
          <w:sz w:val="20"/>
          <w:szCs w:val="20"/>
          <w:highlight w:val="none"/>
          <w:lang w:eastAsia="zh-CN"/>
        </w:rPr>
        <w:t>，可能会面临多种风险因素。因此，根据相关监管规定的要求，贵阳农商</w:t>
      </w:r>
      <w:r>
        <w:rPr>
          <w:rFonts w:ascii="仿宋_GB2312" w:hAnsi="黑体" w:eastAsia="仿宋_GB2312" w:cs="Times New Roman"/>
          <w:color w:val="auto"/>
          <w:sz w:val="20"/>
          <w:szCs w:val="20"/>
          <w:highlight w:val="none"/>
          <w:lang w:eastAsia="zh-CN"/>
        </w:rPr>
        <w:t>银行（理财产品管理人）郑重提示：</w:t>
      </w:r>
    </w:p>
    <w:p w14:paraId="7D24FE9F">
      <w:pPr>
        <w:ind w:left="140" w:right="151" w:firstLine="400"/>
        <w:jc w:val="both"/>
        <w:rPr>
          <w:rFonts w:ascii="仿宋_GB2312" w:hAnsi="Times New Roman" w:eastAsia="仿宋_GB2312" w:cs="Times New Roman"/>
          <w:color w:val="auto"/>
          <w:sz w:val="20"/>
          <w:szCs w:val="20"/>
          <w:highlight w:val="none"/>
          <w:lang w:eastAsia="zh-CN"/>
        </w:rPr>
      </w:pPr>
      <w:r>
        <w:rPr>
          <w:rFonts w:ascii="仿宋_GB2312" w:hAnsi="黑体" w:eastAsia="仿宋_GB2312" w:cs="Times New Roman"/>
          <w:color w:val="auto"/>
          <w:spacing w:val="2"/>
          <w:sz w:val="20"/>
          <w:szCs w:val="20"/>
          <w:highlight w:val="none"/>
          <w:lang w:eastAsia="zh-CN"/>
        </w:rPr>
        <w:t>本期产品为</w:t>
      </w:r>
      <w:r>
        <w:rPr>
          <w:rFonts w:ascii="仿宋_GB2312" w:hAnsi="黑体" w:eastAsia="仿宋_GB2312" w:cs="Times New Roman"/>
          <w:b/>
          <w:color w:val="auto"/>
          <w:spacing w:val="2"/>
          <w:sz w:val="20"/>
          <w:szCs w:val="20"/>
          <w:highlight w:val="none"/>
          <w:lang w:eastAsia="zh-CN"/>
        </w:rPr>
        <w:t>非保本浮动收益型理财产品，不保证本金和收益</w:t>
      </w:r>
      <w:r>
        <w:rPr>
          <w:rFonts w:ascii="仿宋_GB2312" w:hAnsi="黑体" w:eastAsia="仿宋_GB2312" w:cs="Times New Roman"/>
          <w:color w:val="auto"/>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color w:val="auto"/>
          <w:sz w:val="20"/>
          <w:szCs w:val="20"/>
          <w:highlight w:val="none"/>
          <w:lang w:eastAsia="zh-CN"/>
        </w:rPr>
        <w:t>不代表</w:t>
      </w:r>
      <w:r>
        <w:rPr>
          <w:rFonts w:hint="eastAsia" w:ascii="仿宋_GB2312" w:hAnsi="黑体" w:eastAsia="仿宋_GB2312" w:cs="Times New Roman"/>
          <w:color w:val="auto"/>
          <w:sz w:val="20"/>
          <w:szCs w:val="20"/>
          <w:highlight w:val="none"/>
          <w:lang w:eastAsia="zh-CN"/>
        </w:rPr>
        <w:t>投资者</w:t>
      </w:r>
      <w:r>
        <w:rPr>
          <w:rFonts w:ascii="仿宋_GB2312" w:hAnsi="黑体" w:eastAsia="仿宋_GB2312" w:cs="Times New Roman"/>
          <w:color w:val="auto"/>
          <w:sz w:val="20"/>
          <w:szCs w:val="20"/>
          <w:highlight w:val="none"/>
          <w:lang w:eastAsia="zh-CN"/>
        </w:rPr>
        <w:t>可能获得的实际收益，亦不构成贵阳农商银行对本产品的任何收益承诺。</w:t>
      </w:r>
    </w:p>
    <w:p w14:paraId="57A4AADC">
      <w:pPr>
        <w:ind w:left="140" w:right="154" w:firstLine="400"/>
        <w:jc w:val="both"/>
        <w:rPr>
          <w:rFonts w:ascii="仿宋_GB2312" w:hAnsi="黑体" w:eastAsia="仿宋_GB2312" w:cs="Times New Roman"/>
          <w:b/>
          <w:bCs/>
          <w:color w:val="auto"/>
          <w:sz w:val="20"/>
          <w:szCs w:val="20"/>
          <w:highlight w:val="none"/>
          <w:lang w:eastAsia="zh-CN"/>
        </w:rPr>
      </w:pPr>
      <w:r>
        <w:rPr>
          <w:rFonts w:ascii="仿宋_GB2312" w:hAnsi="黑体" w:eastAsia="仿宋_GB2312" w:cs="Times New Roman"/>
          <w:b/>
          <w:bCs/>
          <w:color w:val="auto"/>
          <w:sz w:val="20"/>
          <w:szCs w:val="20"/>
          <w:highlight w:val="none"/>
          <w:lang w:eastAsia="zh-CN"/>
        </w:rPr>
        <w:t>本期产品</w:t>
      </w:r>
      <w:r>
        <w:rPr>
          <w:rFonts w:hint="eastAsia" w:ascii="仿宋_GB2312" w:hAnsi="黑体" w:eastAsia="仿宋_GB2312" w:cs="Times New Roman"/>
          <w:b/>
          <w:bCs/>
          <w:color w:val="auto"/>
          <w:sz w:val="20"/>
          <w:szCs w:val="20"/>
          <w:highlight w:val="none"/>
          <w:lang w:val="en-US" w:eastAsia="zh-CN"/>
        </w:rPr>
        <w:t>无固定存续期</w:t>
      </w:r>
      <w:r>
        <w:rPr>
          <w:rFonts w:hint="eastAsia" w:ascii="仿宋_GB2312" w:hAnsi="黑体" w:eastAsia="仿宋_GB2312" w:cs="Times New Roman"/>
          <w:b/>
          <w:bCs/>
          <w:color w:val="auto"/>
          <w:sz w:val="20"/>
          <w:szCs w:val="20"/>
          <w:highlight w:val="none"/>
          <w:lang w:eastAsia="zh-CN"/>
        </w:rPr>
        <w:t>，</w:t>
      </w:r>
      <w:r>
        <w:rPr>
          <w:rFonts w:ascii="仿宋_GB2312" w:hAnsi="黑体" w:eastAsia="仿宋_GB2312" w:cs="Times New Roman"/>
          <w:b/>
          <w:bCs/>
          <w:color w:val="auto"/>
          <w:spacing w:val="-3"/>
          <w:sz w:val="20"/>
          <w:szCs w:val="20"/>
          <w:highlight w:val="none"/>
          <w:lang w:eastAsia="zh-CN"/>
        </w:rPr>
        <w:t>贵阳农商银行有权对本期产品提前终止，</w:t>
      </w:r>
      <w:r>
        <w:rPr>
          <w:rFonts w:ascii="仿宋_GB2312" w:hAnsi="黑体" w:eastAsia="仿宋_GB2312" w:cs="Times New Roman"/>
          <w:b/>
          <w:bCs/>
          <w:color w:val="auto"/>
          <w:sz w:val="20"/>
          <w:szCs w:val="20"/>
          <w:highlight w:val="none"/>
          <w:lang w:eastAsia="zh-CN"/>
        </w:rPr>
        <w:t>开放期内接受申购或赎回申请。</w:t>
      </w:r>
    </w:p>
    <w:p w14:paraId="1BEB5853">
      <w:pPr>
        <w:ind w:left="140" w:right="154" w:firstLine="400"/>
        <w:jc w:val="both"/>
        <w:rPr>
          <w:rFonts w:ascii="仿宋_GB2312" w:hAnsi="黑体" w:eastAsia="仿宋_GB2312" w:cs="Times New Roman"/>
          <w:color w:val="auto"/>
          <w:spacing w:val="2"/>
          <w:sz w:val="20"/>
          <w:szCs w:val="20"/>
          <w:highlight w:val="none"/>
          <w:lang w:eastAsia="zh-CN"/>
        </w:rPr>
      </w:pPr>
      <w:r>
        <w:rPr>
          <w:rFonts w:ascii="仿宋_GB2312" w:hAnsi="黑体" w:eastAsia="仿宋_GB2312" w:cs="Times New Roman"/>
          <w:color w:val="auto"/>
          <w:sz w:val="20"/>
          <w:szCs w:val="20"/>
          <w:highlight w:val="none"/>
          <w:lang w:eastAsia="zh-CN"/>
        </w:rPr>
        <w:t>产品风险</w:t>
      </w:r>
      <w:r>
        <w:rPr>
          <w:rFonts w:ascii="仿宋_GB2312" w:hAnsi="黑体" w:eastAsia="仿宋_GB2312" w:cs="Times New Roman"/>
          <w:color w:val="auto"/>
          <w:spacing w:val="-2"/>
          <w:sz w:val="20"/>
          <w:szCs w:val="20"/>
          <w:highlight w:val="none"/>
          <w:lang w:eastAsia="zh-CN"/>
        </w:rPr>
        <w:t>程度属于</w:t>
      </w:r>
      <w:r>
        <w:rPr>
          <w:rFonts w:hint="eastAsia" w:ascii="仿宋_GB2312" w:hAnsi="仿宋_GB2312" w:eastAsia="仿宋_GB2312" w:cs="仿宋_GB2312"/>
          <w:b/>
          <w:bCs/>
          <w:spacing w:val="-2"/>
          <w:sz w:val="20"/>
          <w:szCs w:val="20"/>
          <w:highlight w:val="none"/>
          <w:u w:val="none"/>
          <w:lang w:val="en-US" w:eastAsia="zh-CN"/>
        </w:rPr>
        <w:t>低</w:t>
      </w:r>
      <w:r>
        <w:rPr>
          <w:rFonts w:ascii="仿宋_GB2312" w:hAnsi="黑体" w:eastAsia="仿宋_GB2312" w:cs="Times New Roman"/>
          <w:color w:val="auto"/>
          <w:spacing w:val="-2"/>
          <w:sz w:val="20"/>
          <w:szCs w:val="20"/>
          <w:highlight w:val="none"/>
          <w:lang w:eastAsia="zh-CN"/>
        </w:rPr>
        <w:t>风险</w:t>
      </w:r>
      <w:r>
        <w:rPr>
          <w:rFonts w:hint="eastAsia" w:ascii="仿宋_GB2312" w:hAnsi="黑体" w:eastAsia="仿宋_GB2312" w:cs="Times New Roman"/>
          <w:color w:val="auto"/>
          <w:spacing w:val="-2"/>
          <w:sz w:val="20"/>
          <w:szCs w:val="20"/>
          <w:highlight w:val="none"/>
          <w:lang w:eastAsia="zh-CN"/>
        </w:rPr>
        <w:t>。</w:t>
      </w:r>
      <w:r>
        <w:rPr>
          <w:rFonts w:ascii="仿宋_GB2312" w:hAnsi="黑体" w:eastAsia="仿宋_GB2312" w:cs="Times New Roman"/>
          <w:color w:val="auto"/>
          <w:spacing w:val="-2"/>
          <w:sz w:val="20"/>
          <w:szCs w:val="20"/>
          <w:highlight w:val="none"/>
          <w:lang w:eastAsia="zh-CN"/>
        </w:rPr>
        <w:t>本期产品内部风险评级级别为</w:t>
      </w:r>
      <w:r>
        <w:rPr>
          <w:rFonts w:hint="eastAsia" w:ascii="仿宋_GB2312" w:hAnsi="Times New Roman" w:eastAsia="仿宋_GB2312" w:cs="Times New Roman"/>
          <w:b/>
          <w:color w:val="auto"/>
          <w:spacing w:val="-2"/>
          <w:w w:val="95"/>
          <w:sz w:val="20"/>
          <w:szCs w:val="20"/>
          <w:highlight w:val="none"/>
          <w:lang w:val="en-US" w:eastAsia="zh-CN"/>
        </w:rPr>
        <w:t>一</w:t>
      </w:r>
      <w:r>
        <w:rPr>
          <w:rFonts w:ascii="仿宋_GB2312" w:hAnsi="黑体" w:eastAsia="仿宋_GB2312" w:cs="Times New Roman"/>
          <w:b/>
          <w:color w:val="auto"/>
          <w:spacing w:val="-2"/>
          <w:w w:val="95"/>
          <w:sz w:val="20"/>
          <w:szCs w:val="20"/>
          <w:highlight w:val="none"/>
          <w:lang w:eastAsia="zh-CN"/>
        </w:rPr>
        <w:t>级</w:t>
      </w:r>
      <w:r>
        <w:rPr>
          <w:rFonts w:ascii="仿宋_GB2312" w:hAnsi="黑体" w:eastAsia="仿宋_GB2312" w:cs="Times New Roman"/>
          <w:color w:val="auto"/>
          <w:spacing w:val="-2"/>
          <w:sz w:val="20"/>
          <w:szCs w:val="20"/>
          <w:highlight w:val="none"/>
          <w:lang w:eastAsia="zh-CN"/>
        </w:rPr>
        <w:t>，风险适用于</w:t>
      </w:r>
      <w:r>
        <w:rPr>
          <w:rFonts w:hint="eastAsia" w:ascii="仿宋_GB2312" w:hAnsi="黑体" w:eastAsia="仿宋_GB2312" w:cs="Times New Roman"/>
          <w:b w:val="0"/>
          <w:bCs w:val="0"/>
          <w:color w:val="auto"/>
          <w:spacing w:val="-2"/>
          <w:sz w:val="20"/>
          <w:szCs w:val="20"/>
          <w:highlight w:val="none"/>
          <w:lang w:val="en-US" w:eastAsia="zh-CN"/>
        </w:rPr>
        <w:t>保守型、</w:t>
      </w:r>
      <w:r>
        <w:rPr>
          <w:rFonts w:ascii="仿宋_GB2312" w:hAnsi="黑体" w:eastAsia="仿宋_GB2312" w:cs="Times New Roman"/>
          <w:b w:val="0"/>
          <w:bCs w:val="0"/>
          <w:color w:val="auto"/>
          <w:spacing w:val="-2"/>
          <w:sz w:val="20"/>
          <w:szCs w:val="20"/>
          <w:highlight w:val="none"/>
          <w:lang w:eastAsia="zh-CN"/>
        </w:rPr>
        <w:t>稳健型、平衡型、成长型和进取型</w:t>
      </w:r>
      <w:r>
        <w:rPr>
          <w:rFonts w:hint="eastAsia" w:ascii="仿宋_GB2312" w:hAnsi="黑体" w:eastAsia="仿宋_GB2312" w:cs="Times New Roman"/>
          <w:color w:val="auto"/>
          <w:spacing w:val="-2"/>
          <w:sz w:val="20"/>
          <w:szCs w:val="20"/>
          <w:highlight w:val="none"/>
          <w:lang w:eastAsia="zh-CN"/>
        </w:rPr>
        <w:t>投资者</w:t>
      </w:r>
      <w:r>
        <w:rPr>
          <w:rFonts w:ascii="仿宋_GB2312" w:hAnsi="黑体" w:eastAsia="仿宋_GB2312" w:cs="Times New Roman"/>
          <w:color w:val="auto"/>
          <w:spacing w:val="-2"/>
          <w:sz w:val="20"/>
          <w:szCs w:val="20"/>
          <w:highlight w:val="none"/>
          <w:lang w:eastAsia="zh-CN"/>
        </w:rPr>
        <w:t>。最不利情况下，</w:t>
      </w:r>
      <w:r>
        <w:rPr>
          <w:rFonts w:ascii="仿宋_GB2312" w:hAnsi="黑体" w:eastAsia="仿宋_GB2312" w:cs="Times New Roman"/>
          <w:color w:val="auto"/>
          <w:spacing w:val="2"/>
          <w:sz w:val="20"/>
          <w:szCs w:val="20"/>
          <w:highlight w:val="none"/>
          <w:lang w:eastAsia="zh-CN"/>
        </w:rPr>
        <w:t>资产组合无法回收任何本金和净收益，</w:t>
      </w:r>
      <w:r>
        <w:rPr>
          <w:rFonts w:hint="eastAsia" w:ascii="仿宋_GB2312" w:hAnsi="黑体" w:eastAsia="仿宋_GB2312" w:cs="Times New Roman"/>
          <w:color w:val="auto"/>
          <w:spacing w:val="2"/>
          <w:sz w:val="20"/>
          <w:szCs w:val="20"/>
          <w:highlight w:val="none"/>
          <w:lang w:eastAsia="zh-CN"/>
        </w:rPr>
        <w:t>投资者</w:t>
      </w:r>
      <w:r>
        <w:rPr>
          <w:rFonts w:ascii="仿宋_GB2312" w:hAnsi="黑体" w:eastAsia="仿宋_GB2312" w:cs="Times New Roman"/>
          <w:color w:val="auto"/>
          <w:spacing w:val="2"/>
          <w:sz w:val="20"/>
          <w:szCs w:val="20"/>
          <w:highlight w:val="none"/>
          <w:lang w:eastAsia="zh-CN"/>
        </w:rPr>
        <w:t>将损失全部本金。</w:t>
      </w:r>
    </w:p>
    <w:p w14:paraId="715728DD">
      <w:pPr>
        <w:ind w:left="140" w:right="154" w:firstLine="400"/>
        <w:jc w:val="both"/>
        <w:rPr>
          <w:rFonts w:ascii="仿宋_GB2312" w:hAnsi="黑体" w:eastAsia="仿宋_GB2312" w:cs="Times New Roman"/>
          <w:b/>
          <w:bCs/>
          <w:color w:val="auto"/>
          <w:spacing w:val="2"/>
          <w:sz w:val="20"/>
          <w:szCs w:val="20"/>
          <w:highlight w:val="none"/>
          <w:lang w:eastAsia="zh-CN"/>
        </w:rPr>
      </w:pPr>
      <w:r>
        <w:rPr>
          <w:rFonts w:ascii="仿宋_GB2312" w:hAnsi="黑体" w:eastAsia="仿宋_GB2312" w:cs="Times New Roman"/>
          <w:b/>
          <w:bCs/>
          <w:color w:val="auto"/>
          <w:spacing w:val="2"/>
          <w:sz w:val="20"/>
          <w:szCs w:val="20"/>
          <w:highlight w:val="none"/>
          <w:lang w:eastAsia="zh-CN"/>
        </w:rPr>
        <w:t>投资者不得使用贷款、发行债券等筹集的非自有资金投资本产品。</w:t>
      </w:r>
    </w:p>
    <w:p w14:paraId="4D701F66">
      <w:pPr>
        <w:ind w:left="140" w:right="154" w:firstLine="400"/>
        <w:jc w:val="both"/>
        <w:rPr>
          <w:rFonts w:ascii="仿宋_GB2312" w:hAnsi="黑体" w:eastAsia="仿宋_GB2312" w:cs="Times New Roman"/>
          <w:color w:val="auto"/>
          <w:spacing w:val="-2"/>
          <w:sz w:val="20"/>
          <w:szCs w:val="20"/>
          <w:highlight w:val="none"/>
          <w:lang w:eastAsia="zh-CN"/>
        </w:rPr>
      </w:pPr>
      <w:r>
        <w:rPr>
          <w:rFonts w:hint="eastAsia" w:ascii="仿宋_GB2312" w:hAnsi="黑体" w:eastAsia="仿宋_GB2312" w:cs="Times New Roman"/>
          <w:color w:val="auto"/>
          <w:spacing w:val="-2"/>
          <w:sz w:val="20"/>
          <w:szCs w:val="20"/>
          <w:highlight w:val="none"/>
          <w:lang w:eastAsia="zh-CN"/>
        </w:rPr>
        <w:t>示例：若</w:t>
      </w:r>
      <w:r>
        <w:rPr>
          <w:rFonts w:hint="eastAsia" w:ascii="仿宋_GB2312" w:hAnsi="仿宋_GB2312" w:eastAsia="仿宋_GB2312" w:cs="仿宋_GB2312"/>
          <w:color w:val="auto"/>
          <w:sz w:val="20"/>
          <w:szCs w:val="20"/>
          <w:highlight w:val="none"/>
          <w:lang w:eastAsia="zh-CN"/>
        </w:rPr>
        <w:t>投资者</w:t>
      </w:r>
      <w:r>
        <w:rPr>
          <w:rFonts w:hint="eastAsia" w:ascii="仿宋_GB2312" w:hAnsi="仿宋_GB2312" w:eastAsia="仿宋_GB2312" w:cs="仿宋_GB2312"/>
          <w:color w:val="auto"/>
          <w:sz w:val="20"/>
          <w:szCs w:val="20"/>
          <w:highlight w:val="none"/>
          <w:lang w:val="en-US" w:eastAsia="zh-CN"/>
        </w:rPr>
        <w:t>申购</w:t>
      </w:r>
      <w:r>
        <w:rPr>
          <w:rFonts w:hint="eastAsia" w:ascii="仿宋_GB2312" w:hAnsi="仿宋_GB2312" w:eastAsia="仿宋_GB2312" w:cs="仿宋_GB2312"/>
          <w:color w:val="auto"/>
          <w:sz w:val="20"/>
          <w:szCs w:val="20"/>
          <w:highlight w:val="none"/>
          <w:lang w:eastAsia="zh-CN"/>
        </w:rPr>
        <w:t>理财产品份额10</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000</w:t>
      </w:r>
      <w:r>
        <w:rPr>
          <w:rFonts w:hint="eastAsia" w:ascii="仿宋_GB2312" w:hAnsi="仿宋_GB2312" w:eastAsia="仿宋_GB2312" w:cs="仿宋_GB2312"/>
          <w:color w:val="auto"/>
          <w:sz w:val="20"/>
          <w:szCs w:val="20"/>
          <w:highlight w:val="none"/>
          <w:lang w:val="en-US" w:eastAsia="zh-CN"/>
        </w:rPr>
        <w:t>.00</w:t>
      </w:r>
      <w:r>
        <w:rPr>
          <w:rFonts w:hint="eastAsia" w:ascii="仿宋_GB2312" w:hAnsi="仿宋_GB2312" w:eastAsia="仿宋_GB2312" w:cs="仿宋_GB2312"/>
          <w:color w:val="auto"/>
          <w:sz w:val="20"/>
          <w:szCs w:val="20"/>
          <w:highlight w:val="none"/>
          <w:lang w:eastAsia="zh-CN"/>
        </w:rPr>
        <w:t>份，开放期内投资者</w:t>
      </w:r>
      <w:r>
        <w:rPr>
          <w:rFonts w:hint="eastAsia" w:ascii="仿宋_GB2312" w:hAnsi="仿宋_GB2312" w:eastAsia="仿宋_GB2312" w:cs="仿宋_GB2312"/>
          <w:color w:val="auto"/>
          <w:sz w:val="20"/>
          <w:szCs w:val="20"/>
          <w:highlight w:val="none"/>
          <w:lang w:val="en-US" w:eastAsia="zh-CN"/>
        </w:rPr>
        <w:t>于T日申请全部赎回</w:t>
      </w:r>
      <w:r>
        <w:rPr>
          <w:rFonts w:hint="eastAsia" w:ascii="仿宋_GB2312" w:hAnsi="仿宋_GB2312" w:eastAsia="仿宋_GB2312" w:cs="仿宋_GB2312"/>
          <w:color w:val="auto"/>
          <w:sz w:val="20"/>
          <w:szCs w:val="20"/>
          <w:highlight w:val="none"/>
          <w:lang w:eastAsia="zh-CN"/>
        </w:rPr>
        <w:t>，赎回</w:t>
      </w:r>
      <w:r>
        <w:rPr>
          <w:rFonts w:hint="eastAsia" w:ascii="仿宋_GB2312" w:hAnsi="仿宋_GB2312" w:eastAsia="仿宋_GB2312" w:cs="仿宋_GB2312"/>
          <w:color w:val="auto"/>
          <w:sz w:val="20"/>
          <w:szCs w:val="20"/>
          <w:highlight w:val="none"/>
          <w:lang w:val="en-US" w:eastAsia="zh-CN"/>
        </w:rPr>
        <w:t>申请日日终该</w:t>
      </w:r>
      <w:r>
        <w:rPr>
          <w:rFonts w:hint="eastAsia" w:ascii="仿宋_GB2312" w:hAnsi="仿宋_GB2312" w:eastAsia="仿宋_GB2312" w:cs="仿宋_GB2312"/>
          <w:color w:val="auto"/>
          <w:sz w:val="20"/>
          <w:szCs w:val="20"/>
          <w:highlight w:val="none"/>
          <w:lang w:eastAsia="zh-CN"/>
        </w:rPr>
        <w:t>投资者持有</w:t>
      </w:r>
      <w:r>
        <w:rPr>
          <w:rFonts w:hint="eastAsia" w:ascii="仿宋_GB2312" w:hAnsi="仿宋_GB2312" w:eastAsia="仿宋_GB2312" w:cs="仿宋_GB2312"/>
          <w:color w:val="auto"/>
          <w:sz w:val="20"/>
          <w:szCs w:val="20"/>
          <w:highlight w:val="none"/>
          <w:lang w:val="en-US" w:eastAsia="zh-CN"/>
        </w:rPr>
        <w:t>产品份额为</w:t>
      </w:r>
      <w:r>
        <w:rPr>
          <w:rFonts w:hint="eastAsia" w:ascii="仿宋_GB2312" w:hAnsi="仿宋_GB2312" w:eastAsia="仿宋_GB2312" w:cs="仿宋_GB2312"/>
          <w:color w:val="auto"/>
          <w:sz w:val="20"/>
          <w:szCs w:val="20"/>
          <w:highlight w:val="none"/>
          <w:lang w:eastAsia="zh-CN"/>
        </w:rPr>
        <w:t>10</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011</w:t>
      </w:r>
      <w:r>
        <w:rPr>
          <w:rFonts w:hint="eastAsia" w:ascii="仿宋_GB2312" w:hAnsi="仿宋_GB2312" w:eastAsia="仿宋_GB2312" w:cs="仿宋_GB2312"/>
          <w:color w:val="auto"/>
          <w:sz w:val="20"/>
          <w:szCs w:val="20"/>
          <w:highlight w:val="none"/>
          <w:lang w:val="en-US" w:eastAsia="zh-CN"/>
        </w:rPr>
        <w:t>.00份</w:t>
      </w:r>
      <w:r>
        <w:rPr>
          <w:rFonts w:hint="eastAsia" w:ascii="仿宋_GB2312" w:hAnsi="仿宋_GB2312" w:eastAsia="仿宋_GB2312" w:cs="仿宋_GB2312"/>
          <w:color w:val="auto"/>
          <w:sz w:val="20"/>
          <w:szCs w:val="20"/>
          <w:highlight w:val="none"/>
          <w:lang w:eastAsia="zh-CN"/>
        </w:rPr>
        <w:t>。投资者赎回后</w:t>
      </w:r>
      <w:r>
        <w:rPr>
          <w:rFonts w:hint="eastAsia" w:ascii="仿宋_GB2312" w:hAnsi="仿宋_GB2312" w:eastAsia="仿宋_GB2312" w:cs="仿宋_GB2312"/>
          <w:color w:val="auto"/>
          <w:sz w:val="20"/>
          <w:szCs w:val="20"/>
          <w:highlight w:val="none"/>
          <w:lang w:val="en-US" w:eastAsia="zh-CN"/>
        </w:rPr>
        <w:t>在确认日</w:t>
      </w:r>
      <w:r>
        <w:rPr>
          <w:rFonts w:hint="eastAsia" w:ascii="仿宋_GB2312" w:hAnsi="仿宋_GB2312" w:eastAsia="仿宋_GB2312" w:cs="仿宋_GB2312"/>
          <w:color w:val="auto"/>
          <w:sz w:val="20"/>
          <w:szCs w:val="20"/>
          <w:highlight w:val="none"/>
          <w:lang w:eastAsia="zh-CN"/>
        </w:rPr>
        <w:t>可</w:t>
      </w:r>
      <w:r>
        <w:rPr>
          <w:rFonts w:hint="eastAsia" w:ascii="仿宋_GB2312" w:hAnsi="仿宋_GB2312" w:eastAsia="仿宋_GB2312" w:cs="仿宋_GB2312"/>
          <w:color w:val="auto"/>
          <w:sz w:val="20"/>
          <w:szCs w:val="20"/>
          <w:highlight w:val="none"/>
          <w:lang w:val="en-US" w:eastAsia="zh-CN"/>
        </w:rPr>
        <w:t>得</w:t>
      </w:r>
      <w:r>
        <w:rPr>
          <w:rFonts w:hint="eastAsia" w:ascii="仿宋_GB2312" w:hAnsi="仿宋_GB2312" w:eastAsia="仿宋_GB2312" w:cs="仿宋_GB2312"/>
          <w:color w:val="auto"/>
          <w:sz w:val="20"/>
          <w:szCs w:val="20"/>
          <w:highlight w:val="none"/>
          <w:lang w:eastAsia="zh-CN"/>
        </w:rPr>
        <w:t>金额为：10</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0</w:t>
      </w:r>
      <w:r>
        <w:rPr>
          <w:rFonts w:hint="eastAsia" w:ascii="仿宋_GB2312" w:hAnsi="仿宋_GB2312" w:eastAsia="仿宋_GB2312" w:cs="仿宋_GB2312"/>
          <w:color w:val="auto"/>
          <w:sz w:val="20"/>
          <w:szCs w:val="20"/>
          <w:highlight w:val="none"/>
          <w:lang w:val="en-US" w:eastAsia="zh-CN"/>
        </w:rPr>
        <w:t>11</w:t>
      </w:r>
      <w:r>
        <w:rPr>
          <w:rFonts w:ascii="仿宋_GB2312" w:eastAsia="仿宋_GB2312" w:cs="Times New Roman" w:hAnsiTheme="minorEastAsia"/>
          <w:color w:val="auto"/>
          <w:sz w:val="20"/>
          <w:highlight w:val="none"/>
          <w:u w:val="none"/>
          <w:lang w:eastAsia="zh-CN"/>
        </w:rPr>
        <w:t>×</w:t>
      </w:r>
      <w:r>
        <w:rPr>
          <w:rFonts w:hint="eastAsia" w:ascii="仿宋_GB2312" w:hAnsi="仿宋_GB2312" w:eastAsia="仿宋_GB2312" w:cs="仿宋_GB2312"/>
          <w:color w:val="auto"/>
          <w:sz w:val="20"/>
          <w:szCs w:val="20"/>
          <w:highlight w:val="none"/>
          <w:lang w:eastAsia="zh-CN"/>
        </w:rPr>
        <w:t>1=10</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011</w:t>
      </w:r>
      <w:r>
        <w:rPr>
          <w:rFonts w:hint="eastAsia" w:ascii="仿宋_GB2312" w:hAnsi="仿宋_GB2312" w:eastAsia="仿宋_GB2312" w:cs="仿宋_GB2312"/>
          <w:color w:val="auto"/>
          <w:sz w:val="20"/>
          <w:szCs w:val="20"/>
          <w:highlight w:val="none"/>
          <w:lang w:val="en-US" w:eastAsia="zh-CN"/>
        </w:rPr>
        <w:t>.00</w:t>
      </w:r>
      <w:r>
        <w:rPr>
          <w:rFonts w:hint="eastAsia" w:ascii="仿宋_GB2312" w:hAnsi="仿宋_GB2312" w:eastAsia="仿宋_GB2312" w:cs="仿宋_GB2312"/>
          <w:color w:val="auto"/>
          <w:sz w:val="20"/>
          <w:szCs w:val="20"/>
          <w:highlight w:val="none"/>
          <w:lang w:eastAsia="zh-CN"/>
        </w:rPr>
        <w:t>元</w:t>
      </w:r>
      <w:r>
        <w:rPr>
          <w:rFonts w:ascii="仿宋_GB2312" w:hAnsi="黑体" w:eastAsia="仿宋_GB2312" w:cs="Times New Roman"/>
          <w:color w:val="auto"/>
          <w:spacing w:val="-2"/>
          <w:sz w:val="20"/>
          <w:szCs w:val="20"/>
          <w:highlight w:val="none"/>
          <w:lang w:eastAsia="zh-CN"/>
        </w:rPr>
        <w:t>。</w:t>
      </w:r>
      <w:r>
        <w:rPr>
          <w:rFonts w:hint="eastAsia" w:ascii="仿宋_GB2312" w:hAnsi="黑体" w:eastAsia="仿宋_GB2312" w:cs="Times New Roman"/>
          <w:color w:val="auto"/>
          <w:spacing w:val="-2"/>
          <w:sz w:val="20"/>
          <w:szCs w:val="20"/>
          <w:highlight w:val="none"/>
          <w:lang w:eastAsia="zh-CN"/>
        </w:rPr>
        <w:t>在</w:t>
      </w:r>
      <w:r>
        <w:rPr>
          <w:rFonts w:ascii="仿宋_GB2312" w:hAnsi="黑体" w:eastAsia="仿宋_GB2312" w:cs="Times New Roman"/>
          <w:color w:val="auto"/>
          <w:spacing w:val="-2"/>
          <w:sz w:val="20"/>
          <w:szCs w:val="20"/>
          <w:highlight w:val="none"/>
          <w:lang w:eastAsia="zh-CN"/>
        </w:rPr>
        <w:t>最不利情况下，资产组合无法回收任何本金和净收益</w:t>
      </w:r>
      <w:r>
        <w:rPr>
          <w:rFonts w:hint="eastAsia" w:ascii="仿宋_GB2312" w:hAnsi="黑体" w:eastAsia="仿宋_GB2312" w:cs="Times New Roman"/>
          <w:color w:val="auto"/>
          <w:spacing w:val="-2"/>
          <w:sz w:val="20"/>
          <w:szCs w:val="20"/>
          <w:highlight w:val="none"/>
          <w:lang w:eastAsia="zh-CN"/>
        </w:rPr>
        <w:t>，理财产品1万元本金将全部损失。</w:t>
      </w:r>
    </w:p>
    <w:p w14:paraId="2B8D19E0">
      <w:pPr>
        <w:ind w:left="139" w:firstLine="398"/>
        <w:jc w:val="both"/>
        <w:rPr>
          <w:rFonts w:ascii="仿宋_GB2312" w:hAnsi="Times New Roman" w:eastAsia="仿宋_GB2312" w:cs="Times New Roman"/>
          <w:color w:val="auto"/>
          <w:sz w:val="20"/>
          <w:szCs w:val="20"/>
          <w:highlight w:val="none"/>
          <w:lang w:eastAsia="zh-CN"/>
        </w:rPr>
      </w:pPr>
      <w:r>
        <w:rPr>
          <w:rFonts w:ascii="仿宋_GB2312" w:hAnsi="黑体" w:eastAsia="仿宋_GB2312" w:cs="Times New Roman"/>
          <w:b/>
          <w:color w:val="auto"/>
          <w:sz w:val="20"/>
          <w:szCs w:val="20"/>
          <w:highlight w:val="none"/>
          <w:lang w:eastAsia="zh-CN"/>
        </w:rPr>
        <w:t>如影响您风险承受能力的因素发生变化</w:t>
      </w:r>
      <w:r>
        <w:rPr>
          <w:rFonts w:hint="eastAsia" w:ascii="仿宋_GB2312" w:hAnsi="黑体" w:eastAsia="仿宋_GB2312" w:cs="Times New Roman"/>
          <w:b/>
          <w:color w:val="auto"/>
          <w:sz w:val="20"/>
          <w:szCs w:val="20"/>
          <w:highlight w:val="none"/>
          <w:lang w:eastAsia="zh-CN"/>
        </w:rPr>
        <w:t>或风险承受能力评估超过一年</w:t>
      </w:r>
      <w:r>
        <w:rPr>
          <w:rFonts w:ascii="仿宋_GB2312" w:hAnsi="黑体" w:eastAsia="仿宋_GB2312" w:cs="Times New Roman"/>
          <w:b/>
          <w:color w:val="auto"/>
          <w:sz w:val="20"/>
          <w:szCs w:val="20"/>
          <w:highlight w:val="none"/>
          <w:lang w:eastAsia="zh-CN"/>
        </w:rPr>
        <w:t>，请及时完成风险承受能力评估。</w:t>
      </w:r>
    </w:p>
    <w:p w14:paraId="0A2F4875">
      <w:pPr>
        <w:ind w:left="140" w:right="151" w:firstLine="400"/>
        <w:jc w:val="both"/>
        <w:rPr>
          <w:rFonts w:ascii="仿宋_GB2312" w:hAnsi="黑体" w:eastAsia="仿宋_GB2312" w:cs="Times New Roman"/>
          <w:color w:val="auto"/>
          <w:spacing w:val="-2"/>
          <w:sz w:val="20"/>
          <w:szCs w:val="20"/>
          <w:highlight w:val="none"/>
          <w:lang w:eastAsia="zh-CN"/>
        </w:rPr>
      </w:pPr>
      <w:r>
        <w:rPr>
          <w:rFonts w:hint="eastAsia" w:ascii="仿宋_GB2312" w:hAnsi="黑体" w:eastAsia="仿宋_GB2312" w:cs="Times New Roman"/>
          <w:color w:val="auto"/>
          <w:spacing w:val="-2"/>
          <w:sz w:val="20"/>
          <w:szCs w:val="20"/>
          <w:highlight w:val="none"/>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7DE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1C78B02E">
            <w:pPr>
              <w:snapToGrid w:val="0"/>
              <w:jc w:val="center"/>
              <w:rPr>
                <w:rFonts w:ascii="Times New Roman" w:hAnsi="Times New Roman" w:eastAsia="仿宋_GB2312" w:cs="Times New Roman"/>
                <w:color w:val="auto"/>
                <w:sz w:val="20"/>
                <w:highlight w:val="none"/>
              </w:rPr>
            </w:pPr>
            <w:r>
              <w:rPr>
                <w:rFonts w:hint="eastAsia" w:ascii="Times New Roman" w:hAnsi="Times New Roman" w:eastAsia="仿宋_GB2312" w:cs="Times New Roman"/>
                <w:color w:val="auto"/>
                <w:sz w:val="20"/>
                <w:highlight w:val="none"/>
              </w:rPr>
              <w:t>风险评级</w:t>
            </w:r>
          </w:p>
        </w:tc>
        <w:tc>
          <w:tcPr>
            <w:tcW w:w="4833" w:type="dxa"/>
            <w:tcBorders>
              <w:top w:val="single" w:color="000000" w:sz="12" w:space="0"/>
            </w:tcBorders>
            <w:vAlign w:val="center"/>
          </w:tcPr>
          <w:p w14:paraId="0B1992F3">
            <w:pPr>
              <w:snapToGrid w:val="0"/>
              <w:jc w:val="center"/>
              <w:rPr>
                <w:rFonts w:ascii="Times New Roman" w:hAnsi="Times New Roman" w:eastAsia="仿宋_GB2312" w:cs="Times New Roman"/>
                <w:color w:val="auto"/>
                <w:sz w:val="20"/>
                <w:highlight w:val="none"/>
              </w:rPr>
            </w:pPr>
            <w:r>
              <w:rPr>
                <w:rFonts w:hint="eastAsia" w:ascii="Times New Roman" w:hAnsi="Times New Roman" w:eastAsia="仿宋_GB2312" w:cs="Times New Roman"/>
                <w:color w:val="auto"/>
                <w:sz w:val="20"/>
                <w:highlight w:val="none"/>
              </w:rPr>
              <w:t>评级说明</w:t>
            </w:r>
          </w:p>
        </w:tc>
        <w:tc>
          <w:tcPr>
            <w:tcW w:w="2646" w:type="dxa"/>
            <w:tcBorders>
              <w:top w:val="single" w:color="000000" w:sz="12" w:space="0"/>
              <w:right w:val="single" w:color="000000" w:sz="12" w:space="0"/>
            </w:tcBorders>
            <w:vAlign w:val="center"/>
          </w:tcPr>
          <w:p w14:paraId="22B1646B">
            <w:pPr>
              <w:snapToGrid w:val="0"/>
              <w:jc w:val="center"/>
              <w:rPr>
                <w:rFonts w:ascii="Times New Roman" w:hAnsi="Times New Roman" w:eastAsia="仿宋_GB2312" w:cs="Times New Roman"/>
                <w:color w:val="auto"/>
                <w:sz w:val="20"/>
                <w:highlight w:val="none"/>
              </w:rPr>
            </w:pPr>
            <w:r>
              <w:rPr>
                <w:rFonts w:hint="eastAsia" w:ascii="Times New Roman" w:hAnsi="Times New Roman" w:eastAsia="仿宋_GB2312" w:cs="Times New Roman"/>
                <w:color w:val="auto"/>
                <w:sz w:val="20"/>
                <w:highlight w:val="none"/>
              </w:rPr>
              <w:t>适合投资者</w:t>
            </w:r>
          </w:p>
        </w:tc>
      </w:tr>
      <w:tr w14:paraId="38E1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9260583">
            <w:pPr>
              <w:snapToGrid w:val="0"/>
              <w:jc w:val="center"/>
              <w:rPr>
                <w:rFonts w:ascii="Times New Roman" w:hAnsi="Times New Roman" w:eastAsia="仿宋_GB2312" w:cs="Times New Roman"/>
                <w:b/>
                <w:bCs/>
                <w:color w:val="auto"/>
                <w:sz w:val="20"/>
                <w:highlight w:val="none"/>
              </w:rPr>
            </w:pPr>
            <w:r>
              <w:rPr>
                <w:rFonts w:hint="eastAsia" w:ascii="Times New Roman" w:hAnsi="Times New Roman" w:eastAsia="仿宋_GB2312" w:cs="Times New Roman"/>
                <w:b/>
                <w:bCs/>
                <w:color w:val="auto"/>
                <w:sz w:val="20"/>
                <w:highlight w:val="none"/>
              </w:rPr>
              <w:t>低风险级别</w:t>
            </w:r>
          </w:p>
          <w:p w14:paraId="6D82A93F">
            <w:pPr>
              <w:snapToGrid w:val="0"/>
              <w:jc w:val="center"/>
              <w:rPr>
                <w:rFonts w:ascii="Times New Roman" w:hAnsi="Times New Roman" w:eastAsia="仿宋_GB2312" w:cs="Times New Roman"/>
                <w:b/>
                <w:bCs/>
                <w:color w:val="auto"/>
                <w:sz w:val="20"/>
                <w:highlight w:val="none"/>
              </w:rPr>
            </w:pPr>
            <w:r>
              <w:rPr>
                <w:rFonts w:hint="eastAsia" w:ascii="Times New Roman" w:hAnsi="Times New Roman" w:eastAsia="仿宋_GB2312" w:cs="Times New Roman"/>
                <w:b/>
                <w:bCs/>
                <w:color w:val="auto"/>
                <w:sz w:val="20"/>
                <w:highlight w:val="none"/>
              </w:rPr>
              <w:t>（</w:t>
            </w:r>
            <w:r>
              <w:rPr>
                <w:rFonts w:hint="eastAsia" w:ascii="Times New Roman" w:hAnsi="Times New Roman" w:eastAsia="仿宋_GB2312" w:cs="Times New Roman"/>
                <w:b/>
                <w:bCs/>
                <w:color w:val="auto"/>
                <w:sz w:val="20"/>
                <w:highlight w:val="none"/>
                <w:lang w:eastAsia="zh-CN"/>
              </w:rPr>
              <w:t>一级</w:t>
            </w:r>
            <w:r>
              <w:rPr>
                <w:rFonts w:hint="eastAsia" w:ascii="Times New Roman" w:hAnsi="Times New Roman" w:eastAsia="仿宋_GB2312" w:cs="Times New Roman"/>
                <w:b/>
                <w:bCs/>
                <w:color w:val="auto"/>
                <w:sz w:val="20"/>
                <w:highlight w:val="none"/>
              </w:rPr>
              <w:t>）</w:t>
            </w:r>
          </w:p>
        </w:tc>
        <w:tc>
          <w:tcPr>
            <w:tcW w:w="4833" w:type="dxa"/>
            <w:tcMar>
              <w:left w:w="170" w:type="dxa"/>
              <w:right w:w="170" w:type="dxa"/>
            </w:tcMar>
            <w:vAlign w:val="center"/>
          </w:tcPr>
          <w:p w14:paraId="7B66623F">
            <w:pPr>
              <w:snapToGrid w:val="0"/>
              <w:ind w:firstLine="402" w:firstLineChars="200"/>
              <w:rPr>
                <w:rFonts w:ascii="Times New Roman" w:hAnsi="Times New Roman" w:eastAsia="仿宋_GB2312" w:cs="Times New Roman"/>
                <w:b/>
                <w:bCs/>
                <w:color w:val="auto"/>
                <w:sz w:val="20"/>
                <w:highlight w:val="none"/>
                <w:lang w:eastAsia="zh-CN"/>
              </w:rPr>
            </w:pPr>
            <w:r>
              <w:rPr>
                <w:rFonts w:hint="eastAsia" w:ascii="Times New Roman" w:hAnsi="Times New Roman" w:eastAsia="仿宋_GB2312" w:cs="Times New Roman"/>
                <w:b/>
                <w:bCs/>
                <w:color w:val="auto"/>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05A67C96">
            <w:pPr>
              <w:snapToGrid w:val="0"/>
              <w:jc w:val="center"/>
              <w:rPr>
                <w:rFonts w:ascii="Times New Roman" w:hAnsi="Times New Roman" w:eastAsia="仿宋_GB2312" w:cs="Times New Roman"/>
                <w:b/>
                <w:bCs/>
                <w:color w:val="auto"/>
                <w:sz w:val="20"/>
                <w:highlight w:val="none"/>
                <w:lang w:eastAsia="zh-CN"/>
              </w:rPr>
            </w:pPr>
            <w:r>
              <w:rPr>
                <w:rFonts w:hint="eastAsia" w:ascii="Times New Roman" w:hAnsi="Times New Roman" w:eastAsia="仿宋_GB2312" w:cs="Times New Roman"/>
                <w:b/>
                <w:bCs/>
                <w:color w:val="auto"/>
                <w:sz w:val="20"/>
                <w:highlight w:val="none"/>
                <w:lang w:eastAsia="zh-CN"/>
              </w:rPr>
              <w:t>保守型、稳健型、平衡型、成长型、进取型</w:t>
            </w:r>
          </w:p>
        </w:tc>
      </w:tr>
      <w:tr w14:paraId="7CE2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16D4DA13">
            <w:pPr>
              <w:snapToGrid w:val="0"/>
              <w:jc w:val="center"/>
              <w:rPr>
                <w:rFonts w:ascii="Times New Roman" w:hAnsi="Times New Roman" w:eastAsia="仿宋_GB2312" w:cs="Times New Roman"/>
                <w:color w:val="auto"/>
                <w:sz w:val="20"/>
                <w:highlight w:val="none"/>
                <w:lang w:eastAsia="zh-CN"/>
              </w:rPr>
            </w:pPr>
            <w:r>
              <w:rPr>
                <w:rFonts w:hint="eastAsia" w:ascii="Times New Roman" w:hAnsi="Times New Roman" w:eastAsia="仿宋_GB2312" w:cs="Times New Roman"/>
                <w:color w:val="auto"/>
                <w:sz w:val="20"/>
                <w:highlight w:val="none"/>
                <w:lang w:eastAsia="zh-CN"/>
              </w:rPr>
              <w:t>较低风险级别</w:t>
            </w:r>
          </w:p>
          <w:p w14:paraId="096F117F">
            <w:pPr>
              <w:snapToGrid w:val="0"/>
              <w:jc w:val="center"/>
              <w:rPr>
                <w:rFonts w:ascii="Times New Roman" w:hAnsi="Times New Roman" w:eastAsia="仿宋_GB2312" w:cs="Times New Roman"/>
                <w:color w:val="auto"/>
                <w:sz w:val="20"/>
                <w:highlight w:val="none"/>
                <w:lang w:eastAsia="zh-CN"/>
              </w:rPr>
            </w:pPr>
            <w:r>
              <w:rPr>
                <w:rFonts w:hint="eastAsia" w:ascii="Times New Roman" w:hAnsi="Times New Roman" w:eastAsia="仿宋_GB2312" w:cs="Times New Roman"/>
                <w:color w:val="auto"/>
                <w:sz w:val="20"/>
                <w:highlight w:val="none"/>
                <w:lang w:eastAsia="zh-CN"/>
              </w:rPr>
              <w:t>（二级）</w:t>
            </w:r>
          </w:p>
        </w:tc>
        <w:tc>
          <w:tcPr>
            <w:tcW w:w="4833" w:type="dxa"/>
            <w:tcMar>
              <w:left w:w="170" w:type="dxa"/>
              <w:right w:w="170" w:type="dxa"/>
            </w:tcMar>
            <w:vAlign w:val="center"/>
          </w:tcPr>
          <w:p w14:paraId="2EE1C887">
            <w:pPr>
              <w:snapToGrid w:val="0"/>
              <w:ind w:firstLine="400" w:firstLineChars="200"/>
              <w:rPr>
                <w:rFonts w:ascii="Times New Roman" w:hAnsi="Times New Roman" w:eastAsia="仿宋_GB2312" w:cs="Times New Roman"/>
                <w:color w:val="auto"/>
                <w:sz w:val="20"/>
                <w:highlight w:val="none"/>
                <w:lang w:eastAsia="zh-CN"/>
              </w:rPr>
            </w:pPr>
            <w:r>
              <w:rPr>
                <w:rFonts w:hint="eastAsia" w:ascii="Times New Roman" w:hAnsi="Times New Roman" w:eastAsia="仿宋_GB2312" w:cs="Times New Roman"/>
                <w:color w:val="auto"/>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2992DAA9">
            <w:pPr>
              <w:snapToGrid w:val="0"/>
              <w:jc w:val="center"/>
              <w:rPr>
                <w:rFonts w:ascii="Times New Roman" w:hAnsi="Times New Roman" w:eastAsia="仿宋_GB2312" w:cs="Times New Roman"/>
                <w:color w:val="auto"/>
                <w:sz w:val="20"/>
                <w:highlight w:val="none"/>
                <w:lang w:eastAsia="zh-CN"/>
              </w:rPr>
            </w:pPr>
            <w:r>
              <w:rPr>
                <w:rFonts w:hint="eastAsia" w:ascii="Times New Roman" w:hAnsi="Times New Roman" w:eastAsia="仿宋_GB2312" w:cs="Times New Roman"/>
                <w:color w:val="auto"/>
                <w:sz w:val="20"/>
                <w:highlight w:val="none"/>
                <w:lang w:eastAsia="zh-CN"/>
              </w:rPr>
              <w:t>稳健型、平衡型、成长型、进取型</w:t>
            </w:r>
          </w:p>
        </w:tc>
      </w:tr>
      <w:tr w14:paraId="23B2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578BD77">
            <w:pPr>
              <w:snapToGrid w:val="0"/>
              <w:jc w:val="center"/>
              <w:rPr>
                <w:rFonts w:ascii="Times New Roman" w:hAnsi="Times New Roman" w:eastAsia="仿宋_GB2312" w:cs="Times New Roman"/>
                <w:color w:val="auto"/>
                <w:sz w:val="20"/>
                <w:highlight w:val="none"/>
                <w:lang w:eastAsia="zh-CN"/>
              </w:rPr>
            </w:pPr>
            <w:r>
              <w:rPr>
                <w:rFonts w:hint="eastAsia" w:ascii="Times New Roman" w:hAnsi="Times New Roman" w:eastAsia="仿宋_GB2312" w:cs="Times New Roman"/>
                <w:color w:val="auto"/>
                <w:sz w:val="20"/>
                <w:highlight w:val="none"/>
                <w:lang w:eastAsia="zh-CN"/>
              </w:rPr>
              <w:t>中等风险级别</w:t>
            </w:r>
          </w:p>
          <w:p w14:paraId="5B89073D">
            <w:pPr>
              <w:snapToGrid w:val="0"/>
              <w:jc w:val="center"/>
              <w:rPr>
                <w:rFonts w:ascii="Times New Roman" w:hAnsi="Times New Roman" w:eastAsia="仿宋_GB2312" w:cs="Times New Roman"/>
                <w:color w:val="auto"/>
                <w:sz w:val="20"/>
                <w:highlight w:val="none"/>
                <w:lang w:eastAsia="zh-CN"/>
              </w:rPr>
            </w:pPr>
            <w:r>
              <w:rPr>
                <w:rFonts w:hint="eastAsia" w:ascii="Times New Roman" w:hAnsi="Times New Roman" w:eastAsia="仿宋_GB2312" w:cs="Times New Roman"/>
                <w:color w:val="auto"/>
                <w:sz w:val="20"/>
                <w:highlight w:val="none"/>
                <w:lang w:eastAsia="zh-CN"/>
              </w:rPr>
              <w:t>（三级）</w:t>
            </w:r>
          </w:p>
        </w:tc>
        <w:tc>
          <w:tcPr>
            <w:tcW w:w="4833" w:type="dxa"/>
            <w:tcMar>
              <w:left w:w="170" w:type="dxa"/>
              <w:right w:w="170" w:type="dxa"/>
            </w:tcMar>
            <w:vAlign w:val="center"/>
          </w:tcPr>
          <w:p w14:paraId="7DBB071C">
            <w:pPr>
              <w:snapToGrid w:val="0"/>
              <w:ind w:firstLine="400" w:firstLineChars="200"/>
              <w:rPr>
                <w:rFonts w:ascii="Times New Roman" w:hAnsi="Times New Roman" w:eastAsia="仿宋_GB2312" w:cs="Times New Roman"/>
                <w:color w:val="auto"/>
                <w:sz w:val="20"/>
                <w:highlight w:val="none"/>
                <w:lang w:eastAsia="zh-CN"/>
              </w:rPr>
            </w:pPr>
            <w:r>
              <w:rPr>
                <w:rFonts w:hint="eastAsia" w:ascii="Times New Roman" w:hAnsi="Times New Roman" w:eastAsia="仿宋_GB2312" w:cs="Times New Roman"/>
                <w:color w:val="auto"/>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7224850F">
            <w:pPr>
              <w:snapToGrid w:val="0"/>
              <w:jc w:val="center"/>
              <w:rPr>
                <w:rFonts w:ascii="Times New Roman" w:hAnsi="Times New Roman" w:eastAsia="仿宋_GB2312" w:cs="Times New Roman"/>
                <w:color w:val="auto"/>
                <w:sz w:val="20"/>
                <w:highlight w:val="none"/>
                <w:lang w:eastAsia="zh-CN"/>
              </w:rPr>
            </w:pPr>
            <w:r>
              <w:rPr>
                <w:rFonts w:hint="eastAsia" w:ascii="Times New Roman" w:hAnsi="Times New Roman" w:eastAsia="仿宋_GB2312" w:cs="Times New Roman"/>
                <w:color w:val="auto"/>
                <w:sz w:val="20"/>
                <w:highlight w:val="none"/>
                <w:lang w:eastAsia="zh-CN"/>
              </w:rPr>
              <w:t>平衡型、成长型、进取型</w:t>
            </w:r>
          </w:p>
        </w:tc>
      </w:tr>
      <w:tr w14:paraId="3A33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25EE1FE8">
            <w:pPr>
              <w:snapToGrid w:val="0"/>
              <w:jc w:val="center"/>
              <w:rPr>
                <w:rFonts w:ascii="Times New Roman" w:hAnsi="Times New Roman" w:eastAsia="仿宋_GB2312" w:cs="Times New Roman"/>
                <w:color w:val="auto"/>
                <w:sz w:val="20"/>
                <w:highlight w:val="none"/>
                <w:lang w:eastAsia="zh-CN"/>
              </w:rPr>
            </w:pPr>
            <w:r>
              <w:rPr>
                <w:rFonts w:hint="eastAsia" w:ascii="Times New Roman" w:hAnsi="Times New Roman" w:eastAsia="仿宋_GB2312" w:cs="Times New Roman"/>
                <w:color w:val="auto"/>
                <w:sz w:val="20"/>
                <w:highlight w:val="none"/>
                <w:lang w:eastAsia="zh-CN"/>
              </w:rPr>
              <w:t>较高风险级别</w:t>
            </w:r>
          </w:p>
          <w:p w14:paraId="3DDE6CE1">
            <w:pPr>
              <w:snapToGrid w:val="0"/>
              <w:jc w:val="center"/>
              <w:rPr>
                <w:rFonts w:ascii="Times New Roman" w:hAnsi="Times New Roman" w:eastAsia="仿宋_GB2312" w:cs="Times New Roman"/>
                <w:color w:val="auto"/>
                <w:sz w:val="20"/>
                <w:highlight w:val="none"/>
                <w:lang w:eastAsia="zh-CN"/>
              </w:rPr>
            </w:pPr>
            <w:r>
              <w:rPr>
                <w:rFonts w:hint="eastAsia" w:ascii="Times New Roman" w:hAnsi="Times New Roman" w:eastAsia="仿宋_GB2312" w:cs="Times New Roman"/>
                <w:color w:val="auto"/>
                <w:sz w:val="20"/>
                <w:highlight w:val="none"/>
                <w:lang w:eastAsia="zh-CN"/>
              </w:rPr>
              <w:t>（四级）</w:t>
            </w:r>
          </w:p>
        </w:tc>
        <w:tc>
          <w:tcPr>
            <w:tcW w:w="4833" w:type="dxa"/>
            <w:tcMar>
              <w:left w:w="170" w:type="dxa"/>
              <w:right w:w="170" w:type="dxa"/>
            </w:tcMar>
            <w:vAlign w:val="center"/>
          </w:tcPr>
          <w:p w14:paraId="52D79DB7">
            <w:pPr>
              <w:snapToGrid w:val="0"/>
              <w:ind w:firstLine="400" w:firstLineChars="200"/>
              <w:rPr>
                <w:rFonts w:ascii="Times New Roman" w:hAnsi="Times New Roman" w:eastAsia="仿宋_GB2312" w:cs="Times New Roman"/>
                <w:color w:val="auto"/>
                <w:sz w:val="20"/>
                <w:highlight w:val="none"/>
                <w:lang w:eastAsia="zh-CN"/>
              </w:rPr>
            </w:pPr>
            <w:r>
              <w:rPr>
                <w:rFonts w:hint="eastAsia" w:ascii="Times New Roman" w:hAnsi="Times New Roman" w:eastAsia="仿宋_GB2312" w:cs="Times New Roman"/>
                <w:color w:val="auto"/>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46DF2E47">
            <w:pPr>
              <w:snapToGrid w:val="0"/>
              <w:jc w:val="center"/>
              <w:rPr>
                <w:rFonts w:ascii="Times New Roman" w:hAnsi="Times New Roman" w:eastAsia="仿宋_GB2312" w:cs="Times New Roman"/>
                <w:color w:val="auto"/>
                <w:sz w:val="20"/>
                <w:highlight w:val="none"/>
              </w:rPr>
            </w:pPr>
            <w:r>
              <w:rPr>
                <w:rFonts w:hint="eastAsia" w:ascii="Times New Roman" w:hAnsi="Times New Roman" w:eastAsia="仿宋_GB2312" w:cs="Times New Roman"/>
                <w:color w:val="auto"/>
                <w:sz w:val="20"/>
                <w:highlight w:val="none"/>
              </w:rPr>
              <w:t>成长型、进取型</w:t>
            </w:r>
          </w:p>
        </w:tc>
      </w:tr>
      <w:tr w14:paraId="400C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26DB2810">
            <w:pPr>
              <w:snapToGrid w:val="0"/>
              <w:jc w:val="center"/>
              <w:rPr>
                <w:rFonts w:ascii="Times New Roman" w:hAnsi="Times New Roman" w:eastAsia="仿宋_GB2312" w:cs="Times New Roman"/>
                <w:color w:val="auto"/>
                <w:sz w:val="20"/>
                <w:highlight w:val="none"/>
              </w:rPr>
            </w:pPr>
            <w:r>
              <w:rPr>
                <w:rFonts w:hint="eastAsia" w:ascii="Times New Roman" w:hAnsi="Times New Roman" w:eastAsia="仿宋_GB2312" w:cs="Times New Roman"/>
                <w:color w:val="auto"/>
                <w:sz w:val="20"/>
                <w:highlight w:val="none"/>
              </w:rPr>
              <w:t>高风险级别</w:t>
            </w:r>
          </w:p>
          <w:p w14:paraId="23344D87">
            <w:pPr>
              <w:snapToGrid w:val="0"/>
              <w:jc w:val="center"/>
              <w:rPr>
                <w:rFonts w:ascii="Times New Roman" w:hAnsi="Times New Roman" w:eastAsia="仿宋_GB2312" w:cs="Times New Roman"/>
                <w:color w:val="auto"/>
                <w:sz w:val="20"/>
                <w:highlight w:val="none"/>
              </w:rPr>
            </w:pPr>
            <w:r>
              <w:rPr>
                <w:rFonts w:hint="eastAsia" w:ascii="Times New Roman" w:hAnsi="Times New Roman" w:eastAsia="仿宋_GB2312" w:cs="Times New Roman"/>
                <w:color w:val="auto"/>
                <w:sz w:val="20"/>
                <w:highlight w:val="none"/>
              </w:rPr>
              <w:t>（</w:t>
            </w:r>
            <w:r>
              <w:rPr>
                <w:rFonts w:hint="eastAsia" w:ascii="Times New Roman" w:hAnsi="Times New Roman" w:eastAsia="仿宋_GB2312" w:cs="Times New Roman"/>
                <w:color w:val="auto"/>
                <w:sz w:val="20"/>
                <w:highlight w:val="none"/>
                <w:lang w:eastAsia="zh-CN"/>
              </w:rPr>
              <w:t>五级</w:t>
            </w:r>
            <w:r>
              <w:rPr>
                <w:rFonts w:hint="eastAsia" w:ascii="Times New Roman" w:hAnsi="Times New Roman" w:eastAsia="仿宋_GB2312" w:cs="Times New Roman"/>
                <w:color w:val="auto"/>
                <w:sz w:val="20"/>
                <w:highlight w:val="none"/>
              </w:rPr>
              <w:t>）</w:t>
            </w:r>
          </w:p>
        </w:tc>
        <w:tc>
          <w:tcPr>
            <w:tcW w:w="4833" w:type="dxa"/>
            <w:tcBorders>
              <w:bottom w:val="single" w:color="000000" w:sz="12" w:space="0"/>
            </w:tcBorders>
            <w:tcMar>
              <w:left w:w="170" w:type="dxa"/>
              <w:right w:w="170" w:type="dxa"/>
            </w:tcMar>
            <w:vAlign w:val="center"/>
          </w:tcPr>
          <w:p w14:paraId="2B550A75">
            <w:pPr>
              <w:snapToGrid w:val="0"/>
              <w:ind w:firstLine="400" w:firstLineChars="200"/>
              <w:rPr>
                <w:rFonts w:ascii="Times New Roman" w:hAnsi="Times New Roman" w:eastAsia="仿宋_GB2312" w:cs="Times New Roman"/>
                <w:color w:val="auto"/>
                <w:sz w:val="20"/>
                <w:highlight w:val="none"/>
                <w:lang w:eastAsia="zh-CN"/>
              </w:rPr>
            </w:pPr>
            <w:r>
              <w:rPr>
                <w:rFonts w:hint="eastAsia" w:ascii="Times New Roman" w:hAnsi="Times New Roman" w:eastAsia="仿宋_GB2312" w:cs="Times New Roman"/>
                <w:color w:val="auto"/>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233807ED">
            <w:pPr>
              <w:snapToGrid w:val="0"/>
              <w:jc w:val="center"/>
              <w:rPr>
                <w:rFonts w:ascii="Times New Roman" w:hAnsi="Times New Roman" w:eastAsia="仿宋_GB2312" w:cs="Times New Roman"/>
                <w:color w:val="auto"/>
                <w:sz w:val="20"/>
                <w:highlight w:val="none"/>
              </w:rPr>
            </w:pPr>
            <w:r>
              <w:rPr>
                <w:rFonts w:hint="eastAsia" w:ascii="Times New Roman" w:hAnsi="Times New Roman" w:eastAsia="仿宋_GB2312" w:cs="Times New Roman"/>
                <w:color w:val="auto"/>
                <w:sz w:val="20"/>
                <w:highlight w:val="none"/>
              </w:rPr>
              <w:t>进取型</w:t>
            </w:r>
          </w:p>
        </w:tc>
      </w:tr>
    </w:tbl>
    <w:p w14:paraId="7A87C341">
      <w:pPr>
        <w:ind w:left="538" w:right="271"/>
        <w:rPr>
          <w:rFonts w:hint="eastAsia" w:ascii="仿宋_GB2312" w:hAnsi="仿宋_GB2312" w:eastAsia="仿宋_GB2312" w:cs="仿宋_GB2312"/>
          <w:color w:val="auto"/>
          <w:spacing w:val="2"/>
          <w:sz w:val="20"/>
          <w:szCs w:val="20"/>
          <w:highlight w:val="none"/>
          <w:lang w:eastAsia="zh-CN"/>
        </w:rPr>
      </w:pPr>
      <w:r>
        <w:rPr>
          <w:rFonts w:hint="eastAsia" w:ascii="仿宋_GB2312" w:hAnsi="仿宋_GB2312" w:eastAsia="仿宋_GB2312" w:cs="仿宋_GB2312"/>
          <w:b/>
          <w:color w:val="auto"/>
          <w:sz w:val="20"/>
          <w:szCs w:val="20"/>
          <w:highlight w:val="none"/>
          <w:lang w:eastAsia="zh-CN"/>
        </w:rPr>
        <w:t>注：本风险评级为贵阳农商银行内部评级结果，该评级仅供参考，不具备法律效力。</w:t>
      </w:r>
    </w:p>
    <w:p w14:paraId="64E4F71E">
      <w:pPr>
        <w:ind w:left="140" w:right="154" w:firstLine="398"/>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充分了解风险，自主选择购买”的原则，谨慎决策，自主决定将合法所有的资金用于购买本期产品。在购买本期产品后，您应随时关注产品的信息披露情况，及时获取相</w:t>
      </w:r>
      <w:r>
        <w:rPr>
          <w:rFonts w:hint="eastAsia" w:ascii="仿宋_GB2312" w:hAnsi="仿宋_GB2312" w:eastAsia="仿宋_GB2312" w:cs="仿宋_GB2312"/>
          <w:color w:val="auto"/>
          <w:sz w:val="20"/>
          <w:szCs w:val="20"/>
          <w:highlight w:val="none"/>
          <w:lang w:eastAsia="zh-CN"/>
        </w:rPr>
        <w:t>关信息。本期理财产品可能面临的风险主要包括但不限于以下风险：</w:t>
      </w:r>
    </w:p>
    <w:p w14:paraId="49ED041D">
      <w:pPr>
        <w:ind w:left="139" w:right="146" w:firstLine="420"/>
        <w:jc w:val="both"/>
        <w:rPr>
          <w:rFonts w:ascii="仿宋_GB2312" w:hAnsi="Times New Roman" w:eastAsia="仿宋_GB2312" w:cs="Times New Roman"/>
          <w:color w:val="auto"/>
          <w:sz w:val="20"/>
          <w:szCs w:val="20"/>
          <w:highlight w:val="none"/>
          <w:lang w:eastAsia="zh-CN"/>
        </w:rPr>
      </w:pPr>
      <w:r>
        <w:rPr>
          <w:rFonts w:ascii="仿宋_GB2312" w:hAnsi="Times New Roman" w:eastAsia="仿宋_GB2312" w:cs="Times New Roman"/>
          <w:b/>
          <w:color w:val="auto"/>
          <w:sz w:val="20"/>
          <w:szCs w:val="20"/>
          <w:highlight w:val="none"/>
          <w:lang w:eastAsia="zh-CN"/>
        </w:rPr>
        <w:t>1.</w:t>
      </w:r>
      <w:r>
        <w:rPr>
          <w:rFonts w:ascii="仿宋_GB2312" w:hAnsi="黑体" w:eastAsia="仿宋_GB2312" w:cs="Times New Roman"/>
          <w:b/>
          <w:color w:val="auto"/>
          <w:sz w:val="20"/>
          <w:szCs w:val="20"/>
          <w:highlight w:val="none"/>
          <w:lang w:eastAsia="zh-CN"/>
        </w:rPr>
        <w:t>政策风险：</w:t>
      </w:r>
      <w:r>
        <w:rPr>
          <w:rFonts w:ascii="仿宋_GB2312" w:hAnsi="黑体" w:eastAsia="仿宋_GB2312" w:cs="Times New Roman"/>
          <w:color w:val="auto"/>
          <w:sz w:val="20"/>
          <w:szCs w:val="20"/>
          <w:highlight w:val="none"/>
          <w:lang w:eastAsia="zh-CN"/>
        </w:rPr>
        <w:t>本期产品是依照当前的法律法规、相关监管规定和政策设计的。如国家</w:t>
      </w:r>
      <w:r>
        <w:rPr>
          <w:rFonts w:ascii="仿宋_GB2312" w:hAnsi="黑体" w:eastAsia="仿宋_GB2312" w:cs="Times New Roman"/>
          <w:color w:val="auto"/>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color w:val="auto"/>
          <w:spacing w:val="-4"/>
          <w:sz w:val="20"/>
          <w:szCs w:val="20"/>
          <w:highlight w:val="none"/>
          <w:lang w:eastAsia="zh-CN"/>
        </w:rPr>
        <w:t>与</w:t>
      </w:r>
      <w:r>
        <w:rPr>
          <w:rFonts w:ascii="仿宋_GB2312" w:hAnsi="黑体" w:eastAsia="仿宋_GB2312" w:cs="Times New Roman"/>
          <w:color w:val="auto"/>
          <w:spacing w:val="-4"/>
          <w:sz w:val="20"/>
          <w:szCs w:val="20"/>
          <w:highlight w:val="none"/>
          <w:lang w:eastAsia="zh-CN"/>
        </w:rPr>
        <w:t>国家法律、法规</w:t>
      </w:r>
      <w:r>
        <w:rPr>
          <w:rFonts w:hint="eastAsia" w:ascii="仿宋_GB2312" w:hAnsi="黑体" w:eastAsia="仿宋_GB2312" w:cs="Times New Roman"/>
          <w:color w:val="auto"/>
          <w:spacing w:val="-4"/>
          <w:sz w:val="20"/>
          <w:szCs w:val="20"/>
          <w:highlight w:val="none"/>
          <w:lang w:eastAsia="zh-CN"/>
        </w:rPr>
        <w:t>等</w:t>
      </w:r>
      <w:r>
        <w:rPr>
          <w:rFonts w:ascii="仿宋_GB2312" w:hAnsi="黑体" w:eastAsia="仿宋_GB2312" w:cs="Times New Roman"/>
          <w:color w:val="auto"/>
          <w:spacing w:val="-4"/>
          <w:sz w:val="20"/>
          <w:szCs w:val="20"/>
          <w:highlight w:val="none"/>
          <w:lang w:eastAsia="zh-CN"/>
        </w:rPr>
        <w:t>有关规定冲突，进而导致本期产品被宣告无效、撤销、解除或提前</w:t>
      </w:r>
      <w:r>
        <w:rPr>
          <w:rFonts w:ascii="仿宋_GB2312" w:hAnsi="黑体" w:eastAsia="仿宋_GB2312" w:cs="Times New Roman"/>
          <w:color w:val="auto"/>
          <w:sz w:val="20"/>
          <w:szCs w:val="20"/>
          <w:highlight w:val="none"/>
          <w:lang w:eastAsia="zh-CN"/>
        </w:rPr>
        <w:t>终止等。</w:t>
      </w:r>
    </w:p>
    <w:p w14:paraId="1EC395A7">
      <w:pPr>
        <w:ind w:left="139" w:right="146" w:firstLine="420"/>
        <w:jc w:val="both"/>
        <w:rPr>
          <w:rFonts w:ascii="仿宋_GB2312" w:hAnsi="黑体" w:eastAsia="仿宋_GB2312" w:cs="Times New Roman"/>
          <w:color w:val="auto"/>
          <w:sz w:val="20"/>
          <w:szCs w:val="20"/>
          <w:highlight w:val="none"/>
          <w:lang w:eastAsia="zh-CN"/>
        </w:rPr>
      </w:pPr>
      <w:r>
        <w:rPr>
          <w:rFonts w:ascii="仿宋_GB2312" w:hAnsi="Times New Roman" w:eastAsia="仿宋_GB2312" w:cs="Times New Roman"/>
          <w:b/>
          <w:color w:val="auto"/>
          <w:sz w:val="20"/>
          <w:szCs w:val="20"/>
          <w:highlight w:val="none"/>
          <w:lang w:eastAsia="zh-CN"/>
        </w:rPr>
        <w:t>2.</w:t>
      </w:r>
      <w:r>
        <w:rPr>
          <w:rFonts w:ascii="仿宋_GB2312" w:hAnsi="黑体" w:eastAsia="仿宋_GB2312" w:cs="Times New Roman"/>
          <w:b/>
          <w:color w:val="auto"/>
          <w:sz w:val="20"/>
          <w:szCs w:val="20"/>
          <w:highlight w:val="none"/>
          <w:lang w:eastAsia="zh-CN"/>
        </w:rPr>
        <w:t>信用风险：</w:t>
      </w:r>
      <w:r>
        <w:rPr>
          <w:rFonts w:ascii="仿宋_GB2312" w:hAnsi="黑体" w:eastAsia="仿宋_GB2312" w:cs="Times New Roman"/>
          <w:color w:val="auto"/>
          <w:sz w:val="20"/>
          <w:szCs w:val="20"/>
          <w:highlight w:val="none"/>
          <w:lang w:eastAsia="zh-CN"/>
        </w:rPr>
        <w:t>本产品所投资的存款、货币市场工具、债券等固</w:t>
      </w:r>
      <w:r>
        <w:rPr>
          <w:rFonts w:ascii="仿宋_GB2312" w:hAnsi="黑体" w:eastAsia="仿宋_GB2312" w:cs="Times New Roman"/>
          <w:color w:val="auto"/>
          <w:spacing w:val="0"/>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default" w:ascii="仿宋_GB2312" w:hAnsi="黑体" w:eastAsia="仿宋_GB2312" w:cs="Times New Roman"/>
          <w:color w:val="auto"/>
          <w:spacing w:val="0"/>
          <w:sz w:val="20"/>
          <w:szCs w:val="20"/>
          <w:highlight w:val="none"/>
          <w:lang w:eastAsia="zh-CN"/>
        </w:rPr>
        <w:t>投资者</w:t>
      </w:r>
      <w:r>
        <w:rPr>
          <w:rFonts w:ascii="仿宋_GB2312" w:hAnsi="黑体" w:eastAsia="仿宋_GB2312" w:cs="Times New Roman"/>
          <w:color w:val="auto"/>
          <w:spacing w:val="0"/>
          <w:sz w:val="20"/>
          <w:szCs w:val="20"/>
          <w:highlight w:val="none"/>
          <w:lang w:eastAsia="zh-CN"/>
        </w:rPr>
        <w:t>可能面临利益损失、本金部分损</w:t>
      </w:r>
      <w:r>
        <w:rPr>
          <w:rFonts w:ascii="仿宋_GB2312" w:hAnsi="黑体" w:eastAsia="仿宋_GB2312" w:cs="Times New Roman"/>
          <w:color w:val="auto"/>
          <w:sz w:val="20"/>
          <w:szCs w:val="20"/>
          <w:highlight w:val="none"/>
          <w:lang w:eastAsia="zh-CN"/>
        </w:rPr>
        <w:t>失、甚至本金全部损失的风险。</w:t>
      </w:r>
    </w:p>
    <w:p w14:paraId="2C5DE8D2">
      <w:pPr>
        <w:keepNext w:val="0"/>
        <w:keepLines w:val="0"/>
        <w:widowControl/>
        <w:suppressLineNumbers w:val="0"/>
        <w:shd w:val="clear" w:fill="auto"/>
        <w:spacing w:before="0" w:beforeAutospacing="0" w:after="0" w:afterAutospacing="0"/>
        <w:ind w:left="139" w:right="146" w:firstLine="420"/>
        <w:jc w:val="both"/>
        <w:rPr>
          <w:rFonts w:hint="default" w:ascii="仿宋_GB2312" w:hAnsi="黑体" w:eastAsia="仿宋_GB2312" w:cs="Times New Roman"/>
          <w:b/>
          <w:bCs/>
          <w:color w:val="auto"/>
          <w:sz w:val="20"/>
          <w:szCs w:val="20"/>
          <w:highlight w:val="none"/>
          <w:lang w:val="en-US" w:eastAsia="zh-CN"/>
        </w:rPr>
      </w:pPr>
      <w:r>
        <w:rPr>
          <w:rFonts w:ascii="仿宋_GB2312" w:hAnsi="黑体" w:eastAsia="仿宋_GB2312" w:cs="Times New Roman"/>
          <w:b/>
          <w:color w:val="auto"/>
          <w:sz w:val="20"/>
          <w:szCs w:val="20"/>
          <w:highlight w:val="none"/>
          <w:lang w:eastAsia="zh-CN"/>
        </w:rPr>
        <w:t>3.流动性风险：</w:t>
      </w:r>
      <w:r>
        <w:rPr>
          <w:rFonts w:hint="default" w:ascii="仿宋_GB2312" w:hAnsi="黑体" w:eastAsia="仿宋_GB2312" w:cs="Times New Roman"/>
          <w:b/>
          <w:bCs/>
          <w:color w:val="auto"/>
          <w:sz w:val="20"/>
          <w:szCs w:val="20"/>
          <w:highlight w:val="none"/>
          <w:lang w:val="en-US" w:eastAsia="zh-CN"/>
        </w:rPr>
        <w:t>投资者不能随时提前终止本产品</w:t>
      </w:r>
      <w:r>
        <w:rPr>
          <w:rFonts w:hint="eastAsia" w:ascii="仿宋_GB2312" w:hAnsi="黑体" w:eastAsia="仿宋_GB2312" w:cs="Times New Roman"/>
          <w:b/>
          <w:bCs/>
          <w:color w:val="auto"/>
          <w:sz w:val="20"/>
          <w:szCs w:val="20"/>
          <w:highlight w:val="none"/>
          <w:lang w:val="en-US" w:eastAsia="zh-CN"/>
        </w:rPr>
        <w:t>；</w:t>
      </w:r>
      <w:r>
        <w:rPr>
          <w:rFonts w:hint="default" w:ascii="仿宋_GB2312" w:hAnsi="黑体" w:eastAsia="仿宋_GB2312" w:cs="Times New Roman"/>
          <w:b/>
          <w:bCs/>
          <w:color w:val="auto"/>
          <w:sz w:val="20"/>
          <w:szCs w:val="20"/>
          <w:highlight w:val="none"/>
          <w:lang w:val="en-US" w:eastAsia="zh-CN"/>
        </w:rPr>
        <w:t>在开放日，可能因达到本说明书中约定的限制赎回情况，导致投资者在需要资金时无法随时变现，并可能导致投资者丧失其他投资机会。本产品投资资产的流动性风险情况为：本理财产品投资范围为货币市场工具，所投资产一般情况下具有良好的流动性，但在特殊情况下，也存在部分品种</w:t>
      </w:r>
      <w:r>
        <w:rPr>
          <w:rFonts w:hint="eastAsia" w:ascii="仿宋_GB2312" w:hAnsi="黑体" w:eastAsia="仿宋_GB2312" w:cs="Times New Roman"/>
          <w:b/>
          <w:bCs/>
          <w:color w:val="auto"/>
          <w:sz w:val="20"/>
          <w:szCs w:val="20"/>
          <w:highlight w:val="none"/>
          <w:lang w:val="en-US" w:eastAsia="zh-CN"/>
        </w:rPr>
        <w:t>交易</w:t>
      </w:r>
      <w:r>
        <w:rPr>
          <w:rFonts w:hint="default" w:ascii="仿宋_GB2312" w:hAnsi="黑体" w:eastAsia="仿宋_GB2312" w:cs="Times New Roman"/>
          <w:b/>
          <w:bCs/>
          <w:color w:val="auto"/>
          <w:sz w:val="20"/>
          <w:szCs w:val="20"/>
          <w:highlight w:val="none"/>
          <w:lang w:val="en-US" w:eastAsia="zh-CN"/>
        </w:rPr>
        <w:t>不活跃、成交量不足的情形，如果理财产品赎回量较大，可能会影响产品流动性。</w:t>
      </w:r>
    </w:p>
    <w:p w14:paraId="5F1B8018">
      <w:pPr>
        <w:ind w:left="139" w:right="149" w:firstLine="420"/>
        <w:jc w:val="both"/>
        <w:rPr>
          <w:rFonts w:ascii="仿宋_GB2312" w:hAnsi="Times New Roman" w:eastAsia="仿宋_GB2312" w:cs="Times New Roman"/>
          <w:color w:val="auto"/>
          <w:sz w:val="20"/>
          <w:szCs w:val="20"/>
          <w:highlight w:val="none"/>
          <w:lang w:eastAsia="zh-CN"/>
        </w:rPr>
      </w:pPr>
      <w:r>
        <w:rPr>
          <w:rFonts w:hint="default" w:ascii="仿宋_GB2312" w:hAnsi="黑体" w:eastAsia="仿宋_GB2312" w:cs="Times New Roman"/>
          <w:b/>
          <w:color w:val="auto"/>
          <w:sz w:val="20"/>
          <w:szCs w:val="20"/>
          <w:highlight w:val="none"/>
          <w:lang w:val="en-US" w:eastAsia="zh-CN"/>
        </w:rPr>
        <w:t>为应对流动性风险，保护投资者利益，管理人可以综合运用以下理财产品流动性风险应对措施：（</w:t>
      </w:r>
      <w:r>
        <w:rPr>
          <w:rFonts w:hint="eastAsia" w:ascii="仿宋_GB2312" w:hAnsi="黑体" w:eastAsia="仿宋_GB2312" w:cs="Times New Roman"/>
          <w:b/>
          <w:color w:val="auto"/>
          <w:sz w:val="20"/>
          <w:szCs w:val="20"/>
          <w:highlight w:val="none"/>
          <w:lang w:val="en-US" w:eastAsia="zh-CN"/>
        </w:rPr>
        <w:t>1</w:t>
      </w:r>
      <w:r>
        <w:rPr>
          <w:rFonts w:hint="default" w:ascii="仿宋_GB2312" w:hAnsi="黑体" w:eastAsia="仿宋_GB2312" w:cs="Times New Roman"/>
          <w:b/>
          <w:color w:val="auto"/>
          <w:sz w:val="20"/>
          <w:szCs w:val="20"/>
          <w:highlight w:val="none"/>
          <w:lang w:val="en-US" w:eastAsia="zh-CN"/>
        </w:rPr>
        <w:t>）认</w:t>
      </w:r>
      <w:r>
        <w:rPr>
          <w:rFonts w:hint="eastAsia" w:ascii="仿宋_GB2312" w:hAnsi="黑体" w:eastAsia="仿宋_GB2312" w:cs="Times New Roman"/>
          <w:b/>
          <w:color w:val="auto"/>
          <w:sz w:val="20"/>
          <w:szCs w:val="20"/>
          <w:highlight w:val="none"/>
          <w:lang w:val="en-US" w:eastAsia="zh-CN"/>
        </w:rPr>
        <w:t>/申购</w:t>
      </w:r>
      <w:r>
        <w:rPr>
          <w:rFonts w:hint="default" w:ascii="仿宋_GB2312" w:hAnsi="黑体" w:eastAsia="仿宋_GB2312" w:cs="Times New Roman"/>
          <w:b/>
          <w:color w:val="auto"/>
          <w:sz w:val="20"/>
          <w:szCs w:val="20"/>
          <w:highlight w:val="none"/>
          <w:lang w:val="en-US" w:eastAsia="zh-CN"/>
        </w:rPr>
        <w:t>风险应对措施，包括：设定单一投资者认</w:t>
      </w:r>
      <w:r>
        <w:rPr>
          <w:rFonts w:hint="eastAsia" w:ascii="仿宋_GB2312" w:hAnsi="黑体" w:eastAsia="仿宋_GB2312" w:cs="Times New Roman"/>
          <w:b/>
          <w:color w:val="auto"/>
          <w:sz w:val="20"/>
          <w:szCs w:val="20"/>
          <w:highlight w:val="none"/>
          <w:lang w:val="en-US" w:eastAsia="zh-CN"/>
        </w:rPr>
        <w:t>/申购</w:t>
      </w:r>
      <w:r>
        <w:rPr>
          <w:rFonts w:hint="default" w:ascii="仿宋_GB2312" w:hAnsi="黑体" w:eastAsia="仿宋_GB2312" w:cs="Times New Roman"/>
          <w:b/>
          <w:color w:val="auto"/>
          <w:sz w:val="20"/>
          <w:szCs w:val="20"/>
          <w:highlight w:val="none"/>
          <w:lang w:val="en-US" w:eastAsia="zh-CN"/>
        </w:rPr>
        <w:t>金额上限、设定理财产品单日净认</w:t>
      </w:r>
      <w:r>
        <w:rPr>
          <w:rFonts w:hint="eastAsia" w:ascii="仿宋_GB2312" w:hAnsi="黑体" w:eastAsia="仿宋_GB2312" w:cs="Times New Roman"/>
          <w:b/>
          <w:color w:val="auto"/>
          <w:sz w:val="20"/>
          <w:szCs w:val="20"/>
          <w:highlight w:val="none"/>
          <w:lang w:val="en-US" w:eastAsia="zh-CN"/>
        </w:rPr>
        <w:t>/申购</w:t>
      </w:r>
      <w:r>
        <w:rPr>
          <w:rFonts w:hint="default" w:ascii="仿宋_GB2312" w:hAnsi="黑体" w:eastAsia="仿宋_GB2312" w:cs="Times New Roman"/>
          <w:b/>
          <w:color w:val="auto"/>
          <w:sz w:val="20"/>
          <w:szCs w:val="20"/>
          <w:highlight w:val="none"/>
          <w:lang w:val="en-US" w:eastAsia="zh-CN"/>
        </w:rPr>
        <w:t>比例上限、拒绝认</w:t>
      </w:r>
      <w:r>
        <w:rPr>
          <w:rFonts w:hint="eastAsia" w:ascii="仿宋_GB2312" w:hAnsi="黑体" w:eastAsia="仿宋_GB2312" w:cs="Times New Roman"/>
          <w:b/>
          <w:color w:val="auto"/>
          <w:sz w:val="20"/>
          <w:szCs w:val="20"/>
          <w:highlight w:val="none"/>
          <w:lang w:val="en-US" w:eastAsia="zh-CN"/>
        </w:rPr>
        <w:t>/申购</w:t>
      </w:r>
      <w:r>
        <w:rPr>
          <w:rFonts w:hint="default" w:ascii="仿宋_GB2312" w:hAnsi="黑体" w:eastAsia="仿宋_GB2312" w:cs="Times New Roman"/>
          <w:b/>
          <w:color w:val="auto"/>
          <w:sz w:val="20"/>
          <w:szCs w:val="20"/>
          <w:highlight w:val="none"/>
          <w:lang w:val="en-US" w:eastAsia="zh-CN"/>
        </w:rPr>
        <w:t>、暂停认</w:t>
      </w:r>
      <w:r>
        <w:rPr>
          <w:rFonts w:hint="eastAsia" w:ascii="仿宋_GB2312" w:hAnsi="黑体" w:eastAsia="仿宋_GB2312" w:cs="Times New Roman"/>
          <w:b/>
          <w:color w:val="auto"/>
          <w:sz w:val="20"/>
          <w:szCs w:val="20"/>
          <w:highlight w:val="none"/>
          <w:lang w:val="en-US" w:eastAsia="zh-CN"/>
        </w:rPr>
        <w:t>/申购</w:t>
      </w:r>
      <w:r>
        <w:rPr>
          <w:rFonts w:hint="default" w:ascii="仿宋_GB2312" w:hAnsi="黑体" w:eastAsia="仿宋_GB2312" w:cs="Times New Roman"/>
          <w:b/>
          <w:color w:val="auto"/>
          <w:sz w:val="20"/>
          <w:szCs w:val="20"/>
          <w:highlight w:val="none"/>
          <w:lang w:val="en-US" w:eastAsia="zh-CN"/>
        </w:rPr>
        <w:t>，以及</w:t>
      </w:r>
      <w:r>
        <w:rPr>
          <w:rFonts w:hint="eastAsia" w:ascii="仿宋_GB2312" w:hAnsi="仿宋_GB2312" w:eastAsia="仿宋_GB2312" w:cs="仿宋_GB2312"/>
          <w:b/>
          <w:bCs/>
          <w:color w:val="auto"/>
          <w:kern w:val="0"/>
          <w:sz w:val="20"/>
          <w:szCs w:val="20"/>
          <w:highlight w:val="none"/>
          <w:lang w:val="en-US" w:eastAsia="zh-CN" w:bidi="ar"/>
        </w:rPr>
        <w:t>监管机构</w:t>
      </w:r>
      <w:r>
        <w:rPr>
          <w:rFonts w:hint="default" w:ascii="仿宋_GB2312" w:hAnsi="黑体" w:eastAsia="仿宋_GB2312" w:cs="Times New Roman"/>
          <w:b/>
          <w:color w:val="auto"/>
          <w:sz w:val="20"/>
          <w:szCs w:val="20"/>
          <w:highlight w:val="none"/>
          <w:lang w:val="en-US" w:eastAsia="zh-CN"/>
        </w:rPr>
        <w:t>规定的其他措施。</w:t>
      </w:r>
      <w:r>
        <w:rPr>
          <w:rFonts w:hint="eastAsia" w:ascii="仿宋_GB2312" w:hAnsi="黑体" w:eastAsia="仿宋_GB2312" w:cs="Times New Roman"/>
          <w:b/>
          <w:color w:val="auto"/>
          <w:sz w:val="20"/>
          <w:szCs w:val="20"/>
          <w:highlight w:val="none"/>
          <w:lang w:val="en-US" w:eastAsia="zh-CN"/>
        </w:rPr>
        <w:t>（2）</w:t>
      </w:r>
      <w:r>
        <w:rPr>
          <w:rFonts w:hint="default" w:ascii="仿宋_GB2312" w:hAnsi="黑体" w:eastAsia="仿宋_GB2312" w:cs="Times New Roman"/>
          <w:b/>
          <w:color w:val="auto"/>
          <w:sz w:val="20"/>
          <w:szCs w:val="20"/>
          <w:highlight w:val="none"/>
          <w:lang w:val="en-US" w:eastAsia="zh-CN"/>
        </w:rPr>
        <w:t>赎回风险应对措施，包括：设置赎回上限、延期办理巨额赎回申请、暂停接受赎回申请、延缓支付</w:t>
      </w:r>
      <w:r>
        <w:rPr>
          <w:rFonts w:hint="eastAsia" w:ascii="仿宋_GB2312" w:hAnsi="黑体" w:eastAsia="仿宋_GB2312" w:cs="Times New Roman"/>
          <w:b/>
          <w:color w:val="auto"/>
          <w:sz w:val="20"/>
          <w:szCs w:val="20"/>
          <w:highlight w:val="none"/>
          <w:lang w:val="en-US" w:eastAsia="zh-CN"/>
        </w:rPr>
        <w:t>赎</w:t>
      </w:r>
      <w:r>
        <w:rPr>
          <w:rFonts w:hint="default" w:ascii="仿宋_GB2312" w:hAnsi="黑体" w:eastAsia="仿宋_GB2312" w:cs="Times New Roman"/>
          <w:b/>
          <w:color w:val="auto"/>
          <w:sz w:val="20"/>
          <w:szCs w:val="20"/>
          <w:highlight w:val="none"/>
          <w:lang w:val="en-US" w:eastAsia="zh-CN"/>
        </w:rPr>
        <w:t>回款项、暂停理财产品估值，以及</w:t>
      </w:r>
      <w:r>
        <w:rPr>
          <w:rFonts w:hint="eastAsia" w:ascii="仿宋_GB2312" w:hAnsi="仿宋_GB2312" w:eastAsia="仿宋_GB2312" w:cs="仿宋_GB2312"/>
          <w:b/>
          <w:bCs/>
          <w:color w:val="auto"/>
          <w:kern w:val="0"/>
          <w:sz w:val="20"/>
          <w:szCs w:val="20"/>
          <w:highlight w:val="none"/>
          <w:lang w:val="en-US" w:eastAsia="zh-CN" w:bidi="ar"/>
        </w:rPr>
        <w:t>监管机构</w:t>
      </w:r>
      <w:r>
        <w:rPr>
          <w:rFonts w:hint="default" w:ascii="仿宋_GB2312" w:hAnsi="黑体" w:eastAsia="仿宋_GB2312" w:cs="Times New Roman"/>
          <w:b/>
          <w:color w:val="auto"/>
          <w:sz w:val="20"/>
          <w:szCs w:val="20"/>
          <w:highlight w:val="none"/>
          <w:lang w:val="en-US" w:eastAsia="zh-CN"/>
        </w:rPr>
        <w:t>规定的其他措施。</w:t>
      </w:r>
    </w:p>
    <w:p w14:paraId="78ADA238">
      <w:pPr>
        <w:ind w:left="139" w:right="146" w:firstLine="420"/>
        <w:jc w:val="both"/>
        <w:rPr>
          <w:rFonts w:ascii="仿宋_GB2312" w:hAnsi="Times New Roman" w:eastAsia="仿宋_GB2312" w:cs="Times New Roman"/>
          <w:color w:val="auto"/>
          <w:sz w:val="20"/>
          <w:szCs w:val="20"/>
          <w:highlight w:val="none"/>
          <w:lang w:eastAsia="zh-CN"/>
        </w:rPr>
      </w:pPr>
      <w:r>
        <w:rPr>
          <w:rFonts w:ascii="仿宋_GB2312" w:hAnsi="Times New Roman" w:eastAsia="仿宋_GB2312" w:cs="Times New Roman"/>
          <w:b/>
          <w:color w:val="auto"/>
          <w:sz w:val="20"/>
          <w:szCs w:val="20"/>
          <w:highlight w:val="none"/>
          <w:lang w:eastAsia="zh-CN"/>
        </w:rPr>
        <w:t>4.</w:t>
      </w:r>
      <w:r>
        <w:rPr>
          <w:rFonts w:ascii="仿宋_GB2312" w:hAnsi="黑体" w:eastAsia="仿宋_GB2312" w:cs="Times New Roman"/>
          <w:b/>
          <w:color w:val="auto"/>
          <w:sz w:val="20"/>
          <w:szCs w:val="20"/>
          <w:highlight w:val="none"/>
          <w:lang w:eastAsia="zh-CN"/>
        </w:rPr>
        <w:t>市场风险：</w:t>
      </w:r>
      <w:r>
        <w:rPr>
          <w:rFonts w:ascii="仿宋_GB2312" w:hAnsi="黑体" w:eastAsia="仿宋_GB2312" w:cs="Times New Roman"/>
          <w:color w:val="auto"/>
          <w:sz w:val="20"/>
          <w:szCs w:val="20"/>
          <w:highlight w:val="none"/>
          <w:lang w:eastAsia="zh-CN"/>
        </w:rPr>
        <w:t>本产品所投资的存款、货币市场工具、债券资产等固</w:t>
      </w:r>
      <w:r>
        <w:rPr>
          <w:rFonts w:ascii="仿宋_GB2312" w:hAnsi="黑体" w:eastAsia="仿宋_GB2312" w:cs="Times New Roman"/>
          <w:color w:val="auto"/>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color w:val="auto"/>
          <w:spacing w:val="-4"/>
          <w:sz w:val="20"/>
          <w:szCs w:val="20"/>
          <w:highlight w:val="none"/>
          <w:lang w:eastAsia="zh-CN"/>
        </w:rPr>
        <w:t>投资者</w:t>
      </w:r>
      <w:r>
        <w:rPr>
          <w:rFonts w:ascii="仿宋_GB2312" w:hAnsi="黑体" w:eastAsia="仿宋_GB2312" w:cs="Times New Roman"/>
          <w:color w:val="auto"/>
          <w:spacing w:val="-4"/>
          <w:sz w:val="20"/>
          <w:szCs w:val="20"/>
          <w:highlight w:val="none"/>
          <w:lang w:eastAsia="zh-CN"/>
        </w:rPr>
        <w:t>收益波动、收益为</w:t>
      </w:r>
      <w:r>
        <w:rPr>
          <w:rFonts w:ascii="仿宋_GB2312" w:hAnsi="黑体" w:eastAsia="仿宋_GB2312" w:cs="Times New Roman"/>
          <w:color w:val="auto"/>
          <w:sz w:val="20"/>
          <w:szCs w:val="20"/>
          <w:highlight w:val="none"/>
          <w:lang w:eastAsia="zh-CN"/>
        </w:rPr>
        <w:t>零甚至本产品单位净值跌破面值、本金损失的情况。</w:t>
      </w:r>
    </w:p>
    <w:p w14:paraId="732D2006">
      <w:pPr>
        <w:ind w:left="119" w:firstLine="420"/>
        <w:jc w:val="both"/>
        <w:rPr>
          <w:rFonts w:ascii="仿宋_GB2312" w:hAnsi="Times New Roman" w:eastAsia="仿宋_GB2312" w:cs="Times New Roman"/>
          <w:color w:val="auto"/>
          <w:sz w:val="20"/>
          <w:szCs w:val="20"/>
          <w:highlight w:val="none"/>
          <w:lang w:eastAsia="zh-CN"/>
        </w:rPr>
      </w:pPr>
      <w:r>
        <w:rPr>
          <w:rFonts w:ascii="仿宋_GB2312" w:hAnsi="Times New Roman" w:eastAsia="仿宋_GB2312" w:cs="Times New Roman"/>
          <w:b/>
          <w:color w:val="auto"/>
          <w:sz w:val="20"/>
          <w:szCs w:val="20"/>
          <w:highlight w:val="none"/>
          <w:lang w:eastAsia="zh-CN"/>
        </w:rPr>
        <w:t>5.</w:t>
      </w:r>
      <w:r>
        <w:rPr>
          <w:rFonts w:ascii="仿宋_GB2312" w:hAnsi="黑体" w:eastAsia="仿宋_GB2312" w:cs="Times New Roman"/>
          <w:b/>
          <w:color w:val="auto"/>
          <w:sz w:val="20"/>
          <w:szCs w:val="20"/>
          <w:highlight w:val="none"/>
          <w:lang w:eastAsia="zh-CN"/>
        </w:rPr>
        <w:t>管理风险：</w:t>
      </w:r>
      <w:r>
        <w:rPr>
          <w:rFonts w:ascii="仿宋_GB2312" w:hAnsi="黑体" w:eastAsia="仿宋_GB2312" w:cs="Times New Roman"/>
          <w:color w:val="auto"/>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color w:val="auto"/>
          <w:sz w:val="20"/>
          <w:szCs w:val="20"/>
          <w:highlight w:val="none"/>
          <w:lang w:eastAsia="zh-CN"/>
        </w:rPr>
        <w:t>的投资管理人、所投资的信托计划</w:t>
      </w:r>
      <w:r>
        <w:rPr>
          <w:rFonts w:ascii="仿宋_GB2312" w:hAnsi="Times New Roman" w:eastAsia="仿宋_GB2312" w:cs="Times New Roman"/>
          <w:color w:val="auto"/>
          <w:sz w:val="20"/>
          <w:szCs w:val="20"/>
          <w:highlight w:val="none"/>
          <w:lang w:eastAsia="zh-CN"/>
        </w:rPr>
        <w:t>/</w:t>
      </w:r>
      <w:r>
        <w:rPr>
          <w:rFonts w:ascii="仿宋_GB2312" w:hAnsi="黑体" w:eastAsia="仿宋_GB2312" w:cs="Times New Roman"/>
          <w:color w:val="auto"/>
          <w:sz w:val="20"/>
          <w:szCs w:val="20"/>
          <w:highlight w:val="none"/>
          <w:lang w:eastAsia="zh-CN"/>
        </w:rPr>
        <w:t>资管计划</w:t>
      </w:r>
      <w:r>
        <w:rPr>
          <w:rFonts w:ascii="仿宋_GB2312" w:hAnsi="Times New Roman" w:eastAsia="仿宋_GB2312" w:cs="Times New Roman"/>
          <w:color w:val="auto"/>
          <w:sz w:val="20"/>
          <w:szCs w:val="20"/>
          <w:highlight w:val="none"/>
          <w:lang w:eastAsia="zh-CN"/>
        </w:rPr>
        <w:t>/</w:t>
      </w:r>
      <w:r>
        <w:rPr>
          <w:rFonts w:ascii="仿宋_GB2312" w:hAnsi="黑体" w:eastAsia="仿宋_GB2312" w:cs="Times New Roman"/>
          <w:color w:val="auto"/>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color w:val="auto"/>
          <w:sz w:val="20"/>
          <w:szCs w:val="20"/>
          <w:highlight w:val="none"/>
          <w:lang w:eastAsia="zh-CN"/>
        </w:rPr>
        <w:t>项下的理财资金遭受损失。如因信托计划</w:t>
      </w:r>
      <w:r>
        <w:rPr>
          <w:rFonts w:ascii="仿宋_GB2312" w:hAnsi="Times New Roman" w:eastAsia="仿宋_GB2312" w:cs="Times New Roman"/>
          <w:color w:val="auto"/>
          <w:sz w:val="20"/>
          <w:szCs w:val="20"/>
          <w:highlight w:val="none"/>
          <w:lang w:eastAsia="zh-CN"/>
        </w:rPr>
        <w:t>/</w:t>
      </w:r>
      <w:r>
        <w:rPr>
          <w:rFonts w:ascii="仿宋_GB2312" w:hAnsi="黑体" w:eastAsia="仿宋_GB2312" w:cs="Times New Roman"/>
          <w:color w:val="auto"/>
          <w:sz w:val="20"/>
          <w:szCs w:val="20"/>
          <w:highlight w:val="none"/>
          <w:lang w:eastAsia="zh-CN"/>
        </w:rPr>
        <w:t>资管计划</w:t>
      </w:r>
      <w:r>
        <w:rPr>
          <w:rFonts w:ascii="仿宋_GB2312" w:hAnsi="Times New Roman" w:eastAsia="仿宋_GB2312" w:cs="Times New Roman"/>
          <w:color w:val="auto"/>
          <w:sz w:val="20"/>
          <w:szCs w:val="20"/>
          <w:highlight w:val="none"/>
          <w:lang w:eastAsia="zh-CN"/>
        </w:rPr>
        <w:t>/</w:t>
      </w:r>
      <w:r>
        <w:rPr>
          <w:rFonts w:ascii="仿宋_GB2312" w:hAnsi="黑体" w:eastAsia="仿宋_GB2312" w:cs="Times New Roman"/>
          <w:color w:val="auto"/>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color w:val="auto"/>
          <w:sz w:val="20"/>
          <w:szCs w:val="20"/>
          <w:highlight w:val="none"/>
          <w:lang w:eastAsia="zh-CN"/>
        </w:rPr>
        <w:t>项下理财资金遭受损失。</w:t>
      </w:r>
    </w:p>
    <w:p w14:paraId="61824BBD">
      <w:pPr>
        <w:ind w:left="119" w:right="206" w:firstLine="420"/>
        <w:jc w:val="both"/>
        <w:rPr>
          <w:rFonts w:ascii="仿宋_GB2312" w:hAnsi="Times New Roman" w:eastAsia="仿宋_GB2312" w:cs="Times New Roman"/>
          <w:color w:val="auto"/>
          <w:sz w:val="20"/>
          <w:szCs w:val="20"/>
          <w:highlight w:val="none"/>
          <w:lang w:eastAsia="zh-CN"/>
        </w:rPr>
      </w:pPr>
      <w:r>
        <w:rPr>
          <w:rFonts w:ascii="仿宋_GB2312" w:hAnsi="Times New Roman" w:eastAsia="仿宋_GB2312" w:cs="Times New Roman"/>
          <w:b/>
          <w:color w:val="auto"/>
          <w:sz w:val="20"/>
          <w:szCs w:val="20"/>
          <w:highlight w:val="none"/>
          <w:lang w:eastAsia="zh-CN"/>
        </w:rPr>
        <w:t>6.</w:t>
      </w:r>
      <w:r>
        <w:rPr>
          <w:rFonts w:ascii="仿宋_GB2312" w:hAnsi="黑体" w:eastAsia="仿宋_GB2312" w:cs="Times New Roman"/>
          <w:b/>
          <w:color w:val="auto"/>
          <w:sz w:val="20"/>
          <w:szCs w:val="20"/>
          <w:highlight w:val="none"/>
          <w:lang w:eastAsia="zh-CN"/>
        </w:rPr>
        <w:t>利率及通货膨胀风险：</w:t>
      </w:r>
      <w:r>
        <w:rPr>
          <w:rFonts w:ascii="仿宋_GB2312" w:hAnsi="黑体" w:eastAsia="仿宋_GB2312" w:cs="Times New Roman"/>
          <w:color w:val="auto"/>
          <w:sz w:val="20"/>
          <w:szCs w:val="20"/>
          <w:highlight w:val="none"/>
          <w:lang w:eastAsia="zh-CN"/>
        </w:rPr>
        <w:t>在本产品存续期限内，利率、汇率的波动会导致所投资的存</w:t>
      </w:r>
      <w:r>
        <w:rPr>
          <w:rFonts w:ascii="仿宋_GB2312" w:hAnsi="黑体" w:eastAsia="仿宋_GB2312" w:cs="Times New Roman"/>
          <w:color w:val="auto"/>
          <w:spacing w:val="-4"/>
          <w:sz w:val="20"/>
          <w:szCs w:val="20"/>
          <w:highlight w:val="none"/>
          <w:lang w:eastAsia="zh-CN"/>
        </w:rPr>
        <w:t>款、货币市场工具、债券等固定收益类资产的价值有波动，从而导致产品单位净值低于业绩比较基准，甚至跌破面值、本金损失。同时，本产品存在实际收益率</w:t>
      </w:r>
      <w:r>
        <w:rPr>
          <w:rFonts w:ascii="仿宋_GB2312" w:hAnsi="黑体" w:eastAsia="仿宋_GB2312" w:cs="Times New Roman"/>
          <w:color w:val="auto"/>
          <w:sz w:val="20"/>
          <w:szCs w:val="20"/>
          <w:highlight w:val="none"/>
          <w:lang w:eastAsia="zh-CN"/>
        </w:rPr>
        <w:t>可能低于通货膨胀率，从而导致</w:t>
      </w:r>
      <w:r>
        <w:rPr>
          <w:rFonts w:hint="eastAsia" w:ascii="仿宋_GB2312" w:hAnsi="黑体" w:eastAsia="仿宋_GB2312" w:cs="Times New Roman"/>
          <w:color w:val="auto"/>
          <w:sz w:val="20"/>
          <w:szCs w:val="20"/>
          <w:highlight w:val="none"/>
          <w:lang w:eastAsia="zh-CN"/>
        </w:rPr>
        <w:t>投资者</w:t>
      </w:r>
      <w:r>
        <w:rPr>
          <w:rFonts w:ascii="仿宋_GB2312" w:hAnsi="黑体" w:eastAsia="仿宋_GB2312" w:cs="Times New Roman"/>
          <w:color w:val="auto"/>
          <w:sz w:val="20"/>
          <w:szCs w:val="20"/>
          <w:highlight w:val="none"/>
          <w:lang w:eastAsia="zh-CN"/>
        </w:rPr>
        <w:t>实际收益为负的风险。</w:t>
      </w:r>
    </w:p>
    <w:p w14:paraId="5190C08A">
      <w:pPr>
        <w:ind w:left="119" w:firstLine="420"/>
        <w:jc w:val="both"/>
        <w:rPr>
          <w:rFonts w:ascii="仿宋_GB2312" w:hAnsi="Times New Roman" w:eastAsia="仿宋_GB2312" w:cs="Times New Roman"/>
          <w:color w:val="auto"/>
          <w:sz w:val="20"/>
          <w:szCs w:val="20"/>
          <w:highlight w:val="none"/>
          <w:lang w:eastAsia="zh-CN"/>
        </w:rPr>
      </w:pPr>
      <w:r>
        <w:rPr>
          <w:rFonts w:ascii="仿宋_GB2312" w:hAnsi="Times New Roman" w:eastAsia="仿宋_GB2312" w:cs="Times New Roman"/>
          <w:b/>
          <w:color w:val="auto"/>
          <w:sz w:val="20"/>
          <w:szCs w:val="20"/>
          <w:highlight w:val="none"/>
          <w:lang w:eastAsia="zh-CN"/>
        </w:rPr>
        <w:t>7.</w:t>
      </w:r>
      <w:r>
        <w:rPr>
          <w:rFonts w:ascii="仿宋_GB2312" w:hAnsi="黑体" w:eastAsia="仿宋_GB2312" w:cs="Times New Roman"/>
          <w:b/>
          <w:color w:val="auto"/>
          <w:sz w:val="20"/>
          <w:szCs w:val="20"/>
          <w:highlight w:val="none"/>
          <w:lang w:eastAsia="zh-CN"/>
        </w:rPr>
        <w:t>信息传递风险：</w:t>
      </w:r>
      <w:r>
        <w:rPr>
          <w:rFonts w:ascii="仿宋_GB2312" w:hAnsi="黑体" w:eastAsia="仿宋_GB2312" w:cs="Times New Roman"/>
          <w:color w:val="auto"/>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color w:val="auto"/>
          <w:sz w:val="20"/>
          <w:szCs w:val="20"/>
          <w:highlight w:val="none"/>
          <w:lang w:eastAsia="zh-CN"/>
        </w:rPr>
        <w:t>说明书有关</w:t>
      </w:r>
      <w:r>
        <w:rPr>
          <w:rFonts w:ascii="仿宋_GB2312" w:eastAsia="仿宋_GB2312" w:cs="Times New Roman" w:hAnsiTheme="minorEastAsia"/>
          <w:color w:val="auto"/>
          <w:sz w:val="20"/>
          <w:szCs w:val="20"/>
          <w:highlight w:val="none"/>
          <w:lang w:eastAsia="zh-CN"/>
        </w:rPr>
        <w:t>“</w:t>
      </w:r>
      <w:r>
        <w:rPr>
          <w:rFonts w:ascii="仿宋_GB2312" w:hAnsi="黑体" w:eastAsia="仿宋_GB2312" w:cs="Times New Roman"/>
          <w:color w:val="auto"/>
          <w:sz w:val="20"/>
          <w:szCs w:val="20"/>
          <w:highlight w:val="none"/>
          <w:lang w:eastAsia="zh-CN"/>
        </w:rPr>
        <w:t>信息披露</w:t>
      </w:r>
      <w:r>
        <w:rPr>
          <w:rFonts w:ascii="仿宋_GB2312" w:eastAsia="仿宋_GB2312" w:cs="Times New Roman" w:hAnsiTheme="minorEastAsia"/>
          <w:color w:val="auto"/>
          <w:sz w:val="20"/>
          <w:szCs w:val="20"/>
          <w:highlight w:val="none"/>
          <w:lang w:eastAsia="zh-CN"/>
        </w:rPr>
        <w:t>”</w:t>
      </w:r>
      <w:r>
        <w:rPr>
          <w:rFonts w:ascii="仿宋_GB2312" w:hAnsi="黑体" w:eastAsia="仿宋_GB2312" w:cs="Times New Roman"/>
          <w:color w:val="auto"/>
          <w:sz w:val="20"/>
          <w:szCs w:val="20"/>
          <w:highlight w:val="none"/>
          <w:lang w:eastAsia="zh-CN"/>
        </w:rPr>
        <w:t>的约定进行产品信</w:t>
      </w:r>
      <w:r>
        <w:rPr>
          <w:rFonts w:ascii="仿宋_GB2312" w:hAnsi="黑体" w:eastAsia="仿宋_GB2312" w:cs="Times New Roman"/>
          <w:color w:val="auto"/>
          <w:spacing w:val="-4"/>
          <w:sz w:val="20"/>
          <w:szCs w:val="20"/>
          <w:highlight w:val="none"/>
          <w:lang w:eastAsia="zh-CN"/>
        </w:rPr>
        <w:t>息披露。</w:t>
      </w:r>
      <w:r>
        <w:rPr>
          <w:rFonts w:hint="eastAsia" w:ascii="仿宋_GB2312" w:hAnsi="黑体" w:eastAsia="仿宋_GB2312" w:cs="Times New Roman"/>
          <w:color w:val="auto"/>
          <w:spacing w:val="-4"/>
          <w:sz w:val="20"/>
          <w:szCs w:val="20"/>
          <w:highlight w:val="none"/>
          <w:lang w:eastAsia="zh-CN"/>
        </w:rPr>
        <w:t>投资者</w:t>
      </w:r>
      <w:r>
        <w:rPr>
          <w:rFonts w:ascii="仿宋_GB2312" w:hAnsi="黑体" w:eastAsia="仿宋_GB2312" w:cs="Times New Roman"/>
          <w:color w:val="auto"/>
          <w:spacing w:val="-4"/>
          <w:sz w:val="20"/>
          <w:szCs w:val="20"/>
          <w:highlight w:val="none"/>
          <w:lang w:eastAsia="zh-CN"/>
        </w:rPr>
        <w:t>应根据</w:t>
      </w:r>
      <w:r>
        <w:rPr>
          <w:rFonts w:ascii="仿宋_GB2312" w:eastAsia="仿宋_GB2312" w:cs="Times New Roman" w:hAnsiTheme="minorEastAsia"/>
          <w:color w:val="auto"/>
          <w:spacing w:val="-4"/>
          <w:sz w:val="20"/>
          <w:szCs w:val="20"/>
          <w:highlight w:val="none"/>
          <w:lang w:eastAsia="zh-CN"/>
        </w:rPr>
        <w:t>“</w:t>
      </w:r>
      <w:r>
        <w:rPr>
          <w:rFonts w:ascii="仿宋_GB2312" w:hAnsi="黑体" w:eastAsia="仿宋_GB2312" w:cs="Times New Roman"/>
          <w:color w:val="auto"/>
          <w:spacing w:val="-4"/>
          <w:sz w:val="20"/>
          <w:szCs w:val="20"/>
          <w:highlight w:val="none"/>
          <w:lang w:eastAsia="zh-CN"/>
        </w:rPr>
        <w:t>信息披露</w:t>
      </w:r>
      <w:r>
        <w:rPr>
          <w:rFonts w:ascii="仿宋_GB2312" w:eastAsia="仿宋_GB2312" w:cs="Times New Roman" w:hAnsiTheme="minorEastAsia"/>
          <w:color w:val="auto"/>
          <w:spacing w:val="-4"/>
          <w:sz w:val="20"/>
          <w:szCs w:val="20"/>
          <w:highlight w:val="none"/>
          <w:lang w:eastAsia="zh-CN"/>
        </w:rPr>
        <w:t>”</w:t>
      </w:r>
      <w:r>
        <w:rPr>
          <w:rFonts w:ascii="仿宋_GB2312" w:hAnsi="黑体" w:eastAsia="仿宋_GB2312" w:cs="Times New Roman"/>
          <w:color w:val="auto"/>
          <w:spacing w:val="-4"/>
          <w:sz w:val="20"/>
          <w:szCs w:val="20"/>
          <w:highlight w:val="none"/>
          <w:lang w:eastAsia="zh-CN"/>
        </w:rPr>
        <w:t>的约定及时进行查询。如果</w:t>
      </w:r>
      <w:r>
        <w:rPr>
          <w:rFonts w:hint="eastAsia" w:ascii="仿宋_GB2312" w:hAnsi="黑体" w:eastAsia="仿宋_GB2312" w:cs="Times New Roman"/>
          <w:color w:val="auto"/>
          <w:spacing w:val="-4"/>
          <w:sz w:val="20"/>
          <w:szCs w:val="20"/>
          <w:highlight w:val="none"/>
          <w:lang w:eastAsia="zh-CN"/>
        </w:rPr>
        <w:t>投资者</w:t>
      </w:r>
      <w:r>
        <w:rPr>
          <w:rFonts w:ascii="仿宋_GB2312" w:hAnsi="黑体" w:eastAsia="仿宋_GB2312" w:cs="Times New Roman"/>
          <w:color w:val="auto"/>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color w:val="auto"/>
          <w:spacing w:val="-4"/>
          <w:sz w:val="20"/>
          <w:szCs w:val="20"/>
          <w:highlight w:val="none"/>
          <w:lang w:eastAsia="zh-CN"/>
        </w:rPr>
        <w:t>投资者</w:t>
      </w:r>
      <w:r>
        <w:rPr>
          <w:rFonts w:ascii="仿宋_GB2312" w:hAnsi="黑体" w:eastAsia="仿宋_GB2312" w:cs="Times New Roman"/>
          <w:color w:val="auto"/>
          <w:spacing w:val="-4"/>
          <w:sz w:val="20"/>
          <w:szCs w:val="20"/>
          <w:highlight w:val="none"/>
          <w:lang w:eastAsia="zh-CN"/>
        </w:rPr>
        <w:t>无法及时了解产品信息，并由此影响</w:t>
      </w:r>
      <w:r>
        <w:rPr>
          <w:rFonts w:hint="eastAsia" w:ascii="仿宋_GB2312" w:hAnsi="黑体" w:eastAsia="仿宋_GB2312" w:cs="Times New Roman"/>
          <w:color w:val="auto"/>
          <w:spacing w:val="-4"/>
          <w:sz w:val="20"/>
          <w:szCs w:val="20"/>
          <w:highlight w:val="none"/>
          <w:lang w:eastAsia="zh-CN"/>
        </w:rPr>
        <w:t>投资者</w:t>
      </w:r>
      <w:r>
        <w:rPr>
          <w:rFonts w:ascii="仿宋_GB2312" w:hAnsi="黑体" w:eastAsia="仿宋_GB2312" w:cs="Times New Roman"/>
          <w:color w:val="auto"/>
          <w:spacing w:val="-4"/>
          <w:sz w:val="20"/>
          <w:szCs w:val="20"/>
          <w:highlight w:val="none"/>
          <w:lang w:eastAsia="zh-CN"/>
        </w:rPr>
        <w:t>的投资决策，因此而产生的责任和风险由</w:t>
      </w:r>
      <w:r>
        <w:rPr>
          <w:rFonts w:hint="eastAsia" w:ascii="仿宋_GB2312" w:hAnsi="黑体" w:eastAsia="仿宋_GB2312" w:cs="Times New Roman"/>
          <w:color w:val="auto"/>
          <w:spacing w:val="-4"/>
          <w:sz w:val="20"/>
          <w:szCs w:val="20"/>
          <w:highlight w:val="none"/>
          <w:lang w:eastAsia="zh-CN"/>
        </w:rPr>
        <w:t>投资者</w:t>
      </w:r>
      <w:r>
        <w:rPr>
          <w:rFonts w:ascii="仿宋_GB2312" w:hAnsi="黑体" w:eastAsia="仿宋_GB2312" w:cs="Times New Roman"/>
          <w:color w:val="auto"/>
          <w:spacing w:val="-4"/>
          <w:sz w:val="20"/>
          <w:szCs w:val="20"/>
          <w:highlight w:val="none"/>
          <w:lang w:eastAsia="zh-CN"/>
        </w:rPr>
        <w:t>自行承担。另外，</w:t>
      </w:r>
      <w:r>
        <w:rPr>
          <w:rFonts w:hint="eastAsia" w:ascii="仿宋_GB2312" w:hAnsi="黑体" w:eastAsia="仿宋_GB2312" w:cs="Times New Roman"/>
          <w:color w:val="auto"/>
          <w:spacing w:val="-4"/>
          <w:sz w:val="20"/>
          <w:szCs w:val="20"/>
          <w:highlight w:val="none"/>
          <w:lang w:eastAsia="zh-CN"/>
        </w:rPr>
        <w:t>投资者</w:t>
      </w:r>
      <w:r>
        <w:rPr>
          <w:rFonts w:ascii="仿宋_GB2312" w:hAnsi="黑体" w:eastAsia="仿宋_GB2312" w:cs="Times New Roman"/>
          <w:color w:val="auto"/>
          <w:spacing w:val="-4"/>
          <w:sz w:val="20"/>
          <w:szCs w:val="20"/>
          <w:highlight w:val="none"/>
          <w:lang w:eastAsia="zh-CN"/>
        </w:rPr>
        <w:t>预留在贵阳农商</w:t>
      </w:r>
      <w:r>
        <w:rPr>
          <w:rFonts w:ascii="仿宋_GB2312" w:hAnsi="黑体" w:eastAsia="仿宋_GB2312" w:cs="Times New Roman"/>
          <w:color w:val="auto"/>
          <w:spacing w:val="-7"/>
          <w:sz w:val="20"/>
          <w:szCs w:val="20"/>
          <w:highlight w:val="none"/>
          <w:lang w:eastAsia="zh-CN"/>
        </w:rPr>
        <w:t>银行的有效联系方式发生变更，应及时到银行柜面申请变更，如</w:t>
      </w:r>
      <w:r>
        <w:rPr>
          <w:rFonts w:hint="eastAsia" w:ascii="仿宋_GB2312" w:hAnsi="黑体" w:eastAsia="仿宋_GB2312" w:cs="Times New Roman"/>
          <w:color w:val="auto"/>
          <w:spacing w:val="-7"/>
          <w:sz w:val="20"/>
          <w:szCs w:val="20"/>
          <w:highlight w:val="none"/>
          <w:lang w:eastAsia="zh-CN"/>
        </w:rPr>
        <w:t>投资者</w:t>
      </w:r>
      <w:r>
        <w:rPr>
          <w:rFonts w:ascii="仿宋_GB2312" w:hAnsi="黑体" w:eastAsia="仿宋_GB2312" w:cs="Times New Roman"/>
          <w:color w:val="auto"/>
          <w:spacing w:val="-7"/>
          <w:sz w:val="20"/>
          <w:szCs w:val="20"/>
          <w:highlight w:val="none"/>
          <w:lang w:eastAsia="zh-CN"/>
        </w:rPr>
        <w:t>未及时变更联系方式，</w:t>
      </w:r>
      <w:r>
        <w:rPr>
          <w:rFonts w:ascii="仿宋_GB2312" w:hAnsi="黑体" w:eastAsia="仿宋_GB2312" w:cs="Times New Roman"/>
          <w:color w:val="auto"/>
          <w:sz w:val="20"/>
          <w:szCs w:val="20"/>
          <w:highlight w:val="none"/>
          <w:lang w:eastAsia="zh-CN"/>
        </w:rPr>
        <w:t>由此而产生的责任和风险由</w:t>
      </w:r>
      <w:r>
        <w:rPr>
          <w:rFonts w:hint="eastAsia" w:ascii="仿宋_GB2312" w:hAnsi="黑体" w:eastAsia="仿宋_GB2312" w:cs="Times New Roman"/>
          <w:color w:val="auto"/>
          <w:sz w:val="20"/>
          <w:szCs w:val="20"/>
          <w:highlight w:val="none"/>
          <w:lang w:eastAsia="zh-CN"/>
        </w:rPr>
        <w:t>投资者</w:t>
      </w:r>
      <w:r>
        <w:rPr>
          <w:rFonts w:ascii="仿宋_GB2312" w:hAnsi="黑体" w:eastAsia="仿宋_GB2312" w:cs="Times New Roman"/>
          <w:color w:val="auto"/>
          <w:sz w:val="20"/>
          <w:szCs w:val="20"/>
          <w:highlight w:val="none"/>
          <w:lang w:eastAsia="zh-CN"/>
        </w:rPr>
        <w:t>自行承担。</w:t>
      </w:r>
    </w:p>
    <w:p w14:paraId="49F62D50">
      <w:pPr>
        <w:ind w:left="119" w:right="206" w:firstLine="420"/>
        <w:jc w:val="both"/>
        <w:rPr>
          <w:rFonts w:ascii="仿宋_GB2312" w:hAnsi="Times New Roman" w:eastAsia="仿宋_GB2312" w:cs="Times New Roman"/>
          <w:color w:val="auto"/>
          <w:sz w:val="20"/>
          <w:szCs w:val="20"/>
          <w:highlight w:val="none"/>
          <w:lang w:eastAsia="zh-CN"/>
        </w:rPr>
      </w:pPr>
      <w:r>
        <w:rPr>
          <w:rFonts w:ascii="仿宋_GB2312" w:hAnsi="Times New Roman" w:eastAsia="仿宋_GB2312" w:cs="Times New Roman"/>
          <w:b/>
          <w:color w:val="auto"/>
          <w:sz w:val="20"/>
          <w:szCs w:val="20"/>
          <w:highlight w:val="none"/>
          <w:lang w:eastAsia="zh-CN"/>
        </w:rPr>
        <w:t>8.</w:t>
      </w:r>
      <w:r>
        <w:rPr>
          <w:rFonts w:ascii="仿宋_GB2312" w:hAnsi="黑体" w:eastAsia="仿宋_GB2312" w:cs="Times New Roman"/>
          <w:b/>
          <w:color w:val="auto"/>
          <w:sz w:val="20"/>
          <w:szCs w:val="20"/>
          <w:highlight w:val="none"/>
          <w:lang w:eastAsia="zh-CN"/>
        </w:rPr>
        <w:t>产品不成立风险：</w:t>
      </w:r>
      <w:r>
        <w:rPr>
          <w:rFonts w:ascii="仿宋_GB2312" w:hAnsi="黑体" w:eastAsia="仿宋_GB2312" w:cs="Times New Roman"/>
          <w:color w:val="auto"/>
          <w:sz w:val="20"/>
          <w:szCs w:val="20"/>
          <w:highlight w:val="none"/>
          <w:lang w:eastAsia="zh-CN"/>
        </w:rPr>
        <w:t>如本产品募集期届满，认购总金额未达到产品规模下限（如有约</w:t>
      </w:r>
      <w:r>
        <w:rPr>
          <w:rFonts w:ascii="仿宋_GB2312" w:hAnsi="黑体" w:eastAsia="仿宋_GB2312" w:cs="Times New Roman"/>
          <w:color w:val="auto"/>
          <w:spacing w:val="-4"/>
          <w:sz w:val="20"/>
          <w:szCs w:val="20"/>
          <w:highlight w:val="none"/>
          <w:lang w:eastAsia="zh-CN"/>
        </w:rPr>
        <w:t>定），或市场发生剧烈波动，或发生本期产品难以成立的其他情况，经贵阳农商银行判断难以按照</w:t>
      </w:r>
      <w:r>
        <w:rPr>
          <w:rFonts w:ascii="仿宋_GB2312" w:hAnsi="黑体" w:eastAsia="仿宋_GB2312" w:cs="Times New Roman"/>
          <w:spacing w:val="-4"/>
          <w:sz w:val="20"/>
          <w:szCs w:val="20"/>
          <w:highlight w:val="none"/>
          <w:lang w:eastAsia="zh-CN"/>
        </w:rPr>
        <w:t>本</w:t>
      </w:r>
      <w:r>
        <w:rPr>
          <w:rFonts w:ascii="仿宋_GB2312" w:hAnsi="黑体" w:eastAsia="仿宋_GB2312" w:cs="Times New Roman"/>
          <w:color w:val="auto"/>
          <w:spacing w:val="-4"/>
          <w:sz w:val="20"/>
          <w:szCs w:val="20"/>
          <w:highlight w:val="none"/>
          <w:lang w:eastAsia="zh-CN"/>
        </w:rPr>
        <w:t>产品说明书规定向</w:t>
      </w:r>
      <w:r>
        <w:rPr>
          <w:rFonts w:hint="eastAsia" w:ascii="仿宋_GB2312" w:hAnsi="黑体" w:eastAsia="仿宋_GB2312" w:cs="Times New Roman"/>
          <w:color w:val="auto"/>
          <w:spacing w:val="-4"/>
          <w:sz w:val="20"/>
          <w:szCs w:val="20"/>
          <w:highlight w:val="none"/>
          <w:lang w:eastAsia="zh-CN"/>
        </w:rPr>
        <w:t>投资者</w:t>
      </w:r>
      <w:r>
        <w:rPr>
          <w:rFonts w:ascii="仿宋_GB2312" w:hAnsi="黑体" w:eastAsia="仿宋_GB2312" w:cs="Times New Roman"/>
          <w:color w:val="auto"/>
          <w:spacing w:val="-4"/>
          <w:sz w:val="20"/>
          <w:szCs w:val="20"/>
          <w:highlight w:val="none"/>
          <w:lang w:eastAsia="zh-CN"/>
        </w:rPr>
        <w:t>提供本期产品的，贵阳农商银行有权宣布产品</w:t>
      </w:r>
      <w:r>
        <w:rPr>
          <w:rFonts w:ascii="仿宋_GB2312" w:hAnsi="黑体" w:eastAsia="仿宋_GB2312" w:cs="Times New Roman"/>
          <w:color w:val="auto"/>
          <w:sz w:val="20"/>
          <w:szCs w:val="20"/>
          <w:highlight w:val="none"/>
          <w:lang w:eastAsia="zh-CN"/>
        </w:rPr>
        <w:t>不成立。</w:t>
      </w:r>
    </w:p>
    <w:p w14:paraId="4D57BEBA">
      <w:pPr>
        <w:ind w:left="119" w:right="206" w:firstLine="420"/>
        <w:jc w:val="both"/>
        <w:rPr>
          <w:rFonts w:ascii="仿宋_GB2312" w:hAnsi="黑体" w:eastAsia="仿宋_GB2312" w:cs="Times New Roman"/>
          <w:color w:val="auto"/>
          <w:sz w:val="20"/>
          <w:szCs w:val="20"/>
          <w:highlight w:val="none"/>
          <w:lang w:eastAsia="zh-CN"/>
        </w:rPr>
      </w:pPr>
      <w:r>
        <w:rPr>
          <w:rFonts w:ascii="仿宋_GB2312" w:hAnsi="Times New Roman" w:eastAsia="仿宋_GB2312" w:cs="Times New Roman"/>
          <w:b/>
          <w:color w:val="auto"/>
          <w:sz w:val="20"/>
          <w:szCs w:val="20"/>
          <w:highlight w:val="none"/>
          <w:lang w:eastAsia="zh-CN"/>
        </w:rPr>
        <w:t>9.</w:t>
      </w:r>
      <w:r>
        <w:rPr>
          <w:rFonts w:ascii="仿宋_GB2312" w:hAnsi="黑体" w:eastAsia="仿宋_GB2312" w:cs="Times New Roman"/>
          <w:b/>
          <w:color w:val="auto"/>
          <w:spacing w:val="-5"/>
          <w:sz w:val="20"/>
          <w:szCs w:val="20"/>
          <w:highlight w:val="none"/>
          <w:lang w:eastAsia="zh-CN"/>
        </w:rPr>
        <w:t>提前终止风险：</w:t>
      </w:r>
      <w:r>
        <w:rPr>
          <w:rFonts w:ascii="仿宋_GB2312" w:hAnsi="黑体" w:eastAsia="仿宋_GB2312" w:cs="Times New Roman"/>
          <w:color w:val="auto"/>
          <w:spacing w:val="-5"/>
          <w:sz w:val="20"/>
          <w:szCs w:val="20"/>
          <w:highlight w:val="none"/>
          <w:lang w:eastAsia="zh-CN"/>
        </w:rPr>
        <w:t>产品存续期内，若市场发生重大变动或突发性事件，或发生贵阳农商</w:t>
      </w:r>
      <w:r>
        <w:rPr>
          <w:rFonts w:ascii="仿宋_GB2312" w:hAnsi="黑体" w:eastAsia="仿宋_GB2312" w:cs="Times New Roman"/>
          <w:color w:val="auto"/>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color w:val="auto"/>
          <w:sz w:val="20"/>
          <w:szCs w:val="20"/>
          <w:highlight w:val="none"/>
          <w:lang w:eastAsia="zh-CN"/>
        </w:rPr>
        <w:t>终止情形下，</w:t>
      </w:r>
      <w:r>
        <w:rPr>
          <w:rFonts w:hint="eastAsia" w:ascii="仿宋_GB2312" w:hAnsi="黑体" w:eastAsia="仿宋_GB2312" w:cs="Times New Roman"/>
          <w:color w:val="auto"/>
          <w:sz w:val="20"/>
          <w:szCs w:val="20"/>
          <w:highlight w:val="none"/>
          <w:lang w:eastAsia="zh-CN"/>
        </w:rPr>
        <w:t>投资者</w:t>
      </w:r>
      <w:r>
        <w:rPr>
          <w:rFonts w:ascii="仿宋_GB2312" w:hAnsi="黑体" w:eastAsia="仿宋_GB2312" w:cs="Times New Roman"/>
          <w:color w:val="auto"/>
          <w:sz w:val="20"/>
          <w:szCs w:val="20"/>
          <w:highlight w:val="none"/>
          <w:lang w:eastAsia="zh-CN"/>
        </w:rPr>
        <w:t>面临不能按预定期限取得本金及收益的风险。</w:t>
      </w:r>
    </w:p>
    <w:p w14:paraId="5BC50E5E">
      <w:pPr>
        <w:ind w:left="120" w:right="0" w:firstLine="420"/>
        <w:jc w:val="both"/>
        <w:rPr>
          <w:rFonts w:hint="default" w:ascii="仿宋_GB2312" w:hAnsi="黑体" w:eastAsia="仿宋_GB2312" w:cs="Times New Roman"/>
          <w:color w:val="auto"/>
          <w:sz w:val="20"/>
          <w:szCs w:val="20"/>
          <w:highlight w:val="none"/>
          <w:lang w:val="en-US" w:eastAsia="zh-CN"/>
        </w:rPr>
      </w:pPr>
      <w:r>
        <w:rPr>
          <w:rFonts w:hint="eastAsia" w:ascii="仿宋_GB2312" w:hAnsi="黑体" w:eastAsia="仿宋_GB2312" w:cs="Times New Roman"/>
          <w:b/>
          <w:bCs/>
          <w:color w:val="auto"/>
          <w:sz w:val="20"/>
          <w:szCs w:val="20"/>
          <w:highlight w:val="none"/>
          <w:lang w:val="en-US" w:eastAsia="zh-CN"/>
        </w:rPr>
        <w:t>10.投资者自身涉诉/涉案理财份额被采取强制措施的风险：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ascii="仿宋_GB2312" w:hAnsi="黑体" w:eastAsia="仿宋_GB2312" w:cs="Times New Roman"/>
          <w:b/>
          <w:bCs/>
          <w:color w:val="auto"/>
          <w:spacing w:val="-4"/>
          <w:sz w:val="20"/>
          <w:szCs w:val="20"/>
          <w:highlight w:val="none"/>
          <w:lang w:eastAsia="zh-CN"/>
        </w:rPr>
        <w:t>。</w:t>
      </w:r>
    </w:p>
    <w:p w14:paraId="2D7EDDE8">
      <w:pPr>
        <w:ind w:left="120" w:firstLine="420"/>
        <w:jc w:val="both"/>
        <w:rPr>
          <w:rFonts w:ascii="仿宋_GB2312" w:hAnsi="黑体" w:eastAsia="仿宋_GB2312" w:cs="Times New Roman"/>
          <w:color w:val="auto"/>
          <w:spacing w:val="-4"/>
          <w:sz w:val="20"/>
          <w:szCs w:val="20"/>
          <w:highlight w:val="none"/>
          <w:lang w:eastAsia="zh-CN"/>
        </w:rPr>
      </w:pPr>
      <w:r>
        <w:rPr>
          <w:rFonts w:ascii="仿宋_GB2312" w:hAnsi="Times New Roman" w:eastAsia="仿宋_GB2312" w:cs="Times New Roman"/>
          <w:b/>
          <w:color w:val="auto"/>
          <w:sz w:val="20"/>
          <w:szCs w:val="20"/>
          <w:highlight w:val="none"/>
          <w:lang w:eastAsia="zh-CN"/>
        </w:rPr>
        <w:t>1</w:t>
      </w:r>
      <w:r>
        <w:rPr>
          <w:rFonts w:hint="eastAsia" w:ascii="仿宋_GB2312" w:hAnsi="Times New Roman" w:eastAsia="仿宋_GB2312" w:cs="Times New Roman"/>
          <w:b/>
          <w:color w:val="auto"/>
          <w:sz w:val="20"/>
          <w:szCs w:val="20"/>
          <w:highlight w:val="none"/>
          <w:lang w:val="en-US" w:eastAsia="zh-CN"/>
        </w:rPr>
        <w:t>1</w:t>
      </w:r>
      <w:r>
        <w:rPr>
          <w:rFonts w:ascii="仿宋_GB2312" w:hAnsi="Times New Roman" w:eastAsia="仿宋_GB2312" w:cs="Times New Roman"/>
          <w:b/>
          <w:color w:val="auto"/>
          <w:sz w:val="20"/>
          <w:szCs w:val="20"/>
          <w:highlight w:val="none"/>
          <w:lang w:eastAsia="zh-CN"/>
        </w:rPr>
        <w:t>.</w:t>
      </w:r>
      <w:r>
        <w:rPr>
          <w:rFonts w:ascii="仿宋_GB2312" w:hAnsi="黑体" w:eastAsia="仿宋_GB2312" w:cs="Times New Roman"/>
          <w:b/>
          <w:color w:val="auto"/>
          <w:spacing w:val="-5"/>
          <w:sz w:val="20"/>
          <w:szCs w:val="20"/>
          <w:highlight w:val="none"/>
          <w:lang w:eastAsia="zh-CN"/>
        </w:rPr>
        <w:t>不可抗力及意外事件风险：</w:t>
      </w:r>
      <w:r>
        <w:rPr>
          <w:rFonts w:ascii="仿宋_GB2312" w:hAnsi="黑体" w:eastAsia="仿宋_GB2312" w:cs="Times New Roman"/>
          <w:color w:val="auto"/>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color w:val="auto"/>
          <w:spacing w:val="-4"/>
          <w:sz w:val="20"/>
          <w:szCs w:val="20"/>
          <w:highlight w:val="none"/>
          <w:lang w:eastAsia="zh-CN"/>
        </w:rPr>
        <w:t>。对于由于不可抗力及意外事件风险导致的任何损失，</w:t>
      </w:r>
      <w:r>
        <w:rPr>
          <w:rFonts w:hint="eastAsia" w:ascii="仿宋_GB2312" w:hAnsi="黑体" w:eastAsia="仿宋_GB2312" w:cs="Times New Roman"/>
          <w:color w:val="auto"/>
          <w:spacing w:val="-4"/>
          <w:sz w:val="20"/>
          <w:szCs w:val="20"/>
          <w:highlight w:val="none"/>
          <w:lang w:eastAsia="zh-CN"/>
        </w:rPr>
        <w:t>投资者</w:t>
      </w:r>
      <w:r>
        <w:rPr>
          <w:rFonts w:ascii="仿宋_GB2312" w:hAnsi="黑体" w:eastAsia="仿宋_GB2312" w:cs="Times New Roman"/>
          <w:color w:val="auto"/>
          <w:spacing w:val="-4"/>
          <w:sz w:val="20"/>
          <w:szCs w:val="20"/>
          <w:highlight w:val="none"/>
          <w:lang w:eastAsia="zh-CN"/>
        </w:rPr>
        <w:t>须自行承担，贵阳农商银行对此不承担任何责任。</w:t>
      </w:r>
    </w:p>
    <w:p w14:paraId="319D8958">
      <w:pPr>
        <w:ind w:left="120" w:firstLine="420"/>
        <w:jc w:val="both"/>
        <w:rPr>
          <w:rFonts w:hint="eastAsia" w:ascii="仿宋_GB2312" w:hAnsi="仿宋_GB2312" w:eastAsia="仿宋_GB2312" w:cs="仿宋_GB2312"/>
          <w:b/>
          <w:bCs/>
          <w:color w:val="auto"/>
          <w:sz w:val="20"/>
          <w:szCs w:val="20"/>
          <w:highlight w:val="none"/>
          <w:u w:val="single"/>
          <w:lang w:eastAsia="zh-CN"/>
        </w:rPr>
      </w:pPr>
      <w:r>
        <w:rPr>
          <w:rFonts w:hint="eastAsia" w:ascii="仿宋_GB2312" w:hAnsi="仿宋_GB2312" w:eastAsia="仿宋_GB2312" w:cs="仿宋_GB2312"/>
          <w:b/>
          <w:bCs/>
          <w:color w:val="auto"/>
          <w:sz w:val="20"/>
          <w:szCs w:val="20"/>
          <w:highlight w:val="none"/>
          <w:u w:val="single"/>
          <w:lang w:eastAsia="zh-CN"/>
        </w:rPr>
        <w:t>上述风险发生后最不利情况下，投资者将损失全部本金。</w:t>
      </w:r>
    </w:p>
    <w:p w14:paraId="249F60CE">
      <w:pPr>
        <w:ind w:left="120" w:right="206" w:firstLine="357"/>
        <w:jc w:val="both"/>
        <w:rPr>
          <w:rFonts w:ascii="仿宋_GB2312" w:hAnsi="Times New Roman" w:eastAsia="仿宋_GB2312" w:cs="Times New Roman"/>
          <w:b/>
          <w:color w:val="auto"/>
          <w:sz w:val="20"/>
          <w:szCs w:val="20"/>
          <w:highlight w:val="none"/>
          <w:lang w:eastAsia="zh-CN"/>
        </w:rPr>
      </w:pPr>
      <w:r>
        <w:rPr>
          <w:rFonts w:ascii="仿宋_GB2312" w:hAnsi="黑体" w:eastAsia="仿宋_GB2312" w:cs="Times New Roman"/>
          <w:b/>
          <w:color w:val="auto"/>
          <w:spacing w:val="-3"/>
          <w:sz w:val="20"/>
          <w:szCs w:val="20"/>
          <w:highlight w:val="none"/>
          <w:lang w:eastAsia="zh-CN"/>
        </w:rPr>
        <w:t>您在签署《理财产品协议》前，应当仔细阅读</w:t>
      </w:r>
      <w:r>
        <w:rPr>
          <w:rFonts w:hint="eastAsia" w:ascii="仿宋_GB2312" w:hAnsi="黑体" w:eastAsia="仿宋_GB2312" w:cs="Times New Roman"/>
          <w:b/>
          <w:color w:val="auto"/>
          <w:spacing w:val="-3"/>
          <w:sz w:val="20"/>
          <w:szCs w:val="20"/>
          <w:highlight w:val="none"/>
          <w:lang w:eastAsia="zh-CN"/>
        </w:rPr>
        <w:t>《</w:t>
      </w:r>
      <w:r>
        <w:rPr>
          <w:rFonts w:hint="default" w:ascii="仿宋_GB2312" w:hAnsi="黑体" w:eastAsia="仿宋_GB2312" w:cs="Times New Roman"/>
          <w:b/>
          <w:color w:val="auto"/>
          <w:spacing w:val="-3"/>
          <w:sz w:val="20"/>
          <w:szCs w:val="20"/>
          <w:highlight w:val="none"/>
          <w:lang w:eastAsia="zh-CN"/>
        </w:rPr>
        <w:t>信息授权书（理财业务版）</w:t>
      </w:r>
      <w:r>
        <w:rPr>
          <w:rFonts w:hint="eastAsia" w:ascii="仿宋_GB2312" w:hAnsi="黑体" w:eastAsia="仿宋_GB2312" w:cs="Times New Roman"/>
          <w:b/>
          <w:color w:val="auto"/>
          <w:spacing w:val="-3"/>
          <w:sz w:val="20"/>
          <w:szCs w:val="20"/>
          <w:highlight w:val="none"/>
          <w:lang w:eastAsia="zh-CN"/>
        </w:rPr>
        <w:t>》《投资者</w:t>
      </w:r>
      <w:r>
        <w:rPr>
          <w:rFonts w:ascii="仿宋_GB2312" w:hAnsi="黑体" w:eastAsia="仿宋_GB2312" w:cs="Times New Roman"/>
          <w:b/>
          <w:color w:val="auto"/>
          <w:spacing w:val="-3"/>
          <w:sz w:val="20"/>
          <w:szCs w:val="20"/>
          <w:highlight w:val="none"/>
          <w:lang w:eastAsia="zh-CN"/>
        </w:rPr>
        <w:t>权</w:t>
      </w:r>
      <w:r>
        <w:rPr>
          <w:rFonts w:ascii="仿宋_GB2312" w:hAnsi="黑体" w:eastAsia="仿宋_GB2312" w:cs="Times New Roman"/>
          <w:b/>
          <w:color w:val="auto"/>
          <w:spacing w:val="-4"/>
          <w:sz w:val="20"/>
          <w:szCs w:val="20"/>
          <w:highlight w:val="none"/>
          <w:lang w:eastAsia="zh-CN"/>
        </w:rPr>
        <w:t>益须知</w:t>
      </w:r>
      <w:r>
        <w:rPr>
          <w:rFonts w:hint="eastAsia" w:ascii="仿宋_GB2312" w:hAnsi="黑体" w:eastAsia="仿宋_GB2312" w:cs="Times New Roman"/>
          <w:b/>
          <w:color w:val="auto"/>
          <w:spacing w:val="-3"/>
          <w:sz w:val="20"/>
          <w:szCs w:val="20"/>
          <w:highlight w:val="none"/>
          <w:lang w:eastAsia="zh-CN"/>
        </w:rPr>
        <w:t>》</w:t>
      </w:r>
      <w:r>
        <w:rPr>
          <w:rFonts w:hint="eastAsia" w:ascii="仿宋_GB2312" w:hAnsi="黑体" w:eastAsia="仿宋_GB2312" w:cs="Times New Roman"/>
          <w:b/>
          <w:color w:val="auto"/>
          <w:spacing w:val="-4"/>
          <w:sz w:val="20"/>
          <w:szCs w:val="20"/>
          <w:highlight w:val="none"/>
          <w:lang w:eastAsia="zh-CN"/>
        </w:rPr>
        <w:t>《</w:t>
      </w:r>
      <w:r>
        <w:rPr>
          <w:rFonts w:ascii="仿宋_GB2312" w:hAnsi="黑体" w:eastAsia="仿宋_GB2312" w:cs="Times New Roman"/>
          <w:b/>
          <w:color w:val="auto"/>
          <w:spacing w:val="-4"/>
          <w:sz w:val="20"/>
          <w:szCs w:val="20"/>
          <w:highlight w:val="none"/>
          <w:lang w:eastAsia="zh-CN"/>
        </w:rPr>
        <w:t>风险揭示书</w:t>
      </w:r>
      <w:r>
        <w:rPr>
          <w:rFonts w:hint="eastAsia" w:ascii="仿宋_GB2312" w:hAnsi="黑体" w:eastAsia="仿宋_GB2312" w:cs="Times New Roman"/>
          <w:b/>
          <w:color w:val="auto"/>
          <w:spacing w:val="-4"/>
          <w:sz w:val="20"/>
          <w:szCs w:val="20"/>
          <w:highlight w:val="none"/>
          <w:lang w:eastAsia="zh-CN"/>
        </w:rPr>
        <w:t>》</w:t>
      </w:r>
      <w:r>
        <w:rPr>
          <w:rFonts w:ascii="仿宋_GB2312" w:hAnsi="黑体" w:eastAsia="仿宋_GB2312" w:cs="Times New Roman"/>
          <w:b/>
          <w:color w:val="auto"/>
          <w:spacing w:val="-4"/>
          <w:sz w:val="20"/>
          <w:szCs w:val="20"/>
          <w:highlight w:val="none"/>
          <w:lang w:eastAsia="zh-CN"/>
        </w:rPr>
        <w:t>及本期产品的</w:t>
      </w:r>
      <w:r>
        <w:rPr>
          <w:rFonts w:hint="eastAsia" w:ascii="仿宋_GB2312" w:hAnsi="黑体" w:eastAsia="仿宋_GB2312" w:cs="Times New Roman"/>
          <w:b/>
          <w:color w:val="auto"/>
          <w:spacing w:val="-4"/>
          <w:sz w:val="20"/>
          <w:szCs w:val="20"/>
          <w:highlight w:val="none"/>
          <w:lang w:eastAsia="zh-CN"/>
        </w:rPr>
        <w:t>《</w:t>
      </w:r>
      <w:r>
        <w:rPr>
          <w:rFonts w:ascii="仿宋_GB2312" w:hAnsi="黑体" w:eastAsia="仿宋_GB2312" w:cs="Times New Roman"/>
          <w:b/>
          <w:color w:val="auto"/>
          <w:spacing w:val="-4"/>
          <w:sz w:val="20"/>
          <w:szCs w:val="20"/>
          <w:highlight w:val="none"/>
          <w:lang w:eastAsia="zh-CN"/>
        </w:rPr>
        <w:t>产品说明书</w:t>
      </w:r>
      <w:r>
        <w:rPr>
          <w:rFonts w:hint="eastAsia" w:ascii="仿宋_GB2312" w:hAnsi="黑体" w:eastAsia="仿宋_GB2312" w:cs="Times New Roman"/>
          <w:b/>
          <w:color w:val="auto"/>
          <w:spacing w:val="-4"/>
          <w:sz w:val="20"/>
          <w:szCs w:val="20"/>
          <w:highlight w:val="none"/>
          <w:lang w:eastAsia="zh-CN"/>
        </w:rPr>
        <w:t>》</w:t>
      </w:r>
      <w:r>
        <w:rPr>
          <w:rFonts w:ascii="仿宋_GB2312" w:hAnsi="黑体" w:eastAsia="仿宋_GB2312" w:cs="Times New Roman"/>
          <w:b/>
          <w:color w:val="auto"/>
          <w:spacing w:val="-4"/>
          <w:sz w:val="20"/>
          <w:szCs w:val="20"/>
          <w:highlight w:val="none"/>
          <w:lang w:eastAsia="zh-CN"/>
        </w:rPr>
        <w:t>的全部内容，同时向贵阳农商银行了解本期</w:t>
      </w:r>
      <w:r>
        <w:rPr>
          <w:rFonts w:ascii="仿宋_GB2312" w:hAnsi="黑体" w:eastAsia="仿宋_GB2312" w:cs="Times New Roman"/>
          <w:b/>
          <w:color w:val="auto"/>
          <w:sz w:val="20"/>
          <w:szCs w:val="20"/>
          <w:highlight w:val="none"/>
          <w:lang w:eastAsia="zh-CN"/>
        </w:rPr>
        <w:t>产品的其他相关信息，并独立做出是否购买本期产品的决定。</w:t>
      </w:r>
    </w:p>
    <w:p w14:paraId="158AA552">
      <w:pPr>
        <w:ind w:left="120" w:right="206" w:firstLine="357"/>
        <w:jc w:val="both"/>
        <w:rPr>
          <w:rFonts w:ascii="仿宋_GB2312" w:hAnsi="Times New Roman" w:eastAsia="仿宋_GB2312" w:cs="Times New Roman"/>
          <w:b/>
          <w:color w:val="auto"/>
          <w:sz w:val="20"/>
          <w:szCs w:val="20"/>
          <w:highlight w:val="none"/>
          <w:lang w:eastAsia="zh-CN"/>
        </w:rPr>
      </w:pPr>
      <w:r>
        <w:rPr>
          <w:rFonts w:ascii="仿宋_GB2312" w:hAnsi="黑体" w:eastAsia="仿宋_GB2312" w:cs="Times New Roman"/>
          <w:b/>
          <w:color w:val="auto"/>
          <w:spacing w:val="-3"/>
          <w:sz w:val="20"/>
          <w:szCs w:val="20"/>
          <w:highlight w:val="none"/>
          <w:lang w:eastAsia="zh-CN"/>
        </w:rPr>
        <w:t>您</w:t>
      </w:r>
      <w:r>
        <w:rPr>
          <w:rFonts w:hint="eastAsia" w:ascii="仿宋_GB2312" w:hAnsi="黑体" w:eastAsia="仿宋_GB2312" w:cs="Times New Roman"/>
          <w:b/>
          <w:color w:val="auto"/>
          <w:spacing w:val="-3"/>
          <w:sz w:val="20"/>
          <w:szCs w:val="20"/>
          <w:highlight w:val="none"/>
          <w:lang w:eastAsia="zh-CN"/>
        </w:rPr>
        <w:t>签字或勾选同意</w:t>
      </w:r>
      <w:r>
        <w:rPr>
          <w:rFonts w:ascii="仿宋_GB2312" w:hAnsi="黑体" w:eastAsia="仿宋_GB2312" w:cs="Times New Roman"/>
          <w:b/>
          <w:color w:val="auto"/>
          <w:spacing w:val="-3"/>
          <w:sz w:val="20"/>
          <w:szCs w:val="20"/>
          <w:highlight w:val="none"/>
          <w:lang w:eastAsia="zh-CN"/>
        </w:rPr>
        <w:t>本</w:t>
      </w:r>
      <w:r>
        <w:rPr>
          <w:rFonts w:hint="eastAsia" w:ascii="仿宋_GB2312" w:hAnsi="黑体" w:eastAsia="仿宋_GB2312" w:cs="Times New Roman"/>
          <w:b/>
          <w:color w:val="auto"/>
          <w:spacing w:val="-3"/>
          <w:sz w:val="20"/>
          <w:szCs w:val="20"/>
          <w:highlight w:val="none"/>
          <w:lang w:eastAsia="zh-CN"/>
        </w:rPr>
        <w:t>《</w:t>
      </w:r>
      <w:r>
        <w:rPr>
          <w:rFonts w:ascii="仿宋_GB2312" w:hAnsi="黑体" w:eastAsia="仿宋_GB2312" w:cs="Times New Roman"/>
          <w:b/>
          <w:color w:val="auto"/>
          <w:spacing w:val="-3"/>
          <w:sz w:val="20"/>
          <w:szCs w:val="20"/>
          <w:highlight w:val="none"/>
          <w:lang w:eastAsia="zh-CN"/>
        </w:rPr>
        <w:t>风险揭示书</w:t>
      </w:r>
      <w:r>
        <w:rPr>
          <w:rFonts w:hint="eastAsia" w:ascii="仿宋_GB2312" w:hAnsi="黑体" w:eastAsia="仿宋_GB2312" w:cs="Times New Roman"/>
          <w:b/>
          <w:color w:val="auto"/>
          <w:spacing w:val="-3"/>
          <w:sz w:val="20"/>
          <w:szCs w:val="20"/>
          <w:highlight w:val="none"/>
          <w:lang w:eastAsia="zh-CN"/>
        </w:rPr>
        <w:t>》《理财产品</w:t>
      </w:r>
      <w:r>
        <w:rPr>
          <w:rFonts w:ascii="仿宋_GB2312" w:hAnsi="黑体" w:eastAsia="仿宋_GB2312" w:cs="Times New Roman"/>
          <w:b/>
          <w:color w:val="auto"/>
          <w:spacing w:val="-3"/>
          <w:sz w:val="20"/>
          <w:szCs w:val="20"/>
          <w:highlight w:val="none"/>
          <w:lang w:eastAsia="zh-CN"/>
        </w:rPr>
        <w:t>协议</w:t>
      </w:r>
      <w:r>
        <w:rPr>
          <w:rFonts w:hint="eastAsia" w:ascii="仿宋_GB2312" w:hAnsi="黑体" w:eastAsia="仿宋_GB2312" w:cs="Times New Roman"/>
          <w:b/>
          <w:color w:val="auto"/>
          <w:spacing w:val="-3"/>
          <w:sz w:val="20"/>
          <w:szCs w:val="20"/>
          <w:highlight w:val="none"/>
          <w:lang w:eastAsia="zh-CN"/>
        </w:rPr>
        <w:t>》</w:t>
      </w:r>
      <w:r>
        <w:rPr>
          <w:rFonts w:ascii="仿宋_GB2312" w:hAnsi="黑体" w:eastAsia="仿宋_GB2312" w:cs="Times New Roman"/>
          <w:b/>
          <w:color w:val="auto"/>
          <w:spacing w:val="-3"/>
          <w:sz w:val="20"/>
          <w:szCs w:val="20"/>
          <w:highlight w:val="none"/>
          <w:lang w:eastAsia="zh-CN"/>
        </w:rPr>
        <w:t>，并将资金委托给贵阳农商银行运作是您真实的意思</w:t>
      </w:r>
      <w:r>
        <w:rPr>
          <w:rFonts w:ascii="仿宋_GB2312" w:hAnsi="黑体" w:eastAsia="仿宋_GB2312" w:cs="Times New Roman"/>
          <w:b/>
          <w:color w:val="auto"/>
          <w:spacing w:val="-4"/>
          <w:sz w:val="20"/>
          <w:szCs w:val="20"/>
          <w:highlight w:val="none"/>
          <w:lang w:eastAsia="zh-CN"/>
        </w:rPr>
        <w:t>表示。本</w:t>
      </w:r>
      <w:r>
        <w:rPr>
          <w:rFonts w:hint="eastAsia" w:ascii="仿宋_GB2312" w:hAnsi="黑体" w:eastAsia="仿宋_GB2312" w:cs="Times New Roman"/>
          <w:b/>
          <w:color w:val="auto"/>
          <w:spacing w:val="-4"/>
          <w:sz w:val="20"/>
          <w:szCs w:val="20"/>
          <w:highlight w:val="none"/>
          <w:lang w:eastAsia="zh-CN"/>
        </w:rPr>
        <w:t>《</w:t>
      </w:r>
      <w:r>
        <w:rPr>
          <w:rFonts w:ascii="仿宋_GB2312" w:hAnsi="黑体" w:eastAsia="仿宋_GB2312" w:cs="Times New Roman"/>
          <w:b/>
          <w:color w:val="auto"/>
          <w:spacing w:val="-4"/>
          <w:sz w:val="20"/>
          <w:szCs w:val="20"/>
          <w:highlight w:val="none"/>
          <w:lang w:eastAsia="zh-CN"/>
        </w:rPr>
        <w:t>风险揭示书</w:t>
      </w:r>
      <w:r>
        <w:rPr>
          <w:rFonts w:hint="eastAsia" w:ascii="仿宋_GB2312" w:hAnsi="黑体" w:eastAsia="仿宋_GB2312" w:cs="Times New Roman"/>
          <w:b/>
          <w:color w:val="auto"/>
          <w:spacing w:val="-4"/>
          <w:sz w:val="20"/>
          <w:szCs w:val="20"/>
          <w:highlight w:val="none"/>
          <w:lang w:eastAsia="zh-CN"/>
        </w:rPr>
        <w:t>》</w:t>
      </w:r>
      <w:r>
        <w:rPr>
          <w:rFonts w:ascii="仿宋_GB2312" w:hAnsi="黑体" w:eastAsia="仿宋_GB2312" w:cs="Times New Roman"/>
          <w:b/>
          <w:color w:val="auto"/>
          <w:spacing w:val="-4"/>
          <w:sz w:val="20"/>
          <w:szCs w:val="20"/>
          <w:highlight w:val="none"/>
          <w:lang w:eastAsia="zh-CN"/>
        </w:rPr>
        <w:t>及相应的</w:t>
      </w:r>
      <w:r>
        <w:rPr>
          <w:rFonts w:hint="eastAsia" w:ascii="仿宋_GB2312" w:hAnsi="黑体" w:eastAsia="仿宋_GB2312" w:cs="Times New Roman"/>
          <w:b/>
          <w:color w:val="auto"/>
          <w:spacing w:val="-4"/>
          <w:sz w:val="20"/>
          <w:szCs w:val="20"/>
          <w:highlight w:val="none"/>
          <w:lang w:eastAsia="zh-CN"/>
        </w:rPr>
        <w:t>《</w:t>
      </w:r>
      <w:r>
        <w:rPr>
          <w:rFonts w:hint="eastAsia" w:ascii="仿宋_GB2312" w:hAnsi="黑体" w:eastAsia="仿宋_GB2312" w:cs="Times New Roman"/>
          <w:b/>
          <w:color w:val="auto"/>
          <w:spacing w:val="-3"/>
          <w:sz w:val="20"/>
          <w:szCs w:val="20"/>
          <w:highlight w:val="none"/>
          <w:lang w:eastAsia="zh-CN"/>
        </w:rPr>
        <w:t>理财产品</w:t>
      </w:r>
      <w:r>
        <w:rPr>
          <w:rFonts w:ascii="仿宋_GB2312" w:hAnsi="黑体" w:eastAsia="仿宋_GB2312" w:cs="Times New Roman"/>
          <w:b/>
          <w:color w:val="auto"/>
          <w:spacing w:val="-3"/>
          <w:sz w:val="20"/>
          <w:szCs w:val="20"/>
          <w:highlight w:val="none"/>
          <w:lang w:eastAsia="zh-CN"/>
        </w:rPr>
        <w:t>协议</w:t>
      </w:r>
      <w:r>
        <w:rPr>
          <w:rFonts w:hint="eastAsia" w:ascii="仿宋_GB2312" w:hAnsi="黑体" w:eastAsia="仿宋_GB2312" w:cs="Times New Roman"/>
          <w:b/>
          <w:color w:val="auto"/>
          <w:spacing w:val="-4"/>
          <w:sz w:val="20"/>
          <w:szCs w:val="20"/>
          <w:highlight w:val="none"/>
          <w:lang w:eastAsia="zh-CN"/>
        </w:rPr>
        <w:t>》《</w:t>
      </w:r>
      <w:r>
        <w:rPr>
          <w:rFonts w:ascii="仿宋_GB2312" w:hAnsi="黑体" w:eastAsia="仿宋_GB2312" w:cs="Times New Roman"/>
          <w:b/>
          <w:color w:val="auto"/>
          <w:spacing w:val="-4"/>
          <w:sz w:val="20"/>
          <w:szCs w:val="20"/>
          <w:highlight w:val="none"/>
          <w:lang w:eastAsia="zh-CN"/>
        </w:rPr>
        <w:t>产品说明书</w:t>
      </w:r>
      <w:r>
        <w:rPr>
          <w:rFonts w:hint="eastAsia" w:ascii="仿宋_GB2312" w:hAnsi="黑体" w:eastAsia="仿宋_GB2312" w:cs="Times New Roman"/>
          <w:b/>
          <w:color w:val="auto"/>
          <w:spacing w:val="-4"/>
          <w:sz w:val="20"/>
          <w:szCs w:val="20"/>
          <w:highlight w:val="none"/>
          <w:lang w:eastAsia="zh-CN"/>
        </w:rPr>
        <w:t>》</w:t>
      </w:r>
      <w:r>
        <w:rPr>
          <w:rFonts w:hint="eastAsia" w:ascii="仿宋_GB2312" w:hAnsi="黑体" w:eastAsia="仿宋_GB2312" w:cs="Times New Roman"/>
          <w:b/>
          <w:color w:val="auto"/>
          <w:spacing w:val="-3"/>
          <w:sz w:val="20"/>
          <w:szCs w:val="20"/>
          <w:highlight w:val="none"/>
          <w:lang w:eastAsia="zh-CN"/>
        </w:rPr>
        <w:t>《</w:t>
      </w:r>
      <w:r>
        <w:rPr>
          <w:rFonts w:hint="default" w:ascii="仿宋_GB2312" w:hAnsi="黑体" w:eastAsia="仿宋_GB2312" w:cs="Times New Roman"/>
          <w:b/>
          <w:color w:val="auto"/>
          <w:spacing w:val="-3"/>
          <w:sz w:val="20"/>
          <w:szCs w:val="20"/>
          <w:highlight w:val="none"/>
          <w:lang w:eastAsia="zh-CN"/>
        </w:rPr>
        <w:t>信息授权书（理财业务版）</w:t>
      </w:r>
      <w:r>
        <w:rPr>
          <w:rFonts w:hint="eastAsia" w:ascii="仿宋_GB2312" w:hAnsi="黑体" w:eastAsia="仿宋_GB2312" w:cs="Times New Roman"/>
          <w:b/>
          <w:color w:val="auto"/>
          <w:spacing w:val="-3"/>
          <w:sz w:val="20"/>
          <w:szCs w:val="20"/>
          <w:highlight w:val="none"/>
          <w:lang w:eastAsia="zh-CN"/>
        </w:rPr>
        <w:t>》</w:t>
      </w:r>
      <w:r>
        <w:rPr>
          <w:rFonts w:hint="eastAsia" w:ascii="仿宋_GB2312" w:hAnsi="黑体" w:eastAsia="仿宋_GB2312" w:cs="Times New Roman"/>
          <w:b/>
          <w:color w:val="auto"/>
          <w:spacing w:val="-4"/>
          <w:sz w:val="20"/>
          <w:szCs w:val="20"/>
          <w:highlight w:val="none"/>
          <w:lang w:eastAsia="zh-CN"/>
        </w:rPr>
        <w:t>《投资者</w:t>
      </w:r>
      <w:r>
        <w:rPr>
          <w:rFonts w:ascii="仿宋_GB2312" w:hAnsi="黑体" w:eastAsia="仿宋_GB2312" w:cs="Times New Roman"/>
          <w:b/>
          <w:color w:val="auto"/>
          <w:spacing w:val="-4"/>
          <w:sz w:val="20"/>
          <w:szCs w:val="20"/>
          <w:highlight w:val="none"/>
          <w:lang w:eastAsia="zh-CN"/>
        </w:rPr>
        <w:t>权益须知</w:t>
      </w:r>
      <w:r>
        <w:rPr>
          <w:rFonts w:hint="eastAsia" w:ascii="仿宋_GB2312" w:hAnsi="黑体" w:eastAsia="仿宋_GB2312" w:cs="Times New Roman"/>
          <w:b/>
          <w:color w:val="auto"/>
          <w:spacing w:val="-4"/>
          <w:sz w:val="20"/>
          <w:szCs w:val="20"/>
          <w:highlight w:val="none"/>
          <w:lang w:eastAsia="zh-CN"/>
        </w:rPr>
        <w:t>》</w:t>
      </w:r>
      <w:r>
        <w:rPr>
          <w:rFonts w:ascii="仿宋_GB2312" w:hAnsi="黑体" w:eastAsia="仿宋_GB2312" w:cs="Times New Roman"/>
          <w:b/>
          <w:color w:val="auto"/>
          <w:spacing w:val="-4"/>
          <w:sz w:val="20"/>
          <w:szCs w:val="20"/>
          <w:highlight w:val="none"/>
          <w:lang w:eastAsia="zh-CN"/>
        </w:rPr>
        <w:t>将共同构成</w:t>
      </w:r>
      <w:r>
        <w:rPr>
          <w:rFonts w:ascii="仿宋_GB2312" w:hAnsi="黑体" w:eastAsia="仿宋_GB2312" w:cs="Times New Roman"/>
          <w:b/>
          <w:color w:val="auto"/>
          <w:sz w:val="20"/>
          <w:szCs w:val="20"/>
          <w:highlight w:val="none"/>
          <w:lang w:eastAsia="zh-CN"/>
        </w:rPr>
        <w:t>理财</w:t>
      </w:r>
      <w:r>
        <w:rPr>
          <w:rFonts w:hint="eastAsia" w:ascii="仿宋_GB2312" w:hAnsi="黑体" w:eastAsia="仿宋_GB2312" w:cs="Times New Roman"/>
          <w:b/>
          <w:color w:val="auto"/>
          <w:sz w:val="20"/>
          <w:szCs w:val="20"/>
          <w:highlight w:val="none"/>
          <w:lang w:val="en-US" w:eastAsia="zh-CN"/>
        </w:rPr>
        <w:t>销售文件</w:t>
      </w:r>
      <w:r>
        <w:rPr>
          <w:rFonts w:ascii="仿宋_GB2312" w:hAnsi="黑体" w:eastAsia="仿宋_GB2312" w:cs="Times New Roman"/>
          <w:b/>
          <w:color w:val="auto"/>
          <w:sz w:val="20"/>
          <w:szCs w:val="20"/>
          <w:highlight w:val="none"/>
          <w:lang w:eastAsia="zh-CN"/>
        </w:rPr>
        <w:t>的有效组成部分。</w:t>
      </w:r>
    </w:p>
    <w:p w14:paraId="379D2A4C">
      <w:pPr>
        <w:ind w:right="211"/>
        <w:jc w:val="right"/>
        <w:rPr>
          <w:rFonts w:ascii="仿宋_GB2312" w:hAnsi="Times New Roman" w:eastAsia="仿宋_GB2312" w:cs="Times New Roman"/>
          <w:color w:val="auto"/>
          <w:spacing w:val="-1"/>
          <w:sz w:val="20"/>
          <w:szCs w:val="20"/>
          <w:highlight w:val="none"/>
          <w:lang w:eastAsia="zh-CN"/>
        </w:rPr>
      </w:pPr>
    </w:p>
    <w:p w14:paraId="52F321C1">
      <w:pPr>
        <w:ind w:right="211"/>
        <w:jc w:val="right"/>
        <w:rPr>
          <w:rFonts w:hint="default" w:ascii="仿宋_GB2312" w:hAnsi="Times New Roman" w:eastAsia="仿宋_GB2312" w:cs="Times New Roman"/>
          <w:b/>
          <w:color w:val="auto"/>
          <w:spacing w:val="-1"/>
          <w:sz w:val="20"/>
          <w:szCs w:val="20"/>
          <w:highlight w:val="none"/>
          <w:lang w:val="en-US" w:eastAsia="zh-CN"/>
        </w:rPr>
      </w:pPr>
      <w:r>
        <w:rPr>
          <w:rFonts w:ascii="仿宋_GB2312" w:hAnsi="黑体" w:eastAsia="仿宋_GB2312" w:cs="Times New Roman"/>
          <w:b/>
          <w:color w:val="auto"/>
          <w:spacing w:val="-1"/>
          <w:sz w:val="20"/>
          <w:szCs w:val="20"/>
          <w:highlight w:val="none"/>
          <w:lang w:eastAsia="zh-CN"/>
        </w:rPr>
        <w:t>风险揭示方：贵阳农</w:t>
      </w:r>
      <w:r>
        <w:rPr>
          <w:rFonts w:hint="eastAsia" w:ascii="仿宋_GB2312" w:hAnsi="黑体" w:eastAsia="仿宋_GB2312" w:cs="Times New Roman"/>
          <w:b/>
          <w:color w:val="auto"/>
          <w:spacing w:val="-1"/>
          <w:sz w:val="20"/>
          <w:szCs w:val="20"/>
          <w:highlight w:val="none"/>
          <w:lang w:val="en-US" w:eastAsia="zh-CN"/>
        </w:rPr>
        <w:t>村</w:t>
      </w:r>
      <w:r>
        <w:rPr>
          <w:rFonts w:ascii="仿宋_GB2312" w:hAnsi="黑体" w:eastAsia="仿宋_GB2312" w:cs="Times New Roman"/>
          <w:b/>
          <w:color w:val="auto"/>
          <w:spacing w:val="-1"/>
          <w:sz w:val="20"/>
          <w:szCs w:val="20"/>
          <w:highlight w:val="none"/>
          <w:lang w:eastAsia="zh-CN"/>
        </w:rPr>
        <w:t>商</w:t>
      </w:r>
      <w:r>
        <w:rPr>
          <w:rFonts w:hint="eastAsia" w:ascii="仿宋_GB2312" w:hAnsi="黑体" w:eastAsia="仿宋_GB2312" w:cs="Times New Roman"/>
          <w:b/>
          <w:color w:val="auto"/>
          <w:spacing w:val="-1"/>
          <w:sz w:val="20"/>
          <w:szCs w:val="20"/>
          <w:highlight w:val="none"/>
          <w:lang w:val="en-US" w:eastAsia="zh-CN"/>
        </w:rPr>
        <w:t>业</w:t>
      </w:r>
      <w:r>
        <w:rPr>
          <w:rFonts w:ascii="仿宋_GB2312" w:hAnsi="黑体" w:eastAsia="仿宋_GB2312" w:cs="Times New Roman"/>
          <w:b/>
          <w:color w:val="auto"/>
          <w:spacing w:val="-1"/>
          <w:sz w:val="20"/>
          <w:szCs w:val="20"/>
          <w:highlight w:val="none"/>
          <w:lang w:eastAsia="zh-CN"/>
        </w:rPr>
        <w:t>银行</w:t>
      </w:r>
      <w:r>
        <w:rPr>
          <w:rFonts w:hint="eastAsia" w:ascii="仿宋_GB2312" w:hAnsi="黑体" w:eastAsia="仿宋_GB2312" w:cs="Times New Roman"/>
          <w:b/>
          <w:color w:val="auto"/>
          <w:spacing w:val="-1"/>
          <w:sz w:val="20"/>
          <w:szCs w:val="20"/>
          <w:highlight w:val="none"/>
          <w:lang w:val="en-US" w:eastAsia="zh-CN"/>
        </w:rPr>
        <w:t>股份有限公司</w:t>
      </w:r>
    </w:p>
    <w:p w14:paraId="4896C5B5">
      <w:pPr>
        <w:ind w:right="211"/>
        <w:jc w:val="right"/>
        <w:rPr>
          <w:rFonts w:ascii="仿宋_GB2312" w:hAnsi="Times New Roman" w:eastAsia="仿宋_GB2312" w:cs="Times New Roman"/>
          <w:color w:val="auto"/>
          <w:spacing w:val="-1"/>
          <w:sz w:val="20"/>
          <w:szCs w:val="20"/>
          <w:highlight w:val="none"/>
          <w:lang w:eastAsia="zh-CN"/>
        </w:rPr>
      </w:pPr>
    </w:p>
    <w:p w14:paraId="267E9269">
      <w:pPr>
        <w:ind w:left="120"/>
        <w:rPr>
          <w:rFonts w:ascii="仿宋_GB2312" w:hAnsi="Times New Roman" w:eastAsia="仿宋_GB2312" w:cs="Times New Roman"/>
          <w:b/>
          <w:color w:val="auto"/>
          <w:sz w:val="20"/>
          <w:szCs w:val="20"/>
          <w:highlight w:val="none"/>
          <w:lang w:eastAsia="zh-CN"/>
        </w:rPr>
      </w:pPr>
      <w:r>
        <w:rPr>
          <w:rFonts w:ascii="仿宋_GB2312" w:hAnsi="Times New Roman" w:eastAsia="仿宋_GB2312" w:cs="Times New Roman"/>
          <w:b/>
          <w:color w:val="auto"/>
          <w:sz w:val="20"/>
          <w:szCs w:val="20"/>
          <w:highlight w:val="none"/>
          <w:lang w:eastAsia="zh-CN"/>
        </w:rPr>
        <w:t>(</w:t>
      </w:r>
      <w:r>
        <w:rPr>
          <w:rFonts w:hint="eastAsia" w:ascii="仿宋_GB2312" w:hAnsi="黑体" w:eastAsia="仿宋_GB2312" w:cs="Times New Roman"/>
          <w:b/>
          <w:color w:val="auto"/>
          <w:sz w:val="20"/>
          <w:szCs w:val="20"/>
          <w:highlight w:val="none"/>
          <w:lang w:eastAsia="zh-CN"/>
        </w:rPr>
        <w:t>投资者</w:t>
      </w:r>
      <w:r>
        <w:rPr>
          <w:rFonts w:ascii="仿宋_GB2312" w:hAnsi="黑体" w:eastAsia="仿宋_GB2312" w:cs="Times New Roman"/>
          <w:b/>
          <w:color w:val="auto"/>
          <w:sz w:val="20"/>
          <w:szCs w:val="20"/>
          <w:highlight w:val="none"/>
          <w:lang w:eastAsia="zh-CN"/>
        </w:rPr>
        <w:t>签字与签章见下一页</w:t>
      </w:r>
      <w:r>
        <w:rPr>
          <w:rFonts w:ascii="仿宋_GB2312" w:hAnsi="Times New Roman" w:eastAsia="仿宋_GB2312" w:cs="Times New Roman"/>
          <w:b/>
          <w:color w:val="auto"/>
          <w:sz w:val="20"/>
          <w:szCs w:val="20"/>
          <w:highlight w:val="none"/>
          <w:lang w:eastAsia="zh-CN"/>
        </w:rPr>
        <w:t>)</w:t>
      </w:r>
    </w:p>
    <w:p w14:paraId="587BB7DD">
      <w:pPr>
        <w:rPr>
          <w:rFonts w:ascii="Times New Roman" w:hAnsi="Times New Roman" w:eastAsia="MingLiU_HKSCS" w:cs="Times New Roman"/>
          <w:color w:val="auto"/>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792785C5">
      <w:pPr>
        <w:ind w:right="1502"/>
        <w:rPr>
          <w:rFonts w:ascii="黑体" w:hAnsi="黑体" w:eastAsia="黑体" w:cs="Times New Roman"/>
          <w:color w:val="auto"/>
          <w:sz w:val="21"/>
          <w:szCs w:val="21"/>
          <w:highlight w:val="none"/>
          <w:lang w:eastAsia="zh-CN"/>
        </w:rPr>
      </w:pPr>
      <w:r>
        <w:rPr>
          <w:rFonts w:ascii="黑体" w:hAnsi="黑体" w:eastAsia="黑体" w:cs="Times New Roman"/>
          <w:color w:val="auto"/>
          <w:sz w:val="21"/>
          <w:szCs w:val="21"/>
          <w:highlight w:val="none"/>
          <w:lang w:eastAsia="zh-CN"/>
        </w:rPr>
        <w:t>签字与签章</w:t>
      </w:r>
    </w:p>
    <w:p w14:paraId="1F5770DE">
      <w:pPr>
        <w:ind w:right="1502"/>
        <w:rPr>
          <w:rFonts w:ascii="仿宋_GB2312" w:hAnsi="宋体" w:eastAsia="仿宋_GB2312" w:cs="Times New Roman"/>
          <w:color w:val="auto"/>
          <w:spacing w:val="-2"/>
          <w:sz w:val="21"/>
          <w:szCs w:val="21"/>
          <w:highlight w:val="none"/>
          <w:lang w:eastAsia="zh-CN"/>
        </w:rPr>
      </w:pPr>
      <w:r>
        <w:rPr>
          <w:rFonts w:hint="eastAsia" w:ascii="仿宋_GB2312" w:hAnsi="宋体" w:eastAsia="仿宋_GB2312" w:cs="Times New Roman"/>
          <w:color w:val="auto"/>
          <w:spacing w:val="-2"/>
          <w:sz w:val="21"/>
          <w:szCs w:val="21"/>
          <w:highlight w:val="none"/>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1D53CD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BBBE309">
            <w:pPr>
              <w:rPr>
                <w:rFonts w:ascii="仿宋_GB2312" w:hAnsi="宋体" w:eastAsia="仿宋_GB2312" w:cs="宋体"/>
                <w:color w:val="auto"/>
                <w:sz w:val="21"/>
                <w:szCs w:val="21"/>
                <w:highlight w:val="none"/>
                <w:lang w:eastAsia="zh-CN"/>
              </w:rPr>
            </w:pPr>
          </w:p>
          <w:p w14:paraId="49541BA9">
            <w:pPr>
              <w:jc w:val="both"/>
              <w:rPr>
                <w:rFonts w:ascii="仿宋_GB2312" w:hAnsi="宋体" w:eastAsia="仿宋_GB2312" w:cs="宋体"/>
                <w:color w:val="auto"/>
                <w:sz w:val="21"/>
                <w:szCs w:val="21"/>
                <w:highlight w:val="none"/>
                <w:lang w:eastAsia="zh-CN"/>
              </w:rPr>
            </w:pPr>
            <w:r>
              <w:rPr>
                <w:rFonts w:hint="eastAsia" w:ascii="仿宋_GB2312" w:hAnsi="宋体" w:eastAsia="仿宋_GB2312" w:cs="宋体"/>
                <w:color w:val="auto"/>
                <w:sz w:val="21"/>
                <w:szCs w:val="21"/>
                <w:highlight w:val="none"/>
                <w:lang w:eastAsia="zh-CN"/>
              </w:rPr>
              <w:t>投资者</w:t>
            </w:r>
            <w:r>
              <w:rPr>
                <w:rFonts w:hint="eastAsia" w:ascii="仿宋_GB2312" w:hAnsi="宋体" w:eastAsia="仿宋_GB2312" w:cs="宋体"/>
                <w:color w:val="auto"/>
                <w:spacing w:val="-3"/>
                <w:sz w:val="21"/>
                <w:szCs w:val="21"/>
                <w:highlight w:val="none"/>
                <w:lang w:eastAsia="zh-CN"/>
              </w:rPr>
              <w:t>声</w:t>
            </w:r>
            <w:r>
              <w:rPr>
                <w:rFonts w:hint="eastAsia" w:ascii="仿宋_GB2312" w:hAnsi="宋体" w:eastAsia="仿宋_GB2312" w:cs="宋体"/>
                <w:color w:val="auto"/>
                <w:sz w:val="21"/>
                <w:szCs w:val="21"/>
                <w:highlight w:val="none"/>
                <w:lang w:eastAsia="zh-CN"/>
              </w:rPr>
              <w:t>明</w:t>
            </w:r>
            <w:r>
              <w:rPr>
                <w:rFonts w:hint="eastAsia" w:ascii="仿宋_GB2312" w:hAnsi="宋体" w:eastAsia="仿宋_GB2312" w:cs="宋体"/>
                <w:color w:val="auto"/>
                <w:spacing w:val="-3"/>
                <w:sz w:val="21"/>
                <w:szCs w:val="21"/>
                <w:highlight w:val="none"/>
                <w:lang w:eastAsia="zh-CN"/>
              </w:rPr>
              <w:t>：</w:t>
            </w:r>
            <w:r>
              <w:rPr>
                <w:rFonts w:hint="eastAsia" w:ascii="仿宋_GB2312" w:hAnsi="宋体" w:eastAsia="仿宋_GB2312" w:cs="宋体"/>
                <w:color w:val="auto"/>
                <w:sz w:val="21"/>
                <w:szCs w:val="21"/>
                <w:highlight w:val="none"/>
                <w:lang w:eastAsia="zh-CN"/>
              </w:rPr>
              <w:t>本</w:t>
            </w:r>
            <w:r>
              <w:rPr>
                <w:rFonts w:hint="eastAsia" w:ascii="仿宋_GB2312" w:hAnsi="宋体" w:eastAsia="仿宋_GB2312" w:cs="宋体"/>
                <w:color w:val="auto"/>
                <w:spacing w:val="-3"/>
                <w:sz w:val="21"/>
                <w:szCs w:val="21"/>
                <w:highlight w:val="none"/>
                <w:lang w:eastAsia="zh-CN"/>
              </w:rPr>
              <w:t>人</w:t>
            </w:r>
            <w:r>
              <w:rPr>
                <w:rFonts w:hint="eastAsia" w:ascii="仿宋_GB2312" w:hAnsi="宋体" w:eastAsia="仿宋_GB2312" w:cs="宋体"/>
                <w:color w:val="auto"/>
                <w:sz w:val="21"/>
                <w:szCs w:val="21"/>
                <w:highlight w:val="none"/>
                <w:lang w:eastAsia="zh-CN"/>
              </w:rPr>
              <w:t>在</w:t>
            </w:r>
            <w:r>
              <w:rPr>
                <w:rFonts w:hint="eastAsia" w:ascii="仿宋_GB2312" w:hAnsi="宋体" w:eastAsia="仿宋_GB2312" w:cs="宋体"/>
                <w:color w:val="auto"/>
                <w:spacing w:val="-3"/>
                <w:sz w:val="21"/>
                <w:szCs w:val="21"/>
                <w:highlight w:val="none"/>
                <w:lang w:eastAsia="zh-CN"/>
              </w:rPr>
              <w:t>购</w:t>
            </w:r>
            <w:r>
              <w:rPr>
                <w:rFonts w:hint="eastAsia" w:ascii="仿宋_GB2312" w:hAnsi="宋体" w:eastAsia="仿宋_GB2312" w:cs="宋体"/>
                <w:color w:val="auto"/>
                <w:sz w:val="21"/>
                <w:szCs w:val="21"/>
                <w:highlight w:val="none"/>
                <w:lang w:eastAsia="zh-CN"/>
              </w:rPr>
              <w:t>买</w:t>
            </w:r>
            <w:r>
              <w:rPr>
                <w:rFonts w:hint="eastAsia" w:ascii="仿宋_GB2312" w:hAnsi="宋体" w:eastAsia="仿宋_GB2312" w:cs="宋体"/>
                <w:color w:val="auto"/>
                <w:spacing w:val="-3"/>
                <w:sz w:val="21"/>
                <w:szCs w:val="21"/>
                <w:highlight w:val="none"/>
                <w:lang w:eastAsia="zh-CN"/>
              </w:rPr>
              <w:t>本</w:t>
            </w:r>
            <w:r>
              <w:rPr>
                <w:rFonts w:hint="eastAsia" w:ascii="仿宋_GB2312" w:hAnsi="宋体" w:eastAsia="仿宋_GB2312" w:cs="宋体"/>
                <w:color w:val="auto"/>
                <w:sz w:val="21"/>
                <w:szCs w:val="21"/>
                <w:highlight w:val="none"/>
                <w:lang w:eastAsia="zh-CN"/>
              </w:rPr>
              <w:t>期产</w:t>
            </w:r>
            <w:r>
              <w:rPr>
                <w:rFonts w:hint="eastAsia" w:ascii="仿宋_GB2312" w:hAnsi="宋体" w:eastAsia="仿宋_GB2312" w:cs="宋体"/>
                <w:color w:val="auto"/>
                <w:spacing w:val="-3"/>
                <w:sz w:val="21"/>
                <w:szCs w:val="21"/>
                <w:highlight w:val="none"/>
                <w:lang w:eastAsia="zh-CN"/>
              </w:rPr>
              <w:t>品</w:t>
            </w:r>
            <w:r>
              <w:rPr>
                <w:rFonts w:hint="eastAsia" w:ascii="仿宋_GB2312" w:hAnsi="宋体" w:eastAsia="仿宋_GB2312" w:cs="宋体"/>
                <w:color w:val="auto"/>
                <w:sz w:val="21"/>
                <w:szCs w:val="21"/>
                <w:highlight w:val="none"/>
                <w:lang w:eastAsia="zh-CN"/>
              </w:rPr>
              <w:t>前</w:t>
            </w:r>
            <w:r>
              <w:rPr>
                <w:rFonts w:hint="eastAsia" w:ascii="仿宋_GB2312" w:hAnsi="宋体" w:eastAsia="仿宋_GB2312" w:cs="宋体"/>
                <w:color w:val="auto"/>
                <w:spacing w:val="-3"/>
                <w:sz w:val="21"/>
                <w:szCs w:val="21"/>
                <w:highlight w:val="none"/>
                <w:lang w:eastAsia="zh-CN"/>
              </w:rPr>
              <w:t>已</w:t>
            </w:r>
            <w:r>
              <w:rPr>
                <w:rFonts w:hint="eastAsia" w:ascii="仿宋_GB2312" w:hAnsi="宋体" w:eastAsia="仿宋_GB2312" w:cs="宋体"/>
                <w:color w:val="auto"/>
                <w:sz w:val="21"/>
                <w:szCs w:val="21"/>
                <w:highlight w:val="none"/>
                <w:lang w:eastAsia="zh-CN"/>
              </w:rPr>
              <w:t>完</w:t>
            </w:r>
            <w:r>
              <w:rPr>
                <w:rFonts w:hint="eastAsia" w:ascii="仿宋_GB2312" w:hAnsi="宋体" w:eastAsia="仿宋_GB2312" w:cs="宋体"/>
                <w:color w:val="auto"/>
                <w:spacing w:val="-3"/>
                <w:sz w:val="21"/>
                <w:szCs w:val="21"/>
                <w:highlight w:val="none"/>
                <w:lang w:eastAsia="zh-CN"/>
              </w:rPr>
              <w:t>成</w:t>
            </w:r>
            <w:r>
              <w:rPr>
                <w:rFonts w:hint="eastAsia" w:ascii="仿宋_GB2312" w:hAnsi="宋体" w:eastAsia="仿宋_GB2312" w:cs="宋体"/>
                <w:color w:val="auto"/>
                <w:sz w:val="21"/>
                <w:szCs w:val="21"/>
                <w:highlight w:val="none"/>
                <w:lang w:eastAsia="zh-CN"/>
              </w:rPr>
              <w:t>风</w:t>
            </w:r>
            <w:r>
              <w:rPr>
                <w:rFonts w:hint="eastAsia" w:ascii="仿宋_GB2312" w:hAnsi="宋体" w:eastAsia="仿宋_GB2312" w:cs="宋体"/>
                <w:color w:val="auto"/>
                <w:spacing w:val="-3"/>
                <w:sz w:val="21"/>
                <w:szCs w:val="21"/>
                <w:highlight w:val="none"/>
                <w:lang w:eastAsia="zh-CN"/>
              </w:rPr>
              <w:t>险</w:t>
            </w:r>
            <w:r>
              <w:rPr>
                <w:rFonts w:hint="eastAsia" w:ascii="仿宋_GB2312" w:hAnsi="宋体" w:eastAsia="仿宋_GB2312" w:cs="宋体"/>
                <w:color w:val="auto"/>
                <w:sz w:val="21"/>
                <w:szCs w:val="21"/>
                <w:highlight w:val="none"/>
                <w:lang w:eastAsia="zh-CN"/>
              </w:rPr>
              <w:t>承</w:t>
            </w:r>
            <w:r>
              <w:rPr>
                <w:rFonts w:hint="eastAsia" w:ascii="仿宋_GB2312" w:hAnsi="宋体" w:eastAsia="仿宋_GB2312" w:cs="宋体"/>
                <w:color w:val="auto"/>
                <w:spacing w:val="-3"/>
                <w:sz w:val="21"/>
                <w:szCs w:val="21"/>
                <w:highlight w:val="none"/>
                <w:lang w:eastAsia="zh-CN"/>
              </w:rPr>
              <w:t>受</w:t>
            </w:r>
            <w:r>
              <w:rPr>
                <w:rFonts w:hint="eastAsia" w:ascii="仿宋_GB2312" w:hAnsi="宋体" w:eastAsia="仿宋_GB2312" w:cs="宋体"/>
                <w:color w:val="auto"/>
                <w:sz w:val="21"/>
                <w:szCs w:val="21"/>
                <w:highlight w:val="none"/>
                <w:lang w:eastAsia="zh-CN"/>
              </w:rPr>
              <w:t>能力</w:t>
            </w:r>
            <w:r>
              <w:rPr>
                <w:rFonts w:hint="eastAsia" w:ascii="仿宋_GB2312" w:hAnsi="宋体" w:eastAsia="仿宋_GB2312" w:cs="宋体"/>
                <w:color w:val="auto"/>
                <w:spacing w:val="-3"/>
                <w:sz w:val="21"/>
                <w:szCs w:val="21"/>
                <w:highlight w:val="none"/>
                <w:lang w:eastAsia="zh-CN"/>
              </w:rPr>
              <w:t>评</w:t>
            </w:r>
            <w:r>
              <w:rPr>
                <w:rFonts w:hint="eastAsia" w:ascii="仿宋_GB2312" w:hAnsi="宋体" w:eastAsia="仿宋_GB2312" w:cs="宋体"/>
                <w:color w:val="auto"/>
                <w:sz w:val="21"/>
                <w:szCs w:val="21"/>
                <w:highlight w:val="none"/>
                <w:lang w:eastAsia="zh-CN"/>
              </w:rPr>
              <w:t>估</w:t>
            </w:r>
            <w:r>
              <w:rPr>
                <w:rFonts w:hint="eastAsia" w:ascii="仿宋_GB2312" w:hAnsi="宋体" w:eastAsia="仿宋_GB2312" w:cs="宋体"/>
                <w:color w:val="auto"/>
                <w:spacing w:val="-3"/>
                <w:sz w:val="21"/>
                <w:szCs w:val="21"/>
                <w:highlight w:val="none"/>
                <w:lang w:eastAsia="zh-CN"/>
              </w:rPr>
              <w:t>，</w:t>
            </w:r>
            <w:r>
              <w:rPr>
                <w:rFonts w:hint="eastAsia" w:ascii="仿宋_GB2312" w:hAnsi="宋体" w:eastAsia="仿宋_GB2312" w:cs="宋体"/>
                <w:color w:val="auto"/>
                <w:sz w:val="21"/>
                <w:szCs w:val="21"/>
                <w:highlight w:val="none"/>
                <w:lang w:eastAsia="zh-CN"/>
              </w:rPr>
              <w:t>且</w:t>
            </w:r>
            <w:r>
              <w:rPr>
                <w:rFonts w:hint="eastAsia" w:ascii="仿宋_GB2312" w:hAnsi="宋体" w:eastAsia="仿宋_GB2312" w:cs="宋体"/>
                <w:color w:val="auto"/>
                <w:spacing w:val="-3"/>
                <w:sz w:val="21"/>
                <w:szCs w:val="21"/>
                <w:highlight w:val="none"/>
                <w:lang w:eastAsia="zh-CN"/>
              </w:rPr>
              <w:t>该</w:t>
            </w:r>
            <w:r>
              <w:rPr>
                <w:rFonts w:hint="eastAsia" w:ascii="仿宋_GB2312" w:hAnsi="宋体" w:eastAsia="仿宋_GB2312" w:cs="宋体"/>
                <w:color w:val="auto"/>
                <w:sz w:val="21"/>
                <w:szCs w:val="21"/>
                <w:highlight w:val="none"/>
                <w:lang w:eastAsia="zh-CN"/>
              </w:rPr>
              <w:t>评</w:t>
            </w:r>
            <w:r>
              <w:rPr>
                <w:rFonts w:hint="eastAsia" w:ascii="仿宋_GB2312" w:hAnsi="宋体" w:eastAsia="仿宋_GB2312" w:cs="宋体"/>
                <w:color w:val="auto"/>
                <w:spacing w:val="-3"/>
                <w:sz w:val="21"/>
                <w:szCs w:val="21"/>
                <w:highlight w:val="none"/>
                <w:lang w:eastAsia="zh-CN"/>
              </w:rPr>
              <w:t>估</w:t>
            </w:r>
            <w:r>
              <w:rPr>
                <w:rFonts w:hint="eastAsia" w:ascii="仿宋_GB2312" w:hAnsi="宋体" w:eastAsia="仿宋_GB2312" w:cs="宋体"/>
                <w:color w:val="auto"/>
                <w:sz w:val="21"/>
                <w:szCs w:val="21"/>
                <w:highlight w:val="none"/>
                <w:lang w:eastAsia="zh-CN"/>
              </w:rPr>
              <w:t>结</w:t>
            </w:r>
            <w:r>
              <w:rPr>
                <w:rFonts w:hint="eastAsia" w:ascii="仿宋_GB2312" w:hAnsi="宋体" w:eastAsia="仿宋_GB2312" w:cs="宋体"/>
                <w:color w:val="auto"/>
                <w:spacing w:val="-3"/>
                <w:sz w:val="21"/>
                <w:szCs w:val="21"/>
                <w:highlight w:val="none"/>
                <w:lang w:eastAsia="zh-CN"/>
              </w:rPr>
              <w:t>果</w:t>
            </w:r>
            <w:r>
              <w:rPr>
                <w:rFonts w:hint="eastAsia" w:ascii="仿宋_GB2312" w:hAnsi="宋体" w:eastAsia="仿宋_GB2312" w:cs="宋体"/>
                <w:color w:val="auto"/>
                <w:sz w:val="21"/>
                <w:szCs w:val="21"/>
                <w:highlight w:val="none"/>
                <w:lang w:eastAsia="zh-CN"/>
              </w:rPr>
              <w:t>具有</w:t>
            </w:r>
            <w:r>
              <w:rPr>
                <w:rFonts w:hint="eastAsia" w:ascii="仿宋_GB2312" w:hAnsi="宋体" w:eastAsia="仿宋_GB2312" w:cs="宋体"/>
                <w:color w:val="auto"/>
                <w:spacing w:val="-3"/>
                <w:sz w:val="21"/>
                <w:szCs w:val="21"/>
                <w:highlight w:val="none"/>
                <w:lang w:eastAsia="zh-CN"/>
              </w:rPr>
              <w:t>效</w:t>
            </w:r>
            <w:r>
              <w:rPr>
                <w:rFonts w:hint="eastAsia" w:ascii="仿宋_GB2312" w:hAnsi="宋体" w:eastAsia="仿宋_GB2312" w:cs="宋体"/>
                <w:color w:val="auto"/>
                <w:sz w:val="21"/>
                <w:szCs w:val="21"/>
                <w:highlight w:val="none"/>
                <w:lang w:eastAsia="zh-CN"/>
              </w:rPr>
              <w:t>力。</w:t>
            </w:r>
          </w:p>
          <w:p w14:paraId="4B172981">
            <w:pPr>
              <w:jc w:val="both"/>
              <w:rPr>
                <w:rFonts w:ascii="仿宋_GB2312" w:hAnsi="宋体" w:eastAsia="仿宋_GB2312" w:cs="宋体"/>
                <w:color w:val="auto"/>
                <w:sz w:val="21"/>
                <w:szCs w:val="21"/>
                <w:highlight w:val="none"/>
                <w:lang w:eastAsia="zh-CN"/>
              </w:rPr>
            </w:pPr>
            <w:r>
              <w:rPr>
                <w:rFonts w:hint="eastAsia" w:ascii="仿宋_GB2312" w:hAnsi="宋体" w:eastAsia="仿宋_GB2312" w:cs="宋体"/>
                <w:color w:val="auto"/>
                <w:sz w:val="21"/>
                <w:szCs w:val="21"/>
                <w:highlight w:val="none"/>
                <w:lang w:eastAsia="zh-CN"/>
              </w:rPr>
              <w:t>本人</w:t>
            </w:r>
            <w:r>
              <w:rPr>
                <w:rFonts w:hint="eastAsia" w:ascii="仿宋_GB2312" w:hAnsi="宋体" w:eastAsia="仿宋_GB2312" w:cs="宋体"/>
                <w:color w:val="auto"/>
                <w:spacing w:val="-3"/>
                <w:sz w:val="21"/>
                <w:szCs w:val="21"/>
                <w:highlight w:val="none"/>
                <w:lang w:eastAsia="zh-CN"/>
              </w:rPr>
              <w:t>风</w:t>
            </w:r>
            <w:r>
              <w:rPr>
                <w:rFonts w:hint="eastAsia" w:ascii="仿宋_GB2312" w:hAnsi="宋体" w:eastAsia="仿宋_GB2312" w:cs="宋体"/>
                <w:color w:val="auto"/>
                <w:sz w:val="21"/>
                <w:szCs w:val="21"/>
                <w:highlight w:val="none"/>
                <w:lang w:eastAsia="zh-CN"/>
              </w:rPr>
              <w:t>险</w:t>
            </w:r>
            <w:r>
              <w:rPr>
                <w:rFonts w:hint="eastAsia" w:ascii="仿宋_GB2312" w:hAnsi="宋体" w:eastAsia="仿宋_GB2312" w:cs="宋体"/>
                <w:color w:val="auto"/>
                <w:spacing w:val="-3"/>
                <w:sz w:val="21"/>
                <w:szCs w:val="21"/>
                <w:highlight w:val="none"/>
                <w:lang w:eastAsia="zh-CN"/>
              </w:rPr>
              <w:t>承</w:t>
            </w:r>
            <w:r>
              <w:rPr>
                <w:rFonts w:hint="eastAsia" w:ascii="仿宋_GB2312" w:hAnsi="宋体" w:eastAsia="仿宋_GB2312" w:cs="宋体"/>
                <w:color w:val="auto"/>
                <w:sz w:val="21"/>
                <w:szCs w:val="21"/>
                <w:highlight w:val="none"/>
                <w:lang w:eastAsia="zh-CN"/>
              </w:rPr>
              <w:t>受</w:t>
            </w:r>
            <w:r>
              <w:rPr>
                <w:rFonts w:hint="eastAsia" w:ascii="仿宋_GB2312" w:hAnsi="宋体" w:eastAsia="仿宋_GB2312" w:cs="宋体"/>
                <w:color w:val="auto"/>
                <w:spacing w:val="-3"/>
                <w:sz w:val="21"/>
                <w:szCs w:val="21"/>
                <w:highlight w:val="none"/>
                <w:lang w:eastAsia="zh-CN"/>
              </w:rPr>
              <w:t>能</w:t>
            </w:r>
            <w:r>
              <w:rPr>
                <w:rFonts w:hint="eastAsia" w:ascii="仿宋_GB2312" w:hAnsi="宋体" w:eastAsia="仿宋_GB2312" w:cs="宋体"/>
                <w:color w:val="auto"/>
                <w:sz w:val="21"/>
                <w:szCs w:val="21"/>
                <w:highlight w:val="none"/>
                <w:lang w:eastAsia="zh-CN"/>
              </w:rPr>
              <w:t>力</w:t>
            </w:r>
            <w:r>
              <w:rPr>
                <w:rFonts w:hint="eastAsia" w:ascii="仿宋_GB2312" w:hAnsi="宋体" w:eastAsia="仿宋_GB2312" w:cs="宋体"/>
                <w:color w:val="auto"/>
                <w:spacing w:val="-3"/>
                <w:sz w:val="21"/>
                <w:szCs w:val="21"/>
                <w:highlight w:val="none"/>
                <w:lang w:eastAsia="zh-CN"/>
              </w:rPr>
              <w:t>评</w:t>
            </w:r>
            <w:r>
              <w:rPr>
                <w:rFonts w:hint="eastAsia" w:ascii="仿宋_GB2312" w:hAnsi="宋体" w:eastAsia="仿宋_GB2312" w:cs="宋体"/>
                <w:color w:val="auto"/>
                <w:sz w:val="21"/>
                <w:szCs w:val="21"/>
                <w:highlight w:val="none"/>
                <w:lang w:eastAsia="zh-CN"/>
              </w:rPr>
              <w:t>级：</w:t>
            </w:r>
            <w:r>
              <w:rPr>
                <w:rFonts w:hint="eastAsia" w:ascii="仿宋_GB2312" w:hAnsi="宋体" w:eastAsia="仿宋_GB2312" w:cs="宋体"/>
                <w:color w:val="auto"/>
                <w:sz w:val="21"/>
                <w:szCs w:val="21"/>
                <w:highlight w:val="none"/>
                <w:lang w:eastAsia="zh-CN"/>
              </w:rPr>
              <w:tab/>
            </w:r>
            <w:r>
              <w:rPr>
                <w:rFonts w:hint="eastAsia" w:ascii="仿宋_GB2312" w:hAnsi="宋体" w:eastAsia="仿宋_GB2312" w:cs="宋体"/>
                <w:color w:val="auto"/>
                <w:sz w:val="21"/>
                <w:szCs w:val="21"/>
                <w:highlight w:val="none"/>
                <w:lang w:eastAsia="zh-CN"/>
              </w:rPr>
              <w:t>（由</w:t>
            </w:r>
            <w:r>
              <w:rPr>
                <w:rFonts w:hint="eastAsia" w:ascii="仿宋_GB2312" w:hAnsi="宋体" w:eastAsia="仿宋_GB2312" w:cs="宋体"/>
                <w:color w:val="auto"/>
                <w:spacing w:val="-3"/>
                <w:sz w:val="21"/>
                <w:szCs w:val="21"/>
                <w:highlight w:val="none"/>
                <w:lang w:eastAsia="zh-CN"/>
              </w:rPr>
              <w:t>投资者</w:t>
            </w:r>
            <w:r>
              <w:rPr>
                <w:rFonts w:hint="eastAsia" w:ascii="仿宋_GB2312" w:hAnsi="宋体" w:eastAsia="仿宋_GB2312" w:cs="宋体"/>
                <w:color w:val="auto"/>
                <w:sz w:val="21"/>
                <w:szCs w:val="21"/>
                <w:highlight w:val="none"/>
                <w:lang w:eastAsia="zh-CN"/>
              </w:rPr>
              <w:t>自行</w:t>
            </w:r>
            <w:r>
              <w:rPr>
                <w:rFonts w:hint="eastAsia" w:ascii="仿宋_GB2312" w:hAnsi="宋体" w:eastAsia="仿宋_GB2312" w:cs="宋体"/>
                <w:color w:val="auto"/>
                <w:spacing w:val="-3"/>
                <w:sz w:val="21"/>
                <w:szCs w:val="21"/>
                <w:highlight w:val="none"/>
                <w:lang w:eastAsia="zh-CN"/>
              </w:rPr>
              <w:t>填</w:t>
            </w:r>
            <w:r>
              <w:rPr>
                <w:rFonts w:hint="eastAsia" w:ascii="仿宋_GB2312" w:hAnsi="宋体" w:eastAsia="仿宋_GB2312" w:cs="宋体"/>
                <w:color w:val="auto"/>
                <w:sz w:val="21"/>
                <w:szCs w:val="21"/>
                <w:highlight w:val="none"/>
                <w:lang w:eastAsia="zh-CN"/>
              </w:rPr>
              <w:t>写）</w:t>
            </w:r>
          </w:p>
          <w:p w14:paraId="17567D00">
            <w:pPr>
              <w:jc w:val="both"/>
              <w:rPr>
                <w:rFonts w:ascii="仿宋_GB2312" w:hAnsi="宋体" w:eastAsia="仿宋_GB2312" w:cs="宋体"/>
                <w:color w:val="auto"/>
                <w:sz w:val="21"/>
                <w:szCs w:val="21"/>
                <w:highlight w:val="none"/>
                <w:lang w:eastAsia="zh-CN"/>
              </w:rPr>
            </w:pPr>
            <w:r>
              <w:rPr>
                <w:rFonts w:hint="eastAsia" w:ascii="仿宋_GB2312" w:hAnsi="宋体" w:eastAsia="仿宋_GB2312" w:cs="宋体"/>
                <w:color w:val="auto"/>
                <w:sz w:val="21"/>
                <w:szCs w:val="21"/>
                <w:highlight w:val="none"/>
                <w:lang w:eastAsia="zh-CN"/>
              </w:rPr>
              <w:t>根据</w:t>
            </w:r>
            <w:r>
              <w:rPr>
                <w:rFonts w:hint="eastAsia" w:ascii="仿宋_GB2312" w:hAnsi="宋体" w:eastAsia="仿宋_GB2312" w:cs="宋体"/>
                <w:color w:val="auto"/>
                <w:spacing w:val="-3"/>
                <w:sz w:val="21"/>
                <w:szCs w:val="21"/>
                <w:highlight w:val="none"/>
                <w:lang w:eastAsia="zh-CN"/>
              </w:rPr>
              <w:t>监</w:t>
            </w:r>
            <w:r>
              <w:rPr>
                <w:rFonts w:hint="eastAsia" w:ascii="仿宋_GB2312" w:hAnsi="宋体" w:eastAsia="仿宋_GB2312" w:cs="宋体"/>
                <w:color w:val="auto"/>
                <w:sz w:val="21"/>
                <w:szCs w:val="21"/>
                <w:highlight w:val="none"/>
                <w:lang w:eastAsia="zh-CN"/>
              </w:rPr>
              <w:t>管</w:t>
            </w:r>
            <w:r>
              <w:rPr>
                <w:rFonts w:hint="eastAsia" w:ascii="仿宋_GB2312" w:hAnsi="宋体" w:eastAsia="仿宋_GB2312" w:cs="宋体"/>
                <w:color w:val="auto"/>
                <w:spacing w:val="-3"/>
                <w:sz w:val="21"/>
                <w:szCs w:val="21"/>
                <w:highlight w:val="none"/>
                <w:lang w:eastAsia="zh-CN"/>
              </w:rPr>
              <w:t>部</w:t>
            </w:r>
            <w:r>
              <w:rPr>
                <w:rFonts w:hint="eastAsia" w:ascii="仿宋_GB2312" w:hAnsi="宋体" w:eastAsia="仿宋_GB2312" w:cs="宋体"/>
                <w:color w:val="auto"/>
                <w:sz w:val="21"/>
                <w:szCs w:val="21"/>
                <w:highlight w:val="none"/>
                <w:lang w:eastAsia="zh-CN"/>
              </w:rPr>
              <w:t>门</w:t>
            </w:r>
            <w:r>
              <w:rPr>
                <w:rFonts w:hint="eastAsia" w:ascii="仿宋_GB2312" w:hAnsi="宋体" w:eastAsia="仿宋_GB2312" w:cs="宋体"/>
                <w:color w:val="auto"/>
                <w:spacing w:val="-3"/>
                <w:sz w:val="21"/>
                <w:szCs w:val="21"/>
                <w:highlight w:val="none"/>
                <w:lang w:eastAsia="zh-CN"/>
              </w:rPr>
              <w:t>的</w:t>
            </w:r>
            <w:r>
              <w:rPr>
                <w:rFonts w:hint="eastAsia" w:ascii="仿宋_GB2312" w:hAnsi="宋体" w:eastAsia="仿宋_GB2312" w:cs="宋体"/>
                <w:color w:val="auto"/>
                <w:sz w:val="21"/>
                <w:szCs w:val="21"/>
                <w:highlight w:val="none"/>
                <w:lang w:eastAsia="zh-CN"/>
              </w:rPr>
              <w:t>要</w:t>
            </w:r>
            <w:r>
              <w:rPr>
                <w:rFonts w:hint="eastAsia" w:ascii="仿宋_GB2312" w:hAnsi="宋体" w:eastAsia="仿宋_GB2312" w:cs="宋体"/>
                <w:color w:val="auto"/>
                <w:spacing w:val="-3"/>
                <w:sz w:val="21"/>
                <w:szCs w:val="21"/>
                <w:highlight w:val="none"/>
                <w:lang w:eastAsia="zh-CN"/>
              </w:rPr>
              <w:t>求</w:t>
            </w:r>
            <w:r>
              <w:rPr>
                <w:rFonts w:hint="eastAsia" w:ascii="仿宋_GB2312" w:hAnsi="宋体" w:eastAsia="仿宋_GB2312" w:cs="宋体"/>
                <w:color w:val="auto"/>
                <w:spacing w:val="-29"/>
                <w:sz w:val="21"/>
                <w:szCs w:val="21"/>
                <w:highlight w:val="none"/>
                <w:lang w:eastAsia="zh-CN"/>
              </w:rPr>
              <w:t>，</w:t>
            </w:r>
            <w:r>
              <w:rPr>
                <w:rFonts w:hint="eastAsia" w:ascii="仿宋_GB2312" w:hAnsi="宋体" w:eastAsia="仿宋_GB2312" w:cs="宋体"/>
                <w:color w:val="auto"/>
                <w:spacing w:val="-3"/>
                <w:sz w:val="21"/>
                <w:szCs w:val="21"/>
                <w:highlight w:val="none"/>
                <w:lang w:eastAsia="zh-CN"/>
              </w:rPr>
              <w:t>为</w:t>
            </w:r>
            <w:r>
              <w:rPr>
                <w:rFonts w:hint="eastAsia" w:ascii="仿宋_GB2312" w:hAnsi="宋体" w:eastAsia="仿宋_GB2312" w:cs="宋体"/>
                <w:color w:val="auto"/>
                <w:sz w:val="21"/>
                <w:szCs w:val="21"/>
                <w:highlight w:val="none"/>
                <w:lang w:eastAsia="zh-CN"/>
              </w:rPr>
              <w:t>确保</w:t>
            </w:r>
            <w:r>
              <w:rPr>
                <w:rFonts w:hint="eastAsia" w:ascii="仿宋_GB2312" w:hAnsi="宋体" w:eastAsia="仿宋_GB2312" w:cs="宋体"/>
                <w:color w:val="auto"/>
                <w:spacing w:val="-3"/>
                <w:sz w:val="21"/>
                <w:szCs w:val="21"/>
                <w:highlight w:val="none"/>
                <w:lang w:eastAsia="zh-CN"/>
              </w:rPr>
              <w:t>投资者充</w:t>
            </w:r>
            <w:r>
              <w:rPr>
                <w:rFonts w:hint="eastAsia" w:ascii="仿宋_GB2312" w:hAnsi="宋体" w:eastAsia="仿宋_GB2312" w:cs="宋体"/>
                <w:color w:val="auto"/>
                <w:sz w:val="21"/>
                <w:szCs w:val="21"/>
                <w:highlight w:val="none"/>
                <w:lang w:eastAsia="zh-CN"/>
              </w:rPr>
              <w:t>分</w:t>
            </w:r>
            <w:r>
              <w:rPr>
                <w:rFonts w:hint="eastAsia" w:ascii="仿宋_GB2312" w:hAnsi="宋体" w:eastAsia="仿宋_GB2312" w:cs="宋体"/>
                <w:color w:val="auto"/>
                <w:spacing w:val="-3"/>
                <w:sz w:val="21"/>
                <w:szCs w:val="21"/>
                <w:highlight w:val="none"/>
                <w:lang w:eastAsia="zh-CN"/>
              </w:rPr>
              <w:t>理</w:t>
            </w:r>
            <w:r>
              <w:rPr>
                <w:rFonts w:hint="eastAsia" w:ascii="仿宋_GB2312" w:hAnsi="宋体" w:eastAsia="仿宋_GB2312" w:cs="宋体"/>
                <w:color w:val="auto"/>
                <w:sz w:val="21"/>
                <w:szCs w:val="21"/>
                <w:highlight w:val="none"/>
                <w:lang w:eastAsia="zh-CN"/>
              </w:rPr>
              <w:t>解</w:t>
            </w:r>
            <w:r>
              <w:rPr>
                <w:rFonts w:hint="eastAsia" w:ascii="仿宋_GB2312" w:hAnsi="宋体" w:eastAsia="仿宋_GB2312" w:cs="宋体"/>
                <w:color w:val="auto"/>
                <w:spacing w:val="-3"/>
                <w:sz w:val="21"/>
                <w:szCs w:val="21"/>
                <w:highlight w:val="none"/>
                <w:lang w:eastAsia="zh-CN"/>
              </w:rPr>
              <w:t>本</w:t>
            </w:r>
            <w:r>
              <w:rPr>
                <w:rFonts w:hint="eastAsia" w:ascii="仿宋_GB2312" w:hAnsi="宋体" w:eastAsia="仿宋_GB2312" w:cs="宋体"/>
                <w:color w:val="auto"/>
                <w:sz w:val="21"/>
                <w:szCs w:val="21"/>
                <w:highlight w:val="none"/>
                <w:lang w:eastAsia="zh-CN"/>
              </w:rPr>
              <w:t>期</w:t>
            </w:r>
            <w:r>
              <w:rPr>
                <w:rFonts w:hint="eastAsia" w:ascii="仿宋_GB2312" w:hAnsi="宋体" w:eastAsia="仿宋_GB2312" w:cs="宋体"/>
                <w:color w:val="auto"/>
                <w:spacing w:val="-3"/>
                <w:sz w:val="21"/>
                <w:szCs w:val="21"/>
                <w:highlight w:val="none"/>
                <w:lang w:eastAsia="zh-CN"/>
              </w:rPr>
              <w:t>产</w:t>
            </w:r>
            <w:r>
              <w:rPr>
                <w:rFonts w:hint="eastAsia" w:ascii="仿宋_GB2312" w:hAnsi="宋体" w:eastAsia="仿宋_GB2312" w:cs="宋体"/>
                <w:color w:val="auto"/>
                <w:sz w:val="21"/>
                <w:szCs w:val="21"/>
                <w:highlight w:val="none"/>
                <w:lang w:eastAsia="zh-CN"/>
              </w:rPr>
              <w:t>品的</w:t>
            </w:r>
            <w:r>
              <w:rPr>
                <w:rFonts w:hint="eastAsia" w:ascii="仿宋_GB2312" w:hAnsi="宋体" w:eastAsia="仿宋_GB2312" w:cs="宋体"/>
                <w:color w:val="auto"/>
                <w:spacing w:val="-3"/>
                <w:sz w:val="21"/>
                <w:szCs w:val="21"/>
                <w:highlight w:val="none"/>
                <w:lang w:eastAsia="zh-CN"/>
              </w:rPr>
              <w:t>风险</w:t>
            </w:r>
            <w:r>
              <w:rPr>
                <w:rFonts w:hint="eastAsia" w:ascii="仿宋_GB2312" w:hAnsi="宋体" w:eastAsia="仿宋_GB2312" w:cs="宋体"/>
                <w:color w:val="auto"/>
                <w:spacing w:val="-27"/>
                <w:sz w:val="21"/>
                <w:szCs w:val="21"/>
                <w:highlight w:val="none"/>
                <w:lang w:eastAsia="zh-CN"/>
              </w:rPr>
              <w:t>，</w:t>
            </w:r>
            <w:r>
              <w:rPr>
                <w:rFonts w:hint="eastAsia" w:ascii="仿宋_GB2312" w:hAnsi="宋体" w:eastAsia="仿宋_GB2312" w:cs="宋体"/>
                <w:color w:val="auto"/>
                <w:spacing w:val="-3"/>
                <w:sz w:val="21"/>
                <w:szCs w:val="21"/>
                <w:highlight w:val="none"/>
                <w:lang w:eastAsia="zh-CN"/>
              </w:rPr>
              <w:t>请</w:t>
            </w:r>
            <w:r>
              <w:rPr>
                <w:rFonts w:hint="eastAsia" w:ascii="仿宋_GB2312" w:hAnsi="宋体" w:eastAsia="仿宋_GB2312" w:cs="宋体"/>
                <w:color w:val="auto"/>
                <w:sz w:val="21"/>
                <w:szCs w:val="21"/>
                <w:highlight w:val="none"/>
                <w:lang w:eastAsia="zh-CN"/>
              </w:rPr>
              <w:t>在</w:t>
            </w:r>
            <w:r>
              <w:rPr>
                <w:rFonts w:hint="eastAsia" w:ascii="仿宋_GB2312" w:hAnsi="宋体" w:eastAsia="仿宋_GB2312" w:cs="宋体"/>
                <w:color w:val="auto"/>
                <w:spacing w:val="-3"/>
                <w:sz w:val="21"/>
                <w:szCs w:val="21"/>
                <w:highlight w:val="none"/>
                <w:lang w:eastAsia="zh-CN"/>
              </w:rPr>
              <w:t>确</w:t>
            </w:r>
            <w:r>
              <w:rPr>
                <w:rFonts w:hint="eastAsia" w:ascii="仿宋_GB2312" w:hAnsi="宋体" w:eastAsia="仿宋_GB2312" w:cs="宋体"/>
                <w:color w:val="auto"/>
                <w:sz w:val="21"/>
                <w:szCs w:val="21"/>
                <w:highlight w:val="none"/>
                <w:lang w:eastAsia="zh-CN"/>
              </w:rPr>
              <w:t>认</w:t>
            </w:r>
            <w:r>
              <w:rPr>
                <w:rFonts w:hint="eastAsia" w:ascii="仿宋_GB2312" w:hAnsi="宋体" w:eastAsia="仿宋_GB2312" w:cs="宋体"/>
                <w:color w:val="auto"/>
                <w:spacing w:val="-3"/>
                <w:sz w:val="21"/>
                <w:szCs w:val="21"/>
                <w:highlight w:val="none"/>
                <w:lang w:eastAsia="zh-CN"/>
              </w:rPr>
              <w:t>栏抄</w:t>
            </w:r>
            <w:r>
              <w:rPr>
                <w:rFonts w:hint="eastAsia" w:ascii="仿宋_GB2312" w:hAnsi="宋体" w:eastAsia="仿宋_GB2312" w:cs="宋体"/>
                <w:color w:val="auto"/>
                <w:sz w:val="21"/>
                <w:szCs w:val="21"/>
                <w:highlight w:val="none"/>
                <w:lang w:eastAsia="zh-CN"/>
              </w:rPr>
              <w:t>录以</w:t>
            </w:r>
            <w:r>
              <w:rPr>
                <w:rFonts w:hint="eastAsia" w:ascii="仿宋_GB2312" w:hAnsi="宋体" w:eastAsia="仿宋_GB2312" w:cs="宋体"/>
                <w:color w:val="auto"/>
                <w:spacing w:val="-3"/>
                <w:sz w:val="21"/>
                <w:szCs w:val="21"/>
                <w:highlight w:val="none"/>
                <w:lang w:eastAsia="zh-CN"/>
              </w:rPr>
              <w:t>下</w:t>
            </w:r>
            <w:r>
              <w:rPr>
                <w:rFonts w:hint="eastAsia" w:ascii="仿宋_GB2312" w:hAnsi="宋体" w:eastAsia="仿宋_GB2312" w:cs="宋体"/>
                <w:color w:val="auto"/>
                <w:sz w:val="21"/>
                <w:szCs w:val="21"/>
                <w:highlight w:val="none"/>
                <w:lang w:eastAsia="zh-CN"/>
              </w:rPr>
              <w:t>语</w:t>
            </w:r>
            <w:r>
              <w:rPr>
                <w:rFonts w:hint="eastAsia" w:ascii="仿宋_GB2312" w:hAnsi="宋体" w:eastAsia="仿宋_GB2312" w:cs="宋体"/>
                <w:color w:val="auto"/>
                <w:spacing w:val="-3"/>
                <w:sz w:val="21"/>
                <w:szCs w:val="21"/>
                <w:highlight w:val="none"/>
                <w:lang w:eastAsia="zh-CN"/>
              </w:rPr>
              <w:t>句</w:t>
            </w:r>
            <w:r>
              <w:rPr>
                <w:rFonts w:hint="eastAsia" w:ascii="仿宋_GB2312" w:hAnsi="宋体" w:eastAsia="仿宋_GB2312" w:cs="宋体"/>
                <w:color w:val="auto"/>
                <w:sz w:val="21"/>
                <w:szCs w:val="21"/>
                <w:highlight w:val="none"/>
                <w:lang w:eastAsia="zh-CN"/>
              </w:rPr>
              <w:t>并签名：</w:t>
            </w:r>
          </w:p>
          <w:p w14:paraId="47344490">
            <w:pPr>
              <w:rPr>
                <w:rFonts w:ascii="仿宋_GB2312" w:hAnsi="宋体" w:eastAsia="仿宋_GB2312" w:cs="宋体"/>
                <w:color w:val="auto"/>
                <w:sz w:val="18"/>
                <w:szCs w:val="18"/>
                <w:highlight w:val="none"/>
                <w:lang w:eastAsia="zh-CN"/>
              </w:rPr>
            </w:pPr>
          </w:p>
          <w:p w14:paraId="3EA05CC9">
            <w:pPr>
              <w:ind w:left="420"/>
              <w:rPr>
                <w:rFonts w:ascii="仿宋_GB2312" w:hAnsi="宋体" w:eastAsia="仿宋_GB2312" w:cs="宋体"/>
                <w:color w:val="auto"/>
                <w:sz w:val="30"/>
                <w:szCs w:val="30"/>
                <w:highlight w:val="none"/>
                <w:lang w:eastAsia="zh-CN"/>
              </w:rPr>
            </w:pPr>
            <w:r>
              <w:rPr>
                <w:rFonts w:hint="eastAsia" w:ascii="仿宋_GB2312" w:hAnsi="宋体" w:eastAsia="仿宋_GB2312" w:cs="宋体"/>
                <w:color w:val="auto"/>
                <w:spacing w:val="2"/>
                <w:w w:val="99"/>
                <w:sz w:val="30"/>
                <w:szCs w:val="30"/>
                <w:highlight w:val="none"/>
                <w:lang w:eastAsia="zh-CN"/>
              </w:rPr>
              <w:t>本</w:t>
            </w:r>
            <w:r>
              <w:rPr>
                <w:rFonts w:hint="eastAsia" w:ascii="仿宋_GB2312" w:hAnsi="宋体" w:eastAsia="仿宋_GB2312" w:cs="宋体"/>
                <w:color w:val="auto"/>
                <w:w w:val="99"/>
                <w:sz w:val="30"/>
                <w:szCs w:val="30"/>
                <w:highlight w:val="none"/>
                <w:lang w:eastAsia="zh-CN"/>
              </w:rPr>
              <w:t>人</w:t>
            </w:r>
            <w:r>
              <w:rPr>
                <w:rFonts w:hint="eastAsia" w:ascii="仿宋_GB2312" w:hAnsi="宋体" w:eastAsia="仿宋_GB2312" w:cs="宋体"/>
                <w:color w:val="auto"/>
                <w:spacing w:val="2"/>
                <w:w w:val="99"/>
                <w:sz w:val="30"/>
                <w:szCs w:val="30"/>
                <w:highlight w:val="none"/>
                <w:lang w:eastAsia="zh-CN"/>
              </w:rPr>
              <w:t>已</w:t>
            </w:r>
            <w:r>
              <w:rPr>
                <w:rFonts w:hint="eastAsia" w:ascii="仿宋_GB2312" w:hAnsi="宋体" w:eastAsia="仿宋_GB2312" w:cs="宋体"/>
                <w:color w:val="auto"/>
                <w:w w:val="99"/>
                <w:sz w:val="30"/>
                <w:szCs w:val="30"/>
                <w:highlight w:val="none"/>
                <w:lang w:eastAsia="zh-CN"/>
              </w:rPr>
              <w:t>经</w:t>
            </w:r>
            <w:r>
              <w:rPr>
                <w:rFonts w:hint="eastAsia" w:ascii="仿宋_GB2312" w:hAnsi="宋体" w:eastAsia="仿宋_GB2312" w:cs="宋体"/>
                <w:color w:val="auto"/>
                <w:spacing w:val="2"/>
                <w:w w:val="99"/>
                <w:sz w:val="30"/>
                <w:szCs w:val="30"/>
                <w:highlight w:val="none"/>
                <w:lang w:eastAsia="zh-CN"/>
              </w:rPr>
              <w:t>阅</w:t>
            </w:r>
            <w:r>
              <w:rPr>
                <w:rFonts w:hint="eastAsia" w:ascii="仿宋_GB2312" w:hAnsi="宋体" w:eastAsia="仿宋_GB2312" w:cs="宋体"/>
                <w:color w:val="auto"/>
                <w:w w:val="99"/>
                <w:sz w:val="30"/>
                <w:szCs w:val="30"/>
                <w:highlight w:val="none"/>
                <w:lang w:eastAsia="zh-CN"/>
              </w:rPr>
              <w:t>读</w:t>
            </w:r>
            <w:r>
              <w:rPr>
                <w:rFonts w:hint="eastAsia" w:ascii="仿宋_GB2312" w:hAnsi="宋体" w:eastAsia="仿宋_GB2312" w:cs="宋体"/>
                <w:color w:val="auto"/>
                <w:spacing w:val="2"/>
                <w:w w:val="99"/>
                <w:sz w:val="30"/>
                <w:szCs w:val="30"/>
                <w:highlight w:val="none"/>
                <w:lang w:eastAsia="zh-CN"/>
              </w:rPr>
              <w:t>风</w:t>
            </w:r>
            <w:r>
              <w:rPr>
                <w:rFonts w:hint="eastAsia" w:ascii="仿宋_GB2312" w:hAnsi="宋体" w:eastAsia="仿宋_GB2312" w:cs="宋体"/>
                <w:color w:val="auto"/>
                <w:w w:val="99"/>
                <w:sz w:val="30"/>
                <w:szCs w:val="30"/>
                <w:highlight w:val="none"/>
                <w:lang w:eastAsia="zh-CN"/>
              </w:rPr>
              <w:t>险</w:t>
            </w:r>
            <w:r>
              <w:rPr>
                <w:rFonts w:hint="eastAsia" w:ascii="仿宋_GB2312" w:hAnsi="宋体" w:eastAsia="仿宋_GB2312" w:cs="宋体"/>
                <w:color w:val="auto"/>
                <w:spacing w:val="2"/>
                <w:w w:val="99"/>
                <w:sz w:val="30"/>
                <w:szCs w:val="30"/>
                <w:highlight w:val="none"/>
                <w:lang w:eastAsia="zh-CN"/>
              </w:rPr>
              <w:t>揭</w:t>
            </w:r>
            <w:r>
              <w:rPr>
                <w:rFonts w:hint="eastAsia" w:ascii="仿宋_GB2312" w:hAnsi="宋体" w:eastAsia="仿宋_GB2312" w:cs="宋体"/>
                <w:color w:val="auto"/>
                <w:w w:val="99"/>
                <w:sz w:val="30"/>
                <w:szCs w:val="30"/>
                <w:highlight w:val="none"/>
                <w:lang w:eastAsia="zh-CN"/>
              </w:rPr>
              <w:t>示</w:t>
            </w:r>
            <w:r>
              <w:rPr>
                <w:rFonts w:hint="eastAsia" w:ascii="仿宋_GB2312" w:hAnsi="宋体" w:eastAsia="仿宋_GB2312" w:cs="宋体"/>
                <w:color w:val="auto"/>
                <w:spacing w:val="2"/>
                <w:w w:val="99"/>
                <w:sz w:val="30"/>
                <w:szCs w:val="30"/>
                <w:highlight w:val="none"/>
                <w:lang w:eastAsia="zh-CN"/>
              </w:rPr>
              <w:t>，</w:t>
            </w:r>
            <w:r>
              <w:rPr>
                <w:rFonts w:hint="eastAsia" w:ascii="仿宋_GB2312" w:hAnsi="宋体" w:eastAsia="仿宋_GB2312" w:cs="宋体"/>
                <w:color w:val="auto"/>
                <w:w w:val="99"/>
                <w:sz w:val="30"/>
                <w:szCs w:val="30"/>
                <w:highlight w:val="none"/>
                <w:lang w:eastAsia="zh-CN"/>
              </w:rPr>
              <w:t>愿</w:t>
            </w:r>
            <w:r>
              <w:rPr>
                <w:rFonts w:hint="eastAsia" w:ascii="仿宋_GB2312" w:hAnsi="宋体" w:eastAsia="仿宋_GB2312" w:cs="宋体"/>
                <w:color w:val="auto"/>
                <w:spacing w:val="2"/>
                <w:w w:val="99"/>
                <w:sz w:val="30"/>
                <w:szCs w:val="30"/>
                <w:highlight w:val="none"/>
                <w:lang w:eastAsia="zh-CN"/>
              </w:rPr>
              <w:t>意</w:t>
            </w:r>
            <w:r>
              <w:rPr>
                <w:rFonts w:hint="eastAsia" w:ascii="仿宋_GB2312" w:hAnsi="宋体" w:eastAsia="仿宋_GB2312" w:cs="宋体"/>
                <w:color w:val="auto"/>
                <w:w w:val="99"/>
                <w:sz w:val="30"/>
                <w:szCs w:val="30"/>
                <w:highlight w:val="none"/>
                <w:lang w:eastAsia="zh-CN"/>
              </w:rPr>
              <w:t>承</w:t>
            </w:r>
            <w:r>
              <w:rPr>
                <w:rFonts w:hint="eastAsia" w:ascii="仿宋_GB2312" w:hAnsi="宋体" w:eastAsia="仿宋_GB2312" w:cs="宋体"/>
                <w:color w:val="auto"/>
                <w:spacing w:val="2"/>
                <w:w w:val="99"/>
                <w:sz w:val="30"/>
                <w:szCs w:val="30"/>
                <w:highlight w:val="none"/>
                <w:lang w:eastAsia="zh-CN"/>
              </w:rPr>
              <w:t>担</w:t>
            </w:r>
            <w:r>
              <w:rPr>
                <w:rFonts w:hint="eastAsia" w:ascii="仿宋_GB2312" w:hAnsi="宋体" w:eastAsia="仿宋_GB2312" w:cs="宋体"/>
                <w:color w:val="auto"/>
                <w:w w:val="99"/>
                <w:sz w:val="30"/>
                <w:szCs w:val="30"/>
                <w:highlight w:val="none"/>
                <w:lang w:eastAsia="zh-CN"/>
              </w:rPr>
              <w:t>投</w:t>
            </w:r>
            <w:r>
              <w:rPr>
                <w:rFonts w:hint="eastAsia" w:ascii="仿宋_GB2312" w:hAnsi="宋体" w:eastAsia="仿宋_GB2312" w:cs="宋体"/>
                <w:color w:val="auto"/>
                <w:spacing w:val="2"/>
                <w:w w:val="99"/>
                <w:sz w:val="30"/>
                <w:szCs w:val="30"/>
                <w:highlight w:val="none"/>
                <w:lang w:eastAsia="zh-CN"/>
              </w:rPr>
              <w:t>资</w:t>
            </w:r>
            <w:r>
              <w:rPr>
                <w:rFonts w:hint="eastAsia" w:ascii="仿宋_GB2312" w:hAnsi="宋体" w:eastAsia="仿宋_GB2312" w:cs="宋体"/>
                <w:color w:val="auto"/>
                <w:w w:val="99"/>
                <w:sz w:val="30"/>
                <w:szCs w:val="30"/>
                <w:highlight w:val="none"/>
                <w:lang w:eastAsia="zh-CN"/>
              </w:rPr>
              <w:t>风</w:t>
            </w:r>
            <w:r>
              <w:rPr>
                <w:rFonts w:hint="eastAsia" w:ascii="仿宋_GB2312" w:hAnsi="宋体" w:eastAsia="仿宋_GB2312" w:cs="宋体"/>
                <w:color w:val="auto"/>
                <w:spacing w:val="2"/>
                <w:w w:val="99"/>
                <w:sz w:val="30"/>
                <w:szCs w:val="30"/>
                <w:highlight w:val="none"/>
                <w:lang w:eastAsia="zh-CN"/>
              </w:rPr>
              <w:t>险</w:t>
            </w:r>
            <w:r>
              <w:rPr>
                <w:rFonts w:hint="eastAsia" w:ascii="仿宋_GB2312" w:hAnsi="宋体" w:eastAsia="仿宋_GB2312" w:cs="宋体"/>
                <w:color w:val="auto"/>
                <w:w w:val="99"/>
                <w:sz w:val="30"/>
                <w:szCs w:val="30"/>
                <w:highlight w:val="none"/>
                <w:lang w:eastAsia="zh-CN"/>
              </w:rPr>
              <w:t>。</w:t>
            </w:r>
          </w:p>
          <w:p w14:paraId="249F89BF">
            <w:pPr>
              <w:rPr>
                <w:rFonts w:ascii="仿宋_GB2312" w:hAnsi="宋体" w:eastAsia="仿宋_GB2312" w:cs="宋体"/>
                <w:color w:val="auto"/>
                <w:sz w:val="20"/>
                <w:szCs w:val="20"/>
                <w:highlight w:val="none"/>
                <w:lang w:eastAsia="zh-CN"/>
              </w:rPr>
            </w:pPr>
          </w:p>
          <w:p w14:paraId="3916CE07">
            <w:pPr>
              <w:rPr>
                <w:rFonts w:ascii="仿宋_GB2312" w:hAnsi="宋体" w:eastAsia="仿宋_GB2312" w:cs="宋体"/>
                <w:color w:val="auto"/>
                <w:sz w:val="21"/>
                <w:szCs w:val="21"/>
                <w:highlight w:val="none"/>
                <w:lang w:eastAsia="zh-CN"/>
              </w:rPr>
            </w:pPr>
            <w:r>
              <w:rPr>
                <w:rFonts w:hint="eastAsia" w:ascii="仿宋_GB2312" w:hAnsi="宋体" w:eastAsia="仿宋_GB2312" w:cs="宋体"/>
                <w:color w:val="auto"/>
                <w:sz w:val="21"/>
                <w:szCs w:val="21"/>
                <w:highlight w:val="none"/>
                <w:lang w:eastAsia="zh-CN"/>
              </w:rPr>
              <w:t>投资者</w:t>
            </w:r>
            <w:r>
              <w:rPr>
                <w:rFonts w:hint="eastAsia" w:ascii="仿宋_GB2312" w:hAnsi="宋体" w:eastAsia="仿宋_GB2312" w:cs="宋体"/>
                <w:color w:val="auto"/>
                <w:spacing w:val="-3"/>
                <w:sz w:val="21"/>
                <w:szCs w:val="21"/>
                <w:highlight w:val="none"/>
                <w:lang w:eastAsia="zh-CN"/>
              </w:rPr>
              <w:t>抄</w:t>
            </w:r>
            <w:r>
              <w:rPr>
                <w:rFonts w:hint="eastAsia" w:ascii="仿宋_GB2312" w:hAnsi="宋体" w:eastAsia="仿宋_GB2312" w:cs="宋体"/>
                <w:color w:val="auto"/>
                <w:sz w:val="21"/>
                <w:szCs w:val="21"/>
                <w:highlight w:val="none"/>
                <w:lang w:eastAsia="zh-CN"/>
              </w:rPr>
              <w:t>录</w:t>
            </w:r>
            <w:r>
              <w:rPr>
                <w:rFonts w:hint="eastAsia" w:ascii="仿宋_GB2312" w:hAnsi="宋体" w:eastAsia="仿宋_GB2312" w:cs="宋体"/>
                <w:color w:val="auto"/>
                <w:spacing w:val="-3"/>
                <w:sz w:val="21"/>
                <w:szCs w:val="21"/>
                <w:highlight w:val="none"/>
                <w:lang w:eastAsia="zh-CN"/>
              </w:rPr>
              <w:t>：</w:t>
            </w:r>
          </w:p>
          <w:p w14:paraId="6364010C">
            <w:pPr>
              <w:jc w:val="both"/>
              <w:rPr>
                <w:rFonts w:ascii="仿宋_GB2312" w:hAnsi="宋体" w:eastAsia="仿宋_GB2312" w:cs="宋体"/>
                <w:color w:val="auto"/>
                <w:sz w:val="21"/>
                <w:szCs w:val="21"/>
                <w:highlight w:val="none"/>
                <w:lang w:eastAsia="zh-CN"/>
              </w:rPr>
            </w:pPr>
            <w:r>
              <w:rPr>
                <w:rFonts w:hint="eastAsia" w:ascii="仿宋_GB2312" w:hAnsi="宋体" w:eastAsia="仿宋_GB2312" w:cs="宋体"/>
                <w:color w:val="auto"/>
                <w:sz w:val="21"/>
                <w:szCs w:val="21"/>
                <w:highlight w:val="none"/>
                <w:lang w:eastAsia="zh-CN"/>
              </w:rPr>
              <w:t>（投资者声</w:t>
            </w:r>
            <w:r>
              <w:rPr>
                <w:rFonts w:hint="eastAsia" w:ascii="仿宋_GB2312" w:hAnsi="宋体" w:eastAsia="仿宋_GB2312" w:cs="宋体"/>
                <w:color w:val="auto"/>
                <w:spacing w:val="-3"/>
                <w:sz w:val="21"/>
                <w:szCs w:val="21"/>
                <w:highlight w:val="none"/>
                <w:lang w:eastAsia="zh-CN"/>
              </w:rPr>
              <w:t>明</w:t>
            </w:r>
            <w:r>
              <w:rPr>
                <w:rFonts w:hint="eastAsia" w:ascii="仿宋_GB2312" w:hAnsi="宋体" w:eastAsia="仿宋_GB2312" w:cs="宋体"/>
                <w:color w:val="auto"/>
                <w:spacing w:val="-20"/>
                <w:sz w:val="21"/>
                <w:szCs w:val="21"/>
                <w:highlight w:val="none"/>
                <w:lang w:eastAsia="zh-CN"/>
              </w:rPr>
              <w:t>：</w:t>
            </w:r>
            <w:r>
              <w:rPr>
                <w:rFonts w:hint="eastAsia" w:ascii="仿宋_GB2312" w:hAnsi="宋体" w:eastAsia="仿宋_GB2312" w:cs="宋体"/>
                <w:color w:val="auto"/>
                <w:sz w:val="21"/>
                <w:szCs w:val="21"/>
                <w:highlight w:val="none"/>
                <w:lang w:eastAsia="zh-CN"/>
              </w:rPr>
              <w:t>投</w:t>
            </w:r>
            <w:r>
              <w:rPr>
                <w:rFonts w:hint="eastAsia" w:ascii="仿宋_GB2312" w:hAnsi="宋体" w:eastAsia="仿宋_GB2312" w:cs="宋体"/>
                <w:color w:val="auto"/>
                <w:spacing w:val="-3"/>
                <w:sz w:val="21"/>
                <w:szCs w:val="21"/>
                <w:highlight w:val="none"/>
                <w:lang w:eastAsia="zh-CN"/>
              </w:rPr>
              <w:t>资</w:t>
            </w:r>
            <w:r>
              <w:rPr>
                <w:rFonts w:hint="eastAsia" w:ascii="仿宋_GB2312" w:hAnsi="宋体" w:eastAsia="仿宋_GB2312" w:cs="宋体"/>
                <w:color w:val="auto"/>
                <w:sz w:val="21"/>
                <w:szCs w:val="21"/>
                <w:highlight w:val="none"/>
                <w:lang w:eastAsia="zh-CN"/>
              </w:rPr>
              <w:t>决</w:t>
            </w:r>
            <w:r>
              <w:rPr>
                <w:rFonts w:hint="eastAsia" w:ascii="仿宋_GB2312" w:hAnsi="宋体" w:eastAsia="仿宋_GB2312" w:cs="宋体"/>
                <w:color w:val="auto"/>
                <w:spacing w:val="-3"/>
                <w:sz w:val="21"/>
                <w:szCs w:val="21"/>
                <w:highlight w:val="none"/>
                <w:lang w:eastAsia="zh-CN"/>
              </w:rPr>
              <w:t>策完</w:t>
            </w:r>
            <w:r>
              <w:rPr>
                <w:rFonts w:hint="eastAsia" w:ascii="仿宋_GB2312" w:hAnsi="宋体" w:eastAsia="仿宋_GB2312" w:cs="宋体"/>
                <w:color w:val="auto"/>
                <w:sz w:val="21"/>
                <w:szCs w:val="21"/>
                <w:highlight w:val="none"/>
                <w:lang w:eastAsia="zh-CN"/>
              </w:rPr>
              <w:t>全是</w:t>
            </w:r>
            <w:r>
              <w:rPr>
                <w:rFonts w:hint="eastAsia" w:ascii="仿宋_GB2312" w:hAnsi="宋体" w:eastAsia="仿宋_GB2312" w:cs="宋体"/>
                <w:color w:val="auto"/>
                <w:spacing w:val="-3"/>
                <w:sz w:val="21"/>
                <w:szCs w:val="21"/>
                <w:highlight w:val="none"/>
                <w:lang w:eastAsia="zh-CN"/>
              </w:rPr>
              <w:t>由</w:t>
            </w:r>
            <w:r>
              <w:rPr>
                <w:rFonts w:hint="eastAsia" w:ascii="仿宋_GB2312" w:hAnsi="宋体" w:eastAsia="仿宋_GB2312" w:cs="宋体"/>
                <w:color w:val="auto"/>
                <w:sz w:val="21"/>
                <w:szCs w:val="21"/>
                <w:highlight w:val="none"/>
                <w:lang w:eastAsia="zh-CN"/>
              </w:rPr>
              <w:t>本人独立、自主、</w:t>
            </w:r>
            <w:r>
              <w:rPr>
                <w:rFonts w:hint="eastAsia" w:ascii="仿宋_GB2312" w:hAnsi="宋体" w:eastAsia="仿宋_GB2312" w:cs="宋体"/>
                <w:color w:val="auto"/>
                <w:spacing w:val="2"/>
                <w:sz w:val="21"/>
                <w:szCs w:val="21"/>
                <w:highlight w:val="none"/>
                <w:lang w:eastAsia="zh-CN"/>
              </w:rPr>
              <w:t>谨</w:t>
            </w:r>
            <w:r>
              <w:rPr>
                <w:rFonts w:hint="eastAsia" w:ascii="仿宋_GB2312" w:hAnsi="宋体" w:eastAsia="仿宋_GB2312" w:cs="宋体"/>
                <w:color w:val="auto"/>
                <w:sz w:val="21"/>
                <w:szCs w:val="21"/>
                <w:highlight w:val="none"/>
                <w:lang w:eastAsia="zh-CN"/>
              </w:rPr>
              <w:t>慎做出的。</w:t>
            </w:r>
            <w:r>
              <w:rPr>
                <w:rFonts w:hint="eastAsia" w:ascii="仿宋_GB2312" w:hAnsi="宋体" w:eastAsia="仿宋_GB2312" w:cs="宋体"/>
                <w:b/>
                <w:color w:val="auto"/>
                <w:sz w:val="21"/>
                <w:szCs w:val="21"/>
                <w:highlight w:val="none"/>
                <w:lang w:eastAsia="zh-CN"/>
              </w:rPr>
              <w:t>本人已经阅</w:t>
            </w:r>
            <w:r>
              <w:rPr>
                <w:rFonts w:hint="eastAsia" w:ascii="仿宋_GB2312" w:hAnsi="宋体" w:eastAsia="仿宋_GB2312" w:cs="宋体"/>
                <w:b/>
                <w:color w:val="auto"/>
                <w:spacing w:val="2"/>
                <w:sz w:val="21"/>
                <w:szCs w:val="21"/>
                <w:highlight w:val="none"/>
                <w:lang w:eastAsia="zh-CN"/>
              </w:rPr>
              <w:t>读《理财</w:t>
            </w:r>
            <w:r>
              <w:rPr>
                <w:rFonts w:hint="eastAsia" w:ascii="仿宋_GB2312" w:hAnsi="宋体" w:eastAsia="仿宋_GB2312" w:cs="宋体"/>
                <w:b/>
                <w:color w:val="auto"/>
                <w:sz w:val="21"/>
                <w:szCs w:val="21"/>
                <w:highlight w:val="none"/>
                <w:lang w:eastAsia="zh-CN"/>
              </w:rPr>
              <w:t>产品协议》《信息授权书（理财业务版）》《投资者权</w:t>
            </w:r>
            <w:r>
              <w:rPr>
                <w:rFonts w:hint="eastAsia" w:ascii="仿宋_GB2312" w:hAnsi="宋体" w:eastAsia="仿宋_GB2312" w:cs="宋体"/>
                <w:b/>
                <w:color w:val="auto"/>
                <w:spacing w:val="2"/>
                <w:sz w:val="21"/>
                <w:szCs w:val="21"/>
                <w:highlight w:val="none"/>
                <w:lang w:eastAsia="zh-CN"/>
              </w:rPr>
              <w:t>益</w:t>
            </w:r>
            <w:r>
              <w:rPr>
                <w:rFonts w:hint="eastAsia" w:ascii="仿宋_GB2312" w:hAnsi="宋体" w:eastAsia="仿宋_GB2312" w:cs="宋体"/>
                <w:b/>
                <w:color w:val="auto"/>
                <w:sz w:val="21"/>
                <w:szCs w:val="21"/>
                <w:highlight w:val="none"/>
                <w:lang w:eastAsia="zh-CN"/>
              </w:rPr>
              <w:t>须知》《</w:t>
            </w:r>
            <w:r>
              <w:rPr>
                <w:rFonts w:hint="eastAsia" w:ascii="仿宋_GB2312" w:hAnsi="宋体" w:eastAsia="仿宋_GB2312" w:cs="宋体"/>
                <w:b/>
                <w:color w:val="auto"/>
                <w:spacing w:val="-3"/>
                <w:sz w:val="21"/>
                <w:szCs w:val="21"/>
                <w:highlight w:val="none"/>
                <w:lang w:eastAsia="zh-CN"/>
              </w:rPr>
              <w:t>风</w:t>
            </w:r>
            <w:r>
              <w:rPr>
                <w:rFonts w:hint="eastAsia" w:ascii="仿宋_GB2312" w:hAnsi="宋体" w:eastAsia="仿宋_GB2312" w:cs="宋体"/>
                <w:b/>
                <w:color w:val="auto"/>
                <w:sz w:val="21"/>
                <w:szCs w:val="21"/>
                <w:highlight w:val="none"/>
                <w:lang w:eastAsia="zh-CN"/>
              </w:rPr>
              <w:t>险</w:t>
            </w:r>
            <w:r>
              <w:rPr>
                <w:rFonts w:hint="eastAsia" w:ascii="仿宋_GB2312" w:hAnsi="宋体" w:eastAsia="仿宋_GB2312" w:cs="宋体"/>
                <w:b/>
                <w:color w:val="auto"/>
                <w:spacing w:val="-3"/>
                <w:sz w:val="21"/>
                <w:szCs w:val="21"/>
                <w:highlight w:val="none"/>
                <w:lang w:eastAsia="zh-CN"/>
              </w:rPr>
              <w:t>揭</w:t>
            </w:r>
            <w:r>
              <w:rPr>
                <w:rFonts w:hint="eastAsia" w:ascii="仿宋_GB2312" w:hAnsi="宋体" w:eastAsia="仿宋_GB2312" w:cs="宋体"/>
                <w:b/>
                <w:color w:val="auto"/>
                <w:sz w:val="21"/>
                <w:szCs w:val="21"/>
                <w:highlight w:val="none"/>
                <w:lang w:eastAsia="zh-CN"/>
              </w:rPr>
              <w:t>示</w:t>
            </w:r>
            <w:r>
              <w:rPr>
                <w:rFonts w:hint="eastAsia" w:ascii="仿宋_GB2312" w:hAnsi="宋体" w:eastAsia="仿宋_GB2312" w:cs="宋体"/>
                <w:b/>
                <w:color w:val="auto"/>
                <w:spacing w:val="-3"/>
                <w:sz w:val="21"/>
                <w:szCs w:val="21"/>
                <w:highlight w:val="none"/>
                <w:lang w:eastAsia="zh-CN"/>
              </w:rPr>
              <w:t>书</w:t>
            </w:r>
            <w:r>
              <w:rPr>
                <w:rFonts w:hint="eastAsia" w:ascii="仿宋_GB2312" w:hAnsi="宋体" w:eastAsia="仿宋_GB2312" w:cs="宋体"/>
                <w:b/>
                <w:color w:val="auto"/>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color w:val="auto"/>
                <w:sz w:val="21"/>
                <w:szCs w:val="21"/>
                <w:highlight w:val="none"/>
                <w:lang w:eastAsia="zh-CN"/>
              </w:rPr>
              <w:t>《产</w:t>
            </w:r>
            <w:r>
              <w:rPr>
                <w:rFonts w:hint="eastAsia" w:ascii="仿宋_GB2312" w:hAnsi="宋体" w:eastAsia="仿宋_GB2312" w:cs="宋体"/>
                <w:b/>
                <w:color w:val="auto"/>
                <w:spacing w:val="-3"/>
                <w:sz w:val="21"/>
                <w:szCs w:val="21"/>
                <w:highlight w:val="none"/>
                <w:lang w:eastAsia="zh-CN"/>
              </w:rPr>
              <w:t>品</w:t>
            </w:r>
            <w:r>
              <w:rPr>
                <w:rFonts w:hint="eastAsia" w:ascii="仿宋_GB2312" w:hAnsi="宋体" w:eastAsia="仿宋_GB2312" w:cs="宋体"/>
                <w:b/>
                <w:color w:val="auto"/>
                <w:sz w:val="21"/>
                <w:szCs w:val="21"/>
                <w:highlight w:val="none"/>
                <w:lang w:eastAsia="zh-CN"/>
              </w:rPr>
              <w:t>说</w:t>
            </w:r>
            <w:r>
              <w:rPr>
                <w:rFonts w:hint="eastAsia" w:ascii="仿宋_GB2312" w:hAnsi="宋体" w:eastAsia="仿宋_GB2312" w:cs="宋体"/>
                <w:b/>
                <w:color w:val="auto"/>
                <w:spacing w:val="-3"/>
                <w:sz w:val="21"/>
                <w:szCs w:val="21"/>
                <w:highlight w:val="none"/>
                <w:lang w:eastAsia="zh-CN"/>
              </w:rPr>
              <w:t>明</w:t>
            </w:r>
            <w:r>
              <w:rPr>
                <w:rFonts w:hint="eastAsia" w:ascii="仿宋_GB2312" w:hAnsi="宋体" w:eastAsia="仿宋_GB2312" w:cs="宋体"/>
                <w:b/>
                <w:color w:val="auto"/>
                <w:sz w:val="21"/>
                <w:szCs w:val="21"/>
                <w:highlight w:val="none"/>
                <w:lang w:eastAsia="zh-CN"/>
              </w:rPr>
              <w:t>书》所有条款</w:t>
            </w:r>
            <w:r>
              <w:rPr>
                <w:rFonts w:hint="eastAsia" w:ascii="仿宋_GB2312" w:hAnsi="宋体" w:eastAsia="仿宋_GB2312" w:cs="宋体"/>
                <w:b/>
                <w:color w:val="auto"/>
                <w:spacing w:val="-3"/>
                <w:sz w:val="21"/>
                <w:szCs w:val="21"/>
                <w:highlight w:val="none"/>
                <w:lang w:eastAsia="zh-CN"/>
              </w:rPr>
              <w:t>，</w:t>
            </w:r>
            <w:r>
              <w:rPr>
                <w:rFonts w:hint="eastAsia" w:ascii="仿宋_GB2312" w:hAnsi="宋体" w:eastAsia="仿宋_GB2312" w:cs="宋体"/>
                <w:b/>
                <w:color w:val="auto"/>
                <w:sz w:val="21"/>
                <w:szCs w:val="21"/>
                <w:highlight w:val="none"/>
                <w:lang w:eastAsia="zh-CN"/>
              </w:rPr>
              <w:t>充</w:t>
            </w:r>
            <w:r>
              <w:rPr>
                <w:rFonts w:hint="eastAsia" w:ascii="仿宋_GB2312" w:hAnsi="宋体" w:eastAsia="仿宋_GB2312" w:cs="宋体"/>
                <w:b/>
                <w:color w:val="auto"/>
                <w:spacing w:val="-3"/>
                <w:sz w:val="21"/>
                <w:szCs w:val="21"/>
                <w:highlight w:val="none"/>
                <w:lang w:eastAsia="zh-CN"/>
              </w:rPr>
              <w:t>分</w:t>
            </w:r>
            <w:r>
              <w:rPr>
                <w:rFonts w:hint="eastAsia" w:ascii="仿宋_GB2312" w:hAnsi="宋体" w:eastAsia="仿宋_GB2312" w:cs="宋体"/>
                <w:b/>
                <w:color w:val="auto"/>
                <w:sz w:val="21"/>
                <w:szCs w:val="21"/>
                <w:highlight w:val="none"/>
                <w:lang w:eastAsia="zh-CN"/>
              </w:rPr>
              <w:t>理解</w:t>
            </w:r>
            <w:r>
              <w:rPr>
                <w:rFonts w:hint="eastAsia" w:ascii="仿宋_GB2312" w:hAnsi="宋体" w:eastAsia="仿宋_GB2312" w:cs="宋体"/>
                <w:b/>
                <w:color w:val="auto"/>
                <w:spacing w:val="-3"/>
                <w:sz w:val="21"/>
                <w:szCs w:val="21"/>
                <w:highlight w:val="none"/>
                <w:lang w:eastAsia="zh-CN"/>
              </w:rPr>
              <w:t>并同意前述所有协议条款，</w:t>
            </w:r>
            <w:r>
              <w:rPr>
                <w:rFonts w:hint="eastAsia" w:ascii="仿宋_GB2312" w:hAnsi="宋体" w:eastAsia="仿宋_GB2312" w:cs="宋体"/>
                <w:b/>
                <w:color w:val="auto"/>
                <w:sz w:val="21"/>
                <w:szCs w:val="21"/>
                <w:highlight w:val="none"/>
                <w:lang w:eastAsia="zh-CN"/>
              </w:rPr>
              <w:t>自</w:t>
            </w:r>
            <w:r>
              <w:rPr>
                <w:rFonts w:hint="eastAsia" w:ascii="仿宋_GB2312" w:hAnsi="宋体" w:eastAsia="仿宋_GB2312" w:cs="宋体"/>
                <w:b/>
                <w:color w:val="auto"/>
                <w:spacing w:val="-3"/>
                <w:sz w:val="21"/>
                <w:szCs w:val="21"/>
                <w:highlight w:val="none"/>
                <w:lang w:eastAsia="zh-CN"/>
              </w:rPr>
              <w:t>愿</w:t>
            </w:r>
            <w:r>
              <w:rPr>
                <w:rFonts w:hint="eastAsia" w:ascii="仿宋_GB2312" w:hAnsi="宋体" w:eastAsia="仿宋_GB2312" w:cs="宋体"/>
                <w:b/>
                <w:color w:val="auto"/>
                <w:sz w:val="21"/>
                <w:szCs w:val="21"/>
                <w:highlight w:val="none"/>
                <w:lang w:eastAsia="zh-CN"/>
              </w:rPr>
              <w:t>承</w:t>
            </w:r>
            <w:r>
              <w:rPr>
                <w:rFonts w:hint="eastAsia" w:ascii="仿宋_GB2312" w:hAnsi="宋体" w:eastAsia="仿宋_GB2312" w:cs="宋体"/>
                <w:b/>
                <w:color w:val="auto"/>
                <w:spacing w:val="-3"/>
                <w:sz w:val="21"/>
                <w:szCs w:val="21"/>
                <w:highlight w:val="none"/>
                <w:lang w:eastAsia="zh-CN"/>
              </w:rPr>
              <w:t>担</w:t>
            </w:r>
            <w:r>
              <w:rPr>
                <w:rFonts w:hint="eastAsia" w:ascii="仿宋_GB2312" w:hAnsi="宋体" w:eastAsia="仿宋_GB2312" w:cs="宋体"/>
                <w:b/>
                <w:color w:val="auto"/>
                <w:sz w:val="21"/>
                <w:szCs w:val="21"/>
                <w:highlight w:val="none"/>
                <w:lang w:eastAsia="zh-CN"/>
              </w:rPr>
              <w:t>本</w:t>
            </w:r>
            <w:r>
              <w:rPr>
                <w:rFonts w:hint="eastAsia" w:ascii="仿宋_GB2312" w:hAnsi="宋体" w:eastAsia="仿宋_GB2312" w:cs="宋体"/>
                <w:b/>
                <w:color w:val="auto"/>
                <w:spacing w:val="-3"/>
                <w:sz w:val="21"/>
                <w:szCs w:val="21"/>
                <w:highlight w:val="none"/>
                <w:lang w:eastAsia="zh-CN"/>
              </w:rPr>
              <w:t>期</w:t>
            </w:r>
            <w:r>
              <w:rPr>
                <w:rFonts w:hint="eastAsia" w:ascii="仿宋_GB2312" w:hAnsi="宋体" w:eastAsia="仿宋_GB2312" w:cs="宋体"/>
                <w:b/>
                <w:color w:val="auto"/>
                <w:sz w:val="21"/>
                <w:szCs w:val="21"/>
                <w:highlight w:val="none"/>
                <w:lang w:eastAsia="zh-CN"/>
              </w:rPr>
              <w:t>产</w:t>
            </w:r>
            <w:r>
              <w:rPr>
                <w:rFonts w:hint="eastAsia" w:ascii="仿宋_GB2312" w:hAnsi="宋体" w:eastAsia="仿宋_GB2312" w:cs="宋体"/>
                <w:b/>
                <w:color w:val="auto"/>
                <w:spacing w:val="-3"/>
                <w:sz w:val="21"/>
                <w:szCs w:val="21"/>
                <w:highlight w:val="none"/>
                <w:lang w:eastAsia="zh-CN"/>
              </w:rPr>
              <w:t>品</w:t>
            </w:r>
            <w:r>
              <w:rPr>
                <w:rFonts w:hint="eastAsia" w:ascii="仿宋_GB2312" w:hAnsi="宋体" w:eastAsia="仿宋_GB2312" w:cs="宋体"/>
                <w:b/>
                <w:color w:val="auto"/>
                <w:sz w:val="21"/>
                <w:szCs w:val="21"/>
                <w:highlight w:val="none"/>
                <w:lang w:eastAsia="zh-CN"/>
              </w:rPr>
              <w:t>相关</w:t>
            </w:r>
            <w:r>
              <w:rPr>
                <w:rFonts w:hint="eastAsia" w:ascii="仿宋_GB2312" w:hAnsi="宋体" w:eastAsia="仿宋_GB2312" w:cs="宋体"/>
                <w:b/>
                <w:color w:val="auto"/>
                <w:spacing w:val="-3"/>
                <w:sz w:val="21"/>
                <w:szCs w:val="21"/>
                <w:highlight w:val="none"/>
                <w:lang w:eastAsia="zh-CN"/>
              </w:rPr>
              <w:t>风</w:t>
            </w:r>
            <w:r>
              <w:rPr>
                <w:rFonts w:hint="eastAsia" w:ascii="仿宋_GB2312" w:hAnsi="宋体" w:eastAsia="仿宋_GB2312" w:cs="宋体"/>
                <w:b/>
                <w:color w:val="auto"/>
                <w:sz w:val="21"/>
                <w:szCs w:val="21"/>
                <w:highlight w:val="none"/>
                <w:lang w:eastAsia="zh-CN"/>
              </w:rPr>
              <w:t>险</w:t>
            </w:r>
            <w:r>
              <w:rPr>
                <w:rFonts w:hint="eastAsia" w:ascii="仿宋_GB2312" w:hAnsi="宋体" w:eastAsia="仿宋_GB2312" w:cs="宋体"/>
                <w:b/>
                <w:color w:val="auto"/>
                <w:spacing w:val="-108"/>
                <w:sz w:val="21"/>
                <w:szCs w:val="21"/>
                <w:highlight w:val="none"/>
                <w:lang w:eastAsia="zh-CN"/>
              </w:rPr>
              <w:t>。</w:t>
            </w:r>
            <w:r>
              <w:rPr>
                <w:rFonts w:hint="eastAsia" w:ascii="仿宋_GB2312" w:hAnsi="宋体" w:eastAsia="仿宋_GB2312" w:cs="宋体"/>
                <w:color w:val="auto"/>
                <w:sz w:val="21"/>
                <w:szCs w:val="21"/>
                <w:highlight w:val="none"/>
              </w:rPr>
              <w:t>）</w:t>
            </w:r>
          </w:p>
          <w:p w14:paraId="08264B0D">
            <w:pPr>
              <w:jc w:val="both"/>
              <w:rPr>
                <w:rFonts w:ascii="仿宋_GB2312" w:hAnsi="宋体" w:eastAsia="仿宋_GB2312" w:cs="宋体"/>
                <w:color w:val="auto"/>
                <w:sz w:val="21"/>
                <w:szCs w:val="21"/>
                <w:highlight w:val="none"/>
                <w:lang w:eastAsia="zh-CN"/>
              </w:rPr>
            </w:pPr>
          </w:p>
          <w:p w14:paraId="7D35B3E3">
            <w:pPr>
              <w:rPr>
                <w:rFonts w:hint="eastAsia" w:ascii="仿宋_GB2312" w:hAnsi="宋体" w:eastAsia="仿宋_GB2312" w:cs="宋体"/>
                <w:color w:val="auto"/>
                <w:spacing w:val="-20"/>
                <w:sz w:val="21"/>
                <w:szCs w:val="21"/>
                <w:highlight w:val="none"/>
                <w:lang w:eastAsia="zh-CN"/>
              </w:rPr>
            </w:pPr>
            <w:r>
              <w:rPr>
                <w:rFonts w:hint="eastAsia" w:ascii="仿宋_GB2312" w:hAnsi="宋体" w:eastAsia="仿宋_GB2312" w:cs="宋体"/>
                <w:color w:val="auto"/>
                <w:sz w:val="21"/>
                <w:szCs w:val="21"/>
                <w:highlight w:val="none"/>
                <w:lang w:eastAsia="zh-CN"/>
              </w:rPr>
              <w:t>投资者</w:t>
            </w:r>
            <w:r>
              <w:rPr>
                <w:rFonts w:hint="eastAsia" w:ascii="仿宋_GB2312" w:hAnsi="宋体" w:eastAsia="仿宋_GB2312" w:cs="宋体"/>
                <w:color w:val="auto"/>
                <w:spacing w:val="-3"/>
                <w:sz w:val="21"/>
                <w:szCs w:val="21"/>
                <w:highlight w:val="none"/>
                <w:lang w:eastAsia="zh-CN"/>
              </w:rPr>
              <w:t>签</w:t>
            </w:r>
            <w:r>
              <w:rPr>
                <w:rFonts w:hint="eastAsia" w:ascii="仿宋_GB2312" w:hAnsi="宋体" w:eastAsia="仿宋_GB2312" w:cs="宋体"/>
                <w:color w:val="auto"/>
                <w:sz w:val="21"/>
                <w:szCs w:val="21"/>
                <w:highlight w:val="none"/>
                <w:lang w:eastAsia="zh-CN"/>
              </w:rPr>
              <w:t>名</w:t>
            </w:r>
            <w:r>
              <w:rPr>
                <w:rFonts w:hint="eastAsia" w:ascii="仿宋_GB2312" w:hAnsi="宋体" w:eastAsia="仿宋_GB2312" w:cs="宋体"/>
                <w:color w:val="auto"/>
                <w:spacing w:val="-20"/>
                <w:sz w:val="21"/>
                <w:szCs w:val="21"/>
                <w:highlight w:val="none"/>
                <w:lang w:eastAsia="zh-CN"/>
              </w:rPr>
              <w:t>：</w:t>
            </w:r>
          </w:p>
          <w:p w14:paraId="11BC5CFA">
            <w:pPr>
              <w:rPr>
                <w:rFonts w:hint="eastAsia" w:ascii="仿宋_GB2312" w:hAnsi="宋体" w:eastAsia="仿宋_GB2312" w:cs="宋体"/>
                <w:color w:val="auto"/>
                <w:spacing w:val="-20"/>
                <w:sz w:val="21"/>
                <w:szCs w:val="21"/>
                <w:highlight w:val="none"/>
                <w:lang w:eastAsia="zh-CN"/>
              </w:rPr>
            </w:pPr>
          </w:p>
          <w:p w14:paraId="27460661">
            <w:pPr>
              <w:ind w:firstLine="840" w:firstLineChars="400"/>
              <w:jc w:val="right"/>
              <w:rPr>
                <w:rFonts w:ascii="仿宋_GB2312" w:hAnsi="Times New Roman" w:eastAsia="仿宋_GB2312" w:cs="Times New Roman"/>
                <w:color w:val="auto"/>
                <w:sz w:val="21"/>
                <w:szCs w:val="21"/>
                <w:highlight w:val="none"/>
                <w:lang w:eastAsia="zh-CN"/>
              </w:rPr>
            </w:pPr>
            <w:r>
              <w:rPr>
                <w:rFonts w:hint="eastAsia" w:ascii="仿宋_GB2312" w:hAnsi="宋体" w:eastAsia="仿宋_GB2312" w:cs="宋体"/>
                <w:color w:val="auto"/>
                <w:sz w:val="21"/>
                <w:szCs w:val="21"/>
                <w:highlight w:val="none"/>
                <w:lang w:eastAsia="zh-CN"/>
              </w:rPr>
              <w:t>年</w:t>
            </w:r>
            <w:r>
              <w:rPr>
                <w:rFonts w:hint="eastAsia" w:ascii="仿宋_GB2312" w:hAnsi="宋体" w:eastAsia="仿宋_GB2312" w:cs="宋体"/>
                <w:color w:val="auto"/>
                <w:sz w:val="21"/>
                <w:szCs w:val="21"/>
                <w:highlight w:val="none"/>
                <w:u w:val="single"/>
                <w:lang w:val="en-US" w:eastAsia="zh-CN"/>
              </w:rPr>
              <w:t xml:space="preserve">    </w:t>
            </w:r>
            <w:r>
              <w:rPr>
                <w:rFonts w:hint="eastAsia" w:ascii="仿宋_GB2312" w:hAnsi="宋体" w:eastAsia="仿宋_GB2312" w:cs="宋体"/>
                <w:color w:val="auto"/>
                <w:sz w:val="21"/>
                <w:szCs w:val="21"/>
                <w:highlight w:val="none"/>
                <w:lang w:eastAsia="zh-CN"/>
              </w:rPr>
              <w:t>月</w:t>
            </w:r>
            <w:r>
              <w:rPr>
                <w:rFonts w:hint="eastAsia" w:ascii="仿宋_GB2312" w:hAnsi="宋体" w:eastAsia="仿宋_GB2312" w:cs="宋体"/>
                <w:color w:val="auto"/>
                <w:sz w:val="21"/>
                <w:szCs w:val="21"/>
                <w:highlight w:val="none"/>
                <w:u w:val="single"/>
                <w:lang w:val="en-US" w:eastAsia="zh-CN"/>
              </w:rPr>
              <w:t xml:space="preserve">    </w:t>
            </w:r>
            <w:r>
              <w:rPr>
                <w:rFonts w:hint="eastAsia" w:ascii="仿宋_GB2312" w:hAnsi="宋体" w:eastAsia="仿宋_GB2312" w:cs="宋体"/>
                <w:color w:val="auto"/>
                <w:sz w:val="21"/>
                <w:szCs w:val="21"/>
                <w:highlight w:val="none"/>
                <w:lang w:eastAsia="zh-CN"/>
              </w:rPr>
              <w:t>日</w:t>
            </w:r>
          </w:p>
        </w:tc>
      </w:tr>
    </w:tbl>
    <w:p w14:paraId="7BDF0BEA">
      <w:pPr>
        <w:ind w:right="131"/>
        <w:jc w:val="right"/>
        <w:rPr>
          <w:rFonts w:ascii="仿宋_GB2312" w:hAnsi="宋体" w:eastAsia="仿宋_GB2312" w:cs="Times New Roman"/>
          <w:color w:val="auto"/>
          <w:sz w:val="21"/>
          <w:szCs w:val="24"/>
          <w:highlight w:val="none"/>
          <w:lang w:eastAsia="zh-CN"/>
        </w:rPr>
      </w:pPr>
    </w:p>
    <w:p w14:paraId="2A25EE01">
      <w:pPr>
        <w:ind w:right="0"/>
        <w:rPr>
          <w:rFonts w:ascii="Times New Roman" w:hAnsi="宋体" w:eastAsia="宋体" w:cs="Times New Roman"/>
          <w:color w:val="auto"/>
          <w:sz w:val="24"/>
          <w:szCs w:val="24"/>
          <w:highlight w:val="none"/>
          <w:lang w:eastAsia="zh-CN"/>
        </w:rPr>
      </w:pPr>
      <w:r>
        <w:rPr>
          <w:rFonts w:ascii="Times New Roman" w:hAnsi="宋体" w:eastAsia="宋体" w:cs="Times New Roman"/>
          <w:color w:val="auto"/>
          <w:sz w:val="24"/>
          <w:szCs w:val="24"/>
          <w:highlight w:val="none"/>
          <w:lang w:eastAsia="zh-CN"/>
        </w:rPr>
        <w:br w:type="page"/>
      </w:r>
    </w:p>
    <w:p w14:paraId="3DF6C6BE">
      <w:pPr>
        <w:ind w:firstLine="2160" w:firstLineChars="600"/>
        <w:rPr>
          <w:rFonts w:hint="eastAsia" w:ascii="方正小标宋_GBK" w:hAnsi="方正小标宋_GBK" w:eastAsia="方正小标宋_GBK" w:cs="方正小标宋_GBK"/>
          <w:color w:val="auto"/>
          <w:sz w:val="36"/>
          <w:szCs w:val="36"/>
          <w:highlight w:val="none"/>
          <w:lang w:eastAsia="zh-CN"/>
        </w:rPr>
      </w:pPr>
      <w:r>
        <w:rPr>
          <w:rFonts w:hint="eastAsia" w:ascii="方正小标宋_GBK" w:hAnsi="方正小标宋_GBK" w:eastAsia="方正小标宋_GBK" w:cs="方正小标宋_GBK"/>
          <w:color w:val="auto"/>
          <w:sz w:val="36"/>
          <w:szCs w:val="36"/>
          <w:highlight w:val="none"/>
          <w:lang w:eastAsia="zh-CN"/>
        </w:rPr>
        <w:t>信息授权书（理财业务版）</w:t>
      </w:r>
    </w:p>
    <w:p w14:paraId="62ED15EB">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p>
    <w:p w14:paraId="26BD3272">
      <w:pPr>
        <w:pStyle w:val="3"/>
        <w:spacing w:before="0"/>
        <w:ind w:left="0" w:right="153"/>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尊敬的投资者：</w:t>
      </w:r>
    </w:p>
    <w:p w14:paraId="27CE8A4D">
      <w:pPr>
        <w:pStyle w:val="3"/>
        <w:spacing w:before="0"/>
        <w:ind w:left="0" w:right="153" w:firstLine="400"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val="0"/>
          <w:bCs w:val="0"/>
          <w:color w:val="auto"/>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color w:val="auto"/>
          <w:sz w:val="20"/>
          <w:highlight w:val="none"/>
          <w:lang w:eastAsia="zh-CN"/>
        </w:rPr>
        <w:t>为了保障您的合法权益，请您在</w:t>
      </w:r>
      <w:r>
        <w:rPr>
          <w:rFonts w:ascii="仿宋_GB2312" w:eastAsia="仿宋_GB2312" w:cs="Times New Roman" w:hAnsiTheme="minorEastAsia"/>
          <w:b/>
          <w:bCs/>
          <w:color w:val="auto"/>
          <w:sz w:val="20"/>
          <w:highlight w:val="none"/>
          <w:lang w:eastAsia="zh-CN"/>
        </w:rPr>
        <w:t>签署</w:t>
      </w:r>
      <w:r>
        <w:rPr>
          <w:rFonts w:hint="eastAsia" w:ascii="仿宋_GB2312" w:eastAsia="仿宋_GB2312" w:cs="Times New Roman" w:hAnsiTheme="minorEastAsia"/>
          <w:b/>
          <w:bCs/>
          <w:color w:val="auto"/>
          <w:sz w:val="20"/>
          <w:highlight w:val="none"/>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color w:val="auto"/>
          <w:sz w:val="20"/>
          <w:highlight w:val="none"/>
          <w:lang w:val="en-US" w:eastAsia="zh-CN"/>
        </w:rPr>
        <w:t>与</w:t>
      </w:r>
      <w:r>
        <w:rPr>
          <w:rFonts w:hint="eastAsia" w:ascii="仿宋_GB2312" w:eastAsia="仿宋_GB2312" w:cs="Times New Roman" w:hAnsiTheme="minorEastAsia"/>
          <w:b/>
          <w:bCs/>
          <w:color w:val="auto"/>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0424959">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一、信息收集</w:t>
      </w:r>
    </w:p>
    <w:p w14:paraId="73C8ABB8">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color w:val="auto"/>
          <w:sz w:val="20"/>
          <w:highlight w:val="none"/>
          <w:lang w:eastAsia="zh-CN"/>
        </w:rPr>
        <w:t>授权贵阳农商银行处理您的如下信息：</w:t>
      </w:r>
    </w:p>
    <w:p w14:paraId="5BA286C3">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姓名、身份证号码、银行卡卡号、银行卡有效期、银行预留手机号等</w:t>
      </w:r>
      <w:r>
        <w:rPr>
          <w:rFonts w:hint="eastAsia" w:ascii="仿宋_GB2312" w:eastAsia="仿宋_GB2312" w:cs="Times New Roman" w:hAnsiTheme="minorEastAsia"/>
          <w:b/>
          <w:bCs/>
          <w:color w:val="auto"/>
          <w:sz w:val="20"/>
          <w:highlight w:val="none"/>
          <w:lang w:val="en-US" w:eastAsia="zh-CN"/>
        </w:rPr>
        <w:t>与业务办理相关的</w:t>
      </w:r>
      <w:r>
        <w:rPr>
          <w:rFonts w:hint="eastAsia" w:ascii="仿宋_GB2312" w:eastAsia="仿宋_GB2312" w:cs="Times New Roman" w:hAnsiTheme="minorEastAsia"/>
          <w:b/>
          <w:bCs/>
          <w:color w:val="auto"/>
          <w:sz w:val="20"/>
          <w:highlight w:val="none"/>
          <w:lang w:eastAsia="zh-CN"/>
        </w:rPr>
        <w:t>信息。</w:t>
      </w:r>
    </w:p>
    <w:p w14:paraId="1FA64896">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二、信息使用</w:t>
      </w:r>
    </w:p>
    <w:p w14:paraId="3D075E2D">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为完整地向您提供服务以及保护各方的合法权益，您理解和同意贵阳农商银行可能会将您的信息用于如下用途：</w:t>
      </w:r>
    </w:p>
    <w:p w14:paraId="6FC8A3D8">
      <w:pPr>
        <w:pStyle w:val="3"/>
        <w:numPr>
          <w:ilvl w:val="-1"/>
          <w:numId w:val="0"/>
        </w:numPr>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（一）</w:t>
      </w:r>
      <w:r>
        <w:rPr>
          <w:rFonts w:hint="eastAsia" w:ascii="仿宋_GB2312" w:eastAsia="仿宋_GB2312" w:cs="Times New Roman" w:hAnsiTheme="minorEastAsia"/>
          <w:color w:val="auto"/>
          <w:sz w:val="20"/>
          <w:highlight w:val="none"/>
          <w:lang w:eastAsia="zh-CN"/>
        </w:rPr>
        <w:t>采取密码验证、短信验证码等手段以便于验证您的身份，确保完成理财产品交易。</w:t>
      </w:r>
    </w:p>
    <w:p w14:paraId="19924AE5">
      <w:pPr>
        <w:pStyle w:val="3"/>
        <w:numPr>
          <w:ilvl w:val="-1"/>
          <w:numId w:val="0"/>
        </w:numPr>
        <w:spacing w:before="0"/>
        <w:ind w:left="0" w:leftChars="0" w:right="153" w:firstLine="400" w:firstLineChars="200"/>
        <w:jc w:val="both"/>
        <w:rPr>
          <w:rFonts w:hint="eastAsia" w:ascii="仿宋_GB2312" w:eastAsia="仿宋_GB2312" w:cs="Times New Roman" w:hAnsiTheme="minorEastAsia"/>
          <w:b w:val="0"/>
          <w:bCs w:val="0"/>
          <w:color w:val="auto"/>
          <w:sz w:val="20"/>
          <w:highlight w:val="none"/>
          <w:lang w:eastAsia="zh-CN"/>
        </w:rPr>
      </w:pPr>
      <w:r>
        <w:rPr>
          <w:rFonts w:hint="eastAsia" w:ascii="仿宋_GB2312" w:eastAsia="仿宋_GB2312" w:cs="Times New Roman" w:hAnsiTheme="minorEastAsia"/>
          <w:color w:val="auto"/>
          <w:sz w:val="20"/>
          <w:highlight w:val="none"/>
          <w:lang w:val="en-US" w:eastAsia="zh-CN"/>
        </w:rPr>
        <w:t>（二）</w:t>
      </w:r>
      <w:r>
        <w:rPr>
          <w:rFonts w:hint="eastAsia" w:ascii="仿宋_GB2312" w:eastAsia="仿宋_GB2312" w:cs="Times New Roman" w:hAnsiTheme="minorEastAsia"/>
          <w:b w:val="0"/>
          <w:bCs w:val="0"/>
          <w:color w:val="auto"/>
          <w:sz w:val="20"/>
          <w:highlight w:val="none"/>
          <w:lang w:eastAsia="zh-CN"/>
        </w:rPr>
        <w:t>向您提供理财产品信息披露服务，服务内容包括但不限于各类理财产品公告、定期报告以及理财产品账单。</w:t>
      </w:r>
    </w:p>
    <w:p w14:paraId="2EEBF91E">
      <w:pPr>
        <w:pStyle w:val="3"/>
        <w:numPr>
          <w:ilvl w:val="0"/>
          <w:numId w:val="0"/>
        </w:numPr>
        <w:spacing w:before="0"/>
        <w:ind w:left="0" w:leftChars="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（三）</w:t>
      </w:r>
      <w:r>
        <w:rPr>
          <w:rFonts w:hint="eastAsia" w:ascii="仿宋_GB2312" w:eastAsia="仿宋_GB2312" w:cs="Times New Roman" w:hAnsiTheme="minorEastAsia"/>
          <w:b/>
          <w:bCs/>
          <w:color w:val="auto"/>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提供的客服电话要求退订或在收到相关信息后按照信息提示的方式退订。</w:t>
      </w:r>
    </w:p>
    <w:p w14:paraId="3CA12463">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（四）</w:t>
      </w:r>
      <w:r>
        <w:rPr>
          <w:rFonts w:hint="eastAsia" w:ascii="仿宋_GB2312" w:eastAsia="仿宋_GB2312" w:cs="Times New Roman" w:hAnsiTheme="minorEastAsia"/>
          <w:b/>
          <w:bCs/>
          <w:color w:val="auto"/>
          <w:sz w:val="20"/>
          <w:highlight w:val="none"/>
          <w:lang w:eastAsia="zh-CN"/>
        </w:rPr>
        <w:t>预防或阻止违法、违规的活动，如识别、打击洗钱、</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color w:val="auto"/>
          <w:sz w:val="20"/>
          <w:highlight w:val="none"/>
          <w:lang w:eastAsia="zh-CN"/>
        </w:rPr>
        <w:t>等。</w:t>
      </w:r>
    </w:p>
    <w:p w14:paraId="59240F16">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（五）</w:t>
      </w:r>
      <w:r>
        <w:rPr>
          <w:rFonts w:hint="eastAsia" w:ascii="仿宋_GB2312" w:eastAsia="仿宋_GB2312" w:cs="Times New Roman" w:hAnsiTheme="minorEastAsia"/>
          <w:b/>
          <w:bCs/>
          <w:color w:val="auto"/>
          <w:sz w:val="20"/>
          <w:highlight w:val="none"/>
          <w:lang w:eastAsia="zh-CN"/>
        </w:rPr>
        <w:t>为维护您的权益(例如预防或阻止非法或危及您人身、财产安全的活动)，或者为了解决服务提供方与您之间的争议。</w:t>
      </w:r>
    </w:p>
    <w:p w14:paraId="146D2C2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（六）</w:t>
      </w:r>
      <w:r>
        <w:rPr>
          <w:rFonts w:hint="eastAsia" w:ascii="仿宋_GB2312" w:eastAsia="仿宋_GB2312" w:cs="Times New Roman" w:hAnsiTheme="minorEastAsia"/>
          <w:b/>
          <w:bCs/>
          <w:color w:val="auto"/>
          <w:sz w:val="20"/>
          <w:highlight w:val="none"/>
          <w:lang w:eastAsia="zh-CN"/>
        </w:rPr>
        <w:t>根据法律法规、政府机构、监管部门要求或其他经您另行明确同意的用途。</w:t>
      </w:r>
    </w:p>
    <w:p w14:paraId="62C85770">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三、信息提供</w:t>
      </w:r>
    </w:p>
    <w:p w14:paraId="27E7669C">
      <w:pPr>
        <w:pStyle w:val="3"/>
        <w:spacing w:before="0"/>
        <w:ind w:left="0" w:right="153" w:firstLine="400"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color w:val="auto"/>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color w:val="auto"/>
          <w:sz w:val="20"/>
          <w:highlight w:val="none"/>
          <w:lang w:eastAsia="zh-CN"/>
        </w:rPr>
        <w:t>，该等第三方将会在贵阳农商银行官方网站上进行公示，您可以在贵阳农商银行官方网站上查询:</w:t>
      </w:r>
    </w:p>
    <w:p w14:paraId="6288A0D0">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（一）</w:t>
      </w:r>
      <w:r>
        <w:rPr>
          <w:rFonts w:hint="eastAsia" w:ascii="仿宋_GB2312" w:eastAsia="仿宋_GB2312" w:cs="Times New Roman" w:hAnsiTheme="minorEastAsia"/>
          <w:b/>
          <w:bCs/>
          <w:color w:val="auto"/>
          <w:sz w:val="20"/>
          <w:highlight w:val="none"/>
          <w:lang w:eastAsia="zh-CN"/>
        </w:rPr>
        <w:t>当向您提供的金融服务需要由贵阳农商银行与第三方共同提供时。</w:t>
      </w:r>
    </w:p>
    <w:p w14:paraId="51FAB785">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（二）</w:t>
      </w:r>
      <w:r>
        <w:rPr>
          <w:rFonts w:hint="eastAsia" w:ascii="仿宋_GB2312" w:eastAsia="仿宋_GB2312" w:cs="Times New Roman" w:hAnsiTheme="minorEastAsia"/>
          <w:b/>
          <w:bCs/>
          <w:color w:val="auto"/>
          <w:sz w:val="20"/>
          <w:highlight w:val="none"/>
          <w:lang w:eastAsia="zh-CN"/>
        </w:rPr>
        <w:t>用于核实您的身份、处理与您相关的争议、或维护您和/或贵阳农商银行的合法权益的特定情况。</w:t>
      </w:r>
    </w:p>
    <w:p w14:paraId="65944279">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（三）</w:t>
      </w:r>
      <w:r>
        <w:rPr>
          <w:rFonts w:hint="eastAsia" w:ascii="仿宋_GB2312" w:eastAsia="仿宋_GB2312" w:cs="Times New Roman" w:hAnsiTheme="minorEastAsia"/>
          <w:b/>
          <w:bCs/>
          <w:color w:val="auto"/>
          <w:sz w:val="20"/>
          <w:highlight w:val="none"/>
          <w:lang w:eastAsia="zh-CN"/>
        </w:rPr>
        <w:t>向审计机构或审计监管机构提供审计所需的必要信息。</w:t>
      </w:r>
    </w:p>
    <w:p w14:paraId="20C88D65">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（四）</w:t>
      </w:r>
      <w:r>
        <w:rPr>
          <w:rFonts w:hint="eastAsia" w:ascii="仿宋_GB2312" w:eastAsia="仿宋_GB2312" w:cs="Times New Roman" w:hAnsiTheme="minorEastAsia"/>
          <w:b/>
          <w:bCs/>
          <w:color w:val="auto"/>
          <w:sz w:val="20"/>
          <w:highlight w:val="none"/>
          <w:lang w:eastAsia="zh-CN"/>
        </w:rPr>
        <w:t>根据法律法规、政府机构及其监管部门的要求提供。</w:t>
      </w:r>
    </w:p>
    <w:p w14:paraId="6A16D673">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四、授权期限</w:t>
      </w:r>
    </w:p>
    <w:p w14:paraId="4CB96E48">
      <w:pPr>
        <w:pStyle w:val="3"/>
        <w:spacing w:before="0"/>
        <w:ind w:left="0" w:right="153" w:firstLine="402"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b/>
          <w:bCs/>
          <w:color w:val="auto"/>
          <w:sz w:val="20"/>
          <w:highlight w:val="none"/>
          <w:lang w:eastAsia="zh-CN"/>
        </w:rPr>
        <w:t>自您签署本授权书之日起，至贵阳农商银行与您的</w:t>
      </w:r>
      <w:r>
        <w:rPr>
          <w:rFonts w:hint="eastAsia" w:ascii="仿宋_GB2312" w:eastAsia="仿宋_GB2312" w:cs="Times New Roman" w:hAnsiTheme="minorEastAsia"/>
          <w:b/>
          <w:bCs/>
          <w:color w:val="auto"/>
          <w:sz w:val="20"/>
          <w:highlight w:val="none"/>
          <w:lang w:val="en-US" w:eastAsia="zh-CN"/>
        </w:rPr>
        <w:t>理财产品协议项下全部</w:t>
      </w:r>
      <w:r>
        <w:rPr>
          <w:rFonts w:hint="eastAsia" w:ascii="仿宋_GB2312" w:eastAsia="仿宋_GB2312" w:cs="Times New Roman" w:hAnsiTheme="minorEastAsia"/>
          <w:b/>
          <w:bCs/>
          <w:color w:val="auto"/>
          <w:sz w:val="20"/>
          <w:highlight w:val="none"/>
          <w:lang w:eastAsia="zh-CN"/>
        </w:rPr>
        <w:t>义务履行完毕之日止。</w:t>
      </w:r>
      <w:r>
        <w:rPr>
          <w:rFonts w:hint="eastAsia" w:ascii="仿宋_GB2312" w:eastAsia="仿宋_GB2312" w:cs="Times New Roman" w:hAnsiTheme="minorEastAsia"/>
          <w:color w:val="auto"/>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C8BD19">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五、信息安全</w:t>
      </w:r>
    </w:p>
    <w:p w14:paraId="4BE754C9">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24BC7091">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六、权利告知</w:t>
      </w:r>
    </w:p>
    <w:p w14:paraId="55392DD0">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224705E">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color w:val="auto"/>
          <w:sz w:val="20"/>
          <w:highlight w:val="none"/>
          <w:lang w:eastAsia="zh-CN"/>
        </w:rPr>
        <w:t>0</w:t>
      </w:r>
      <w:r>
        <w:rPr>
          <w:rFonts w:ascii="仿宋_GB2312" w:eastAsia="仿宋_GB2312" w:cs="Times New Roman" w:hAnsiTheme="minorEastAsia"/>
          <w:b/>
          <w:bCs/>
          <w:color w:val="auto"/>
          <w:sz w:val="20"/>
          <w:highlight w:val="none"/>
          <w:lang w:eastAsia="zh-CN"/>
        </w:rPr>
        <w:t>851-</w:t>
      </w:r>
      <w:r>
        <w:rPr>
          <w:rFonts w:hint="eastAsia" w:ascii="仿宋_GB2312" w:eastAsia="仿宋_GB2312" w:cs="Times New Roman" w:hAnsiTheme="minorEastAsia"/>
          <w:b/>
          <w:bCs/>
          <w:color w:val="auto"/>
          <w:sz w:val="20"/>
          <w:highlight w:val="none"/>
          <w:lang w:val="en-US" w:eastAsia="zh-CN"/>
        </w:rPr>
        <w:t>96688</w:t>
      </w:r>
      <w:r>
        <w:rPr>
          <w:rFonts w:hint="eastAsia" w:ascii="仿宋_GB2312" w:eastAsia="仿宋_GB2312" w:cs="Times New Roman" w:hAnsiTheme="minorEastAsia"/>
          <w:b/>
          <w:bCs/>
          <w:color w:val="auto"/>
          <w:sz w:val="20"/>
          <w:highlight w:val="none"/>
          <w:lang w:eastAsia="zh-CN"/>
        </w:rPr>
        <w:t>联系以便为您处理。</w:t>
      </w:r>
    </w:p>
    <w:p w14:paraId="26CA65E5">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七、责任限制</w:t>
      </w:r>
    </w:p>
    <w:p w14:paraId="04C23C4E">
      <w:pPr>
        <w:pStyle w:val="3"/>
        <w:spacing w:before="0"/>
        <w:ind w:left="0" w:right="153"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107104F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八、授权人声明已知悉并理解本授权书所有内容(特别是加粗字体内容)以及由此产生的法律效力，并同意上述条款所载内容。</w:t>
      </w:r>
    </w:p>
    <w:p w14:paraId="20F812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color w:val="auto"/>
          <w:sz w:val="20"/>
          <w:highlight w:val="none"/>
          <w:lang w:val="en-US" w:eastAsia="zh-CN"/>
        </w:rPr>
        <w:t>电子渠道</w:t>
      </w:r>
      <w:r>
        <w:rPr>
          <w:rFonts w:hint="eastAsia" w:ascii="仿宋_GB2312" w:eastAsia="仿宋_GB2312" w:cs="Times New Roman" w:hAnsiTheme="minorEastAsia"/>
          <w:b/>
          <w:bCs/>
          <w:color w:val="auto"/>
          <w:sz w:val="20"/>
          <w:highlight w:val="none"/>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w:t>
      </w:r>
      <w:r>
        <w:rPr>
          <w:rFonts w:hint="eastAsia" w:ascii="仿宋_GB2312" w:eastAsia="仿宋_GB2312" w:cs="Times New Roman"/>
          <w:b/>
          <w:bCs/>
          <w:color w:val="auto"/>
          <w:sz w:val="20"/>
          <w:highlight w:val="none"/>
          <w:lang w:val="en-US" w:eastAsia="zh-CN"/>
        </w:rPr>
        <w:t>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39A98C0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589A16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25305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9E415D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AE3F6E">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5AB9FB9">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6441F5">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44C1FAC">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D51EF74">
      <w:pPr>
        <w:pStyle w:val="3"/>
        <w:spacing w:before="0" w:after="0" w:line="240" w:lineRule="auto"/>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5AED23B5">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 xml:space="preserve">授权日期：  </w:t>
      </w:r>
      <w:r>
        <w:rPr>
          <w:rFonts w:hint="eastAsia" w:ascii="仿宋_GB2312" w:eastAsia="仿宋_GB2312" w:cs="Times New Roman" w:hAnsiTheme="minorEastAsia"/>
          <w:sz w:val="20"/>
          <w:highlight w:val="none"/>
          <w:lang w:val="en-US" w:eastAsia="zh-CN"/>
        </w:rPr>
        <w:t xml:space="preserve"> </w:t>
      </w:r>
      <w:r>
        <w:rPr>
          <w:rFonts w:hint="eastAsia" w:ascii="仿宋_GB2312" w:eastAsia="仿宋_GB2312" w:cs="Times New Roman" w:hAnsiTheme="minorEastAsia"/>
          <w:sz w:val="20"/>
          <w:highlight w:val="none"/>
          <w:lang w:eastAsia="zh-CN"/>
        </w:rPr>
        <w:t xml:space="preserve"> 年   月   日</w:t>
      </w:r>
    </w:p>
    <w:p w14:paraId="6F6AE5B7">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p>
    <w:p w14:paraId="542210F3">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p>
    <w:p w14:paraId="6F9020B2">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p>
    <w:p w14:paraId="2571D44A">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p>
    <w:p w14:paraId="1E413222">
      <w:pPr>
        <w:pStyle w:val="3"/>
        <w:spacing w:before="0"/>
        <w:ind w:left="0" w:right="153" w:firstLine="0" w:firstLineChars="0"/>
        <w:jc w:val="both"/>
        <w:rPr>
          <w:rFonts w:ascii="仿宋_GB2312" w:eastAsia="仿宋_GB2312" w:cs="Times New Roman" w:hAnsiTheme="minorEastAsia"/>
          <w:color w:val="auto"/>
          <w:sz w:val="20"/>
          <w:highlight w:val="none"/>
          <w:lang w:eastAsia="zh-CN"/>
        </w:rPr>
      </w:pPr>
    </w:p>
    <w:p w14:paraId="417141A9">
      <w:pPr>
        <w:pStyle w:val="3"/>
        <w:spacing w:before="0"/>
        <w:ind w:left="0" w:right="153" w:firstLine="400" w:firstLineChars="200"/>
        <w:jc w:val="both"/>
        <w:rPr>
          <w:rFonts w:ascii="仿宋_GB2312" w:eastAsia="仿宋_GB2312" w:cs="Times New Roman" w:hAnsiTheme="minorEastAsia"/>
          <w:color w:val="auto"/>
          <w:sz w:val="20"/>
          <w:highlight w:val="none"/>
          <w:lang w:eastAsia="zh-CN"/>
        </w:rPr>
      </w:pPr>
    </w:p>
    <w:p w14:paraId="6BC59A07">
      <w:pPr>
        <w:pStyle w:val="3"/>
        <w:spacing w:before="0"/>
        <w:ind w:left="0" w:right="151"/>
        <w:jc w:val="both"/>
        <w:rPr>
          <w:rFonts w:ascii="Times New Roman" w:hAnsi="Times New Roman" w:cs="Times New Roman" w:eastAsiaTheme="minorEastAsia"/>
          <w:color w:val="auto"/>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7E7C99F0">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3B1B64A2">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187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0DF84841">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dit="readOnly" w:enforcement="1" w:cryptProviderType="rsaFull" w:cryptAlgorithmClass="hash" w:cryptAlgorithmType="typeAny" w:cryptAlgorithmSid="4" w:cryptSpinCount="0" w:hash="ZkCA7sdzRFsi3iFYnakExgXwucw=" w:salt="NBkD7xWBjHvRVyS57BC12Q=="/>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2B45"/>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3BE2"/>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0D1849"/>
    <w:rsid w:val="01630863"/>
    <w:rsid w:val="01DA0A04"/>
    <w:rsid w:val="01E05A8D"/>
    <w:rsid w:val="029A583A"/>
    <w:rsid w:val="02B97306"/>
    <w:rsid w:val="02CF332D"/>
    <w:rsid w:val="03012F7E"/>
    <w:rsid w:val="03046C01"/>
    <w:rsid w:val="030D7C35"/>
    <w:rsid w:val="030E4812"/>
    <w:rsid w:val="03193E88"/>
    <w:rsid w:val="031A0E08"/>
    <w:rsid w:val="031C038C"/>
    <w:rsid w:val="037B5C03"/>
    <w:rsid w:val="039376F6"/>
    <w:rsid w:val="03E50FF2"/>
    <w:rsid w:val="03FB529E"/>
    <w:rsid w:val="042D253F"/>
    <w:rsid w:val="04351B1E"/>
    <w:rsid w:val="048C2F61"/>
    <w:rsid w:val="048F2346"/>
    <w:rsid w:val="04D25032"/>
    <w:rsid w:val="04E6645F"/>
    <w:rsid w:val="050F71A4"/>
    <w:rsid w:val="05191F30"/>
    <w:rsid w:val="058C20F2"/>
    <w:rsid w:val="05EC7342"/>
    <w:rsid w:val="05F16C61"/>
    <w:rsid w:val="05FD30CD"/>
    <w:rsid w:val="06474F15"/>
    <w:rsid w:val="065562F4"/>
    <w:rsid w:val="06626E08"/>
    <w:rsid w:val="0678266B"/>
    <w:rsid w:val="068C5A4E"/>
    <w:rsid w:val="069B175C"/>
    <w:rsid w:val="069C362A"/>
    <w:rsid w:val="06A74079"/>
    <w:rsid w:val="070D7B88"/>
    <w:rsid w:val="075E308C"/>
    <w:rsid w:val="07626904"/>
    <w:rsid w:val="07684137"/>
    <w:rsid w:val="07766914"/>
    <w:rsid w:val="07783827"/>
    <w:rsid w:val="078109E0"/>
    <w:rsid w:val="0791749F"/>
    <w:rsid w:val="07B3102C"/>
    <w:rsid w:val="07DE1B77"/>
    <w:rsid w:val="081F6CA6"/>
    <w:rsid w:val="08516931"/>
    <w:rsid w:val="095309DF"/>
    <w:rsid w:val="0983691B"/>
    <w:rsid w:val="09D07D3B"/>
    <w:rsid w:val="0A013DDF"/>
    <w:rsid w:val="0A0253BF"/>
    <w:rsid w:val="0A076019"/>
    <w:rsid w:val="0A2F48BB"/>
    <w:rsid w:val="0A6F34C6"/>
    <w:rsid w:val="0AA01C07"/>
    <w:rsid w:val="0AAD2A8C"/>
    <w:rsid w:val="0AE8697D"/>
    <w:rsid w:val="0B056FE5"/>
    <w:rsid w:val="0B2719A6"/>
    <w:rsid w:val="0B2C2A6D"/>
    <w:rsid w:val="0B4237BD"/>
    <w:rsid w:val="0BD52987"/>
    <w:rsid w:val="0BDD2332"/>
    <w:rsid w:val="0BDE4085"/>
    <w:rsid w:val="0CAC24CD"/>
    <w:rsid w:val="0CC04945"/>
    <w:rsid w:val="0CF208CB"/>
    <w:rsid w:val="0D5044E7"/>
    <w:rsid w:val="0DA71144"/>
    <w:rsid w:val="0DB32F07"/>
    <w:rsid w:val="0DBE4435"/>
    <w:rsid w:val="0E3C53EA"/>
    <w:rsid w:val="0E734286"/>
    <w:rsid w:val="0E9B0236"/>
    <w:rsid w:val="0EB53C42"/>
    <w:rsid w:val="0EE72BF0"/>
    <w:rsid w:val="0EF76039"/>
    <w:rsid w:val="0F21686D"/>
    <w:rsid w:val="0F382885"/>
    <w:rsid w:val="0F652A39"/>
    <w:rsid w:val="0F6932DE"/>
    <w:rsid w:val="0F6E53ED"/>
    <w:rsid w:val="0F760D9A"/>
    <w:rsid w:val="0F810C56"/>
    <w:rsid w:val="0F913E70"/>
    <w:rsid w:val="0F9C2440"/>
    <w:rsid w:val="0FC16884"/>
    <w:rsid w:val="102449AA"/>
    <w:rsid w:val="1027474A"/>
    <w:rsid w:val="10521CAA"/>
    <w:rsid w:val="10ED5B17"/>
    <w:rsid w:val="10F2115A"/>
    <w:rsid w:val="1112258D"/>
    <w:rsid w:val="112453DC"/>
    <w:rsid w:val="1130271F"/>
    <w:rsid w:val="11516927"/>
    <w:rsid w:val="11B5691A"/>
    <w:rsid w:val="11C03FC2"/>
    <w:rsid w:val="11C805DB"/>
    <w:rsid w:val="11D91644"/>
    <w:rsid w:val="11FD76D7"/>
    <w:rsid w:val="123A37D6"/>
    <w:rsid w:val="12665599"/>
    <w:rsid w:val="127D4523"/>
    <w:rsid w:val="12C5400E"/>
    <w:rsid w:val="13030BA8"/>
    <w:rsid w:val="13D7311C"/>
    <w:rsid w:val="13F83B99"/>
    <w:rsid w:val="140519DE"/>
    <w:rsid w:val="14727376"/>
    <w:rsid w:val="14A624F0"/>
    <w:rsid w:val="14C653AD"/>
    <w:rsid w:val="16033618"/>
    <w:rsid w:val="162177DE"/>
    <w:rsid w:val="163470AB"/>
    <w:rsid w:val="169909FE"/>
    <w:rsid w:val="16C974ED"/>
    <w:rsid w:val="171D097B"/>
    <w:rsid w:val="17517DCD"/>
    <w:rsid w:val="17730BB7"/>
    <w:rsid w:val="17B32E8B"/>
    <w:rsid w:val="17B81688"/>
    <w:rsid w:val="17BA2EE0"/>
    <w:rsid w:val="180C1CEB"/>
    <w:rsid w:val="181A7BF4"/>
    <w:rsid w:val="183A12C3"/>
    <w:rsid w:val="188624CB"/>
    <w:rsid w:val="188E7186"/>
    <w:rsid w:val="189C466F"/>
    <w:rsid w:val="19196448"/>
    <w:rsid w:val="19242D93"/>
    <w:rsid w:val="194018E0"/>
    <w:rsid w:val="19594B37"/>
    <w:rsid w:val="197E6912"/>
    <w:rsid w:val="199D412D"/>
    <w:rsid w:val="19CE58E6"/>
    <w:rsid w:val="19CF1F1C"/>
    <w:rsid w:val="1A6E26F7"/>
    <w:rsid w:val="1AAC404F"/>
    <w:rsid w:val="1AAF1662"/>
    <w:rsid w:val="1ADD4893"/>
    <w:rsid w:val="1B2E105A"/>
    <w:rsid w:val="1B4432C9"/>
    <w:rsid w:val="1B481CCF"/>
    <w:rsid w:val="1B5B6771"/>
    <w:rsid w:val="1B72728A"/>
    <w:rsid w:val="1BA13F81"/>
    <w:rsid w:val="1BCC32DE"/>
    <w:rsid w:val="1BCD08AB"/>
    <w:rsid w:val="1BEC3787"/>
    <w:rsid w:val="1C0F1C58"/>
    <w:rsid w:val="1D27067C"/>
    <w:rsid w:val="1D4C369E"/>
    <w:rsid w:val="1D5338BF"/>
    <w:rsid w:val="1D625841"/>
    <w:rsid w:val="1E1259E5"/>
    <w:rsid w:val="1E2B7CDF"/>
    <w:rsid w:val="1E2C1E9D"/>
    <w:rsid w:val="1E9A4022"/>
    <w:rsid w:val="1F4660F2"/>
    <w:rsid w:val="1F727B4A"/>
    <w:rsid w:val="1FA24E77"/>
    <w:rsid w:val="1FCDB13A"/>
    <w:rsid w:val="1FDE39D7"/>
    <w:rsid w:val="20371AE7"/>
    <w:rsid w:val="20B51651"/>
    <w:rsid w:val="21044246"/>
    <w:rsid w:val="210843BE"/>
    <w:rsid w:val="210D392C"/>
    <w:rsid w:val="2118294D"/>
    <w:rsid w:val="215C1C4A"/>
    <w:rsid w:val="215F4DCD"/>
    <w:rsid w:val="21A65541"/>
    <w:rsid w:val="21E960C4"/>
    <w:rsid w:val="2214368F"/>
    <w:rsid w:val="225D52F8"/>
    <w:rsid w:val="227E53A7"/>
    <w:rsid w:val="228429B1"/>
    <w:rsid w:val="228B233C"/>
    <w:rsid w:val="22CA78A2"/>
    <w:rsid w:val="22D9016A"/>
    <w:rsid w:val="23A62DEA"/>
    <w:rsid w:val="23AC5446"/>
    <w:rsid w:val="24584D07"/>
    <w:rsid w:val="24A763C8"/>
    <w:rsid w:val="24C74FF9"/>
    <w:rsid w:val="24D91187"/>
    <w:rsid w:val="24E14A0E"/>
    <w:rsid w:val="25465E76"/>
    <w:rsid w:val="2557104C"/>
    <w:rsid w:val="259E61E1"/>
    <w:rsid w:val="25A3352B"/>
    <w:rsid w:val="25A86781"/>
    <w:rsid w:val="260B223A"/>
    <w:rsid w:val="26310EB8"/>
    <w:rsid w:val="26366D75"/>
    <w:rsid w:val="26720712"/>
    <w:rsid w:val="26E32B62"/>
    <w:rsid w:val="271A0E36"/>
    <w:rsid w:val="274D025A"/>
    <w:rsid w:val="27C03949"/>
    <w:rsid w:val="286838DD"/>
    <w:rsid w:val="286B0B26"/>
    <w:rsid w:val="28C0305D"/>
    <w:rsid w:val="28E56D4B"/>
    <w:rsid w:val="2909285F"/>
    <w:rsid w:val="295A64D5"/>
    <w:rsid w:val="297D0620"/>
    <w:rsid w:val="29817026"/>
    <w:rsid w:val="29DA733C"/>
    <w:rsid w:val="2A086006"/>
    <w:rsid w:val="2A4610ED"/>
    <w:rsid w:val="2A6641AE"/>
    <w:rsid w:val="2A6C5518"/>
    <w:rsid w:val="2A712318"/>
    <w:rsid w:val="2AFD1D96"/>
    <w:rsid w:val="2B7A4827"/>
    <w:rsid w:val="2BD04F50"/>
    <w:rsid w:val="2C1B0EE8"/>
    <w:rsid w:val="2C3C60F2"/>
    <w:rsid w:val="2C453755"/>
    <w:rsid w:val="2C595FF5"/>
    <w:rsid w:val="2C8A2821"/>
    <w:rsid w:val="2C8E5563"/>
    <w:rsid w:val="2C9256AF"/>
    <w:rsid w:val="2CB7246A"/>
    <w:rsid w:val="2CC70108"/>
    <w:rsid w:val="2D387FE3"/>
    <w:rsid w:val="2D502231"/>
    <w:rsid w:val="2DD56FC0"/>
    <w:rsid w:val="2DEB1F68"/>
    <w:rsid w:val="2E0D0FA1"/>
    <w:rsid w:val="2E5449DE"/>
    <w:rsid w:val="2E5E5A60"/>
    <w:rsid w:val="2E703288"/>
    <w:rsid w:val="2E885A53"/>
    <w:rsid w:val="2E9E0C07"/>
    <w:rsid w:val="2EFF75CB"/>
    <w:rsid w:val="2F1B72F8"/>
    <w:rsid w:val="2FD17CFF"/>
    <w:rsid w:val="2FEF2213"/>
    <w:rsid w:val="303D1C39"/>
    <w:rsid w:val="309D309C"/>
    <w:rsid w:val="30ED0EF7"/>
    <w:rsid w:val="30F77AE2"/>
    <w:rsid w:val="313F2A54"/>
    <w:rsid w:val="31E21AF2"/>
    <w:rsid w:val="32020C12"/>
    <w:rsid w:val="32410E19"/>
    <w:rsid w:val="32794136"/>
    <w:rsid w:val="327F1EE7"/>
    <w:rsid w:val="32EB1216"/>
    <w:rsid w:val="33070EF7"/>
    <w:rsid w:val="334C7E34"/>
    <w:rsid w:val="33733098"/>
    <w:rsid w:val="33847311"/>
    <w:rsid w:val="339A30CA"/>
    <w:rsid w:val="33EF6CA5"/>
    <w:rsid w:val="340F677C"/>
    <w:rsid w:val="342D50A6"/>
    <w:rsid w:val="34445D6F"/>
    <w:rsid w:val="34783674"/>
    <w:rsid w:val="34AD34D5"/>
    <w:rsid w:val="34D0039C"/>
    <w:rsid w:val="34E34BD5"/>
    <w:rsid w:val="350031D3"/>
    <w:rsid w:val="351B2B95"/>
    <w:rsid w:val="351D2E5D"/>
    <w:rsid w:val="35496F75"/>
    <w:rsid w:val="354E203A"/>
    <w:rsid w:val="35567190"/>
    <w:rsid w:val="35607A21"/>
    <w:rsid w:val="358D75EC"/>
    <w:rsid w:val="35915BB8"/>
    <w:rsid w:val="35F22304"/>
    <w:rsid w:val="35FE218C"/>
    <w:rsid w:val="363A721E"/>
    <w:rsid w:val="36776078"/>
    <w:rsid w:val="36901B94"/>
    <w:rsid w:val="36BA76ED"/>
    <w:rsid w:val="36F06FA0"/>
    <w:rsid w:val="370370EE"/>
    <w:rsid w:val="3712093C"/>
    <w:rsid w:val="37C847EC"/>
    <w:rsid w:val="37CE0151"/>
    <w:rsid w:val="38197870"/>
    <w:rsid w:val="3873062B"/>
    <w:rsid w:val="38840E27"/>
    <w:rsid w:val="38862B6A"/>
    <w:rsid w:val="390868E7"/>
    <w:rsid w:val="39533BFC"/>
    <w:rsid w:val="39957106"/>
    <w:rsid w:val="3996777E"/>
    <w:rsid w:val="39D9027B"/>
    <w:rsid w:val="3A2B6A85"/>
    <w:rsid w:val="3A397C14"/>
    <w:rsid w:val="3A503716"/>
    <w:rsid w:val="3A7F04BA"/>
    <w:rsid w:val="3A996727"/>
    <w:rsid w:val="3B293BD8"/>
    <w:rsid w:val="3B2E7228"/>
    <w:rsid w:val="3B632B7A"/>
    <w:rsid w:val="3B744B08"/>
    <w:rsid w:val="3BDD17CA"/>
    <w:rsid w:val="3C2C33DA"/>
    <w:rsid w:val="3C8342D6"/>
    <w:rsid w:val="3CE40AC4"/>
    <w:rsid w:val="3D122038"/>
    <w:rsid w:val="3D2E7E19"/>
    <w:rsid w:val="3D4A6601"/>
    <w:rsid w:val="3DBD31DE"/>
    <w:rsid w:val="3DD11EBE"/>
    <w:rsid w:val="3DEDD7DD"/>
    <w:rsid w:val="3DEF4DCE"/>
    <w:rsid w:val="3DEF6216"/>
    <w:rsid w:val="3DFE3A36"/>
    <w:rsid w:val="3EB75D22"/>
    <w:rsid w:val="3F0246A0"/>
    <w:rsid w:val="3F0E5FE1"/>
    <w:rsid w:val="3FBF7596"/>
    <w:rsid w:val="3FFE0EBC"/>
    <w:rsid w:val="400171B2"/>
    <w:rsid w:val="40202543"/>
    <w:rsid w:val="409D6470"/>
    <w:rsid w:val="40C355D0"/>
    <w:rsid w:val="41A6104F"/>
    <w:rsid w:val="41F25CC2"/>
    <w:rsid w:val="41F979B9"/>
    <w:rsid w:val="41FC07CF"/>
    <w:rsid w:val="424A1765"/>
    <w:rsid w:val="428E560E"/>
    <w:rsid w:val="42972AA2"/>
    <w:rsid w:val="42C15095"/>
    <w:rsid w:val="43E413DC"/>
    <w:rsid w:val="43E84AF1"/>
    <w:rsid w:val="44284488"/>
    <w:rsid w:val="44E43A96"/>
    <w:rsid w:val="44E642BC"/>
    <w:rsid w:val="458D1B26"/>
    <w:rsid w:val="45DA4AC8"/>
    <w:rsid w:val="4600745A"/>
    <w:rsid w:val="463446BC"/>
    <w:rsid w:val="47121447"/>
    <w:rsid w:val="47983344"/>
    <w:rsid w:val="47CD1B32"/>
    <w:rsid w:val="480510B4"/>
    <w:rsid w:val="482F21A7"/>
    <w:rsid w:val="4878573D"/>
    <w:rsid w:val="48D37C4F"/>
    <w:rsid w:val="48E501A3"/>
    <w:rsid w:val="48FC63B8"/>
    <w:rsid w:val="49996F4C"/>
    <w:rsid w:val="49B852D6"/>
    <w:rsid w:val="49C71939"/>
    <w:rsid w:val="49C84468"/>
    <w:rsid w:val="49EA1AB4"/>
    <w:rsid w:val="49F30EEF"/>
    <w:rsid w:val="4A98222D"/>
    <w:rsid w:val="4ABC6F00"/>
    <w:rsid w:val="4B476132"/>
    <w:rsid w:val="4B624068"/>
    <w:rsid w:val="4B73629E"/>
    <w:rsid w:val="4B8C2BFF"/>
    <w:rsid w:val="4B9A6B38"/>
    <w:rsid w:val="4B9C7038"/>
    <w:rsid w:val="4BA136CA"/>
    <w:rsid w:val="4C6F05D5"/>
    <w:rsid w:val="4C9A69EC"/>
    <w:rsid w:val="4CAE7FFA"/>
    <w:rsid w:val="4D453A21"/>
    <w:rsid w:val="4D8A72EA"/>
    <w:rsid w:val="4DEF4B90"/>
    <w:rsid w:val="4E295A47"/>
    <w:rsid w:val="4E5978A2"/>
    <w:rsid w:val="4E5C081F"/>
    <w:rsid w:val="4E81272E"/>
    <w:rsid w:val="4EC925D0"/>
    <w:rsid w:val="4EED488B"/>
    <w:rsid w:val="4F081AC8"/>
    <w:rsid w:val="4F2855F2"/>
    <w:rsid w:val="4F467546"/>
    <w:rsid w:val="4F6D2EAC"/>
    <w:rsid w:val="4FB0396D"/>
    <w:rsid w:val="4FBB2F3E"/>
    <w:rsid w:val="500630BF"/>
    <w:rsid w:val="501860FD"/>
    <w:rsid w:val="50431B59"/>
    <w:rsid w:val="50683A95"/>
    <w:rsid w:val="506A7B35"/>
    <w:rsid w:val="506C7A8C"/>
    <w:rsid w:val="50EE2143"/>
    <w:rsid w:val="51430639"/>
    <w:rsid w:val="514C3445"/>
    <w:rsid w:val="52597DAA"/>
    <w:rsid w:val="528E36F7"/>
    <w:rsid w:val="52EB1E22"/>
    <w:rsid w:val="536B0520"/>
    <w:rsid w:val="539D69D5"/>
    <w:rsid w:val="53DC1DE8"/>
    <w:rsid w:val="54571DEF"/>
    <w:rsid w:val="54D304C6"/>
    <w:rsid w:val="54E824EA"/>
    <w:rsid w:val="54ED44E0"/>
    <w:rsid w:val="55A819C2"/>
    <w:rsid w:val="55F23D8E"/>
    <w:rsid w:val="56110DC0"/>
    <w:rsid w:val="561452D4"/>
    <w:rsid w:val="562C07C8"/>
    <w:rsid w:val="568A7FDF"/>
    <w:rsid w:val="56C85849"/>
    <w:rsid w:val="56EA1D71"/>
    <w:rsid w:val="56F83F6D"/>
    <w:rsid w:val="579E1D64"/>
    <w:rsid w:val="57A37CC2"/>
    <w:rsid w:val="57BB3786"/>
    <w:rsid w:val="57BC03CB"/>
    <w:rsid w:val="58151426"/>
    <w:rsid w:val="583A3C61"/>
    <w:rsid w:val="58800384"/>
    <w:rsid w:val="5889654C"/>
    <w:rsid w:val="58C3162E"/>
    <w:rsid w:val="59934285"/>
    <w:rsid w:val="59EF6B9D"/>
    <w:rsid w:val="59F3385B"/>
    <w:rsid w:val="5A6F296E"/>
    <w:rsid w:val="5B313179"/>
    <w:rsid w:val="5B45038E"/>
    <w:rsid w:val="5BC76A3E"/>
    <w:rsid w:val="5BFD55F8"/>
    <w:rsid w:val="5C337435"/>
    <w:rsid w:val="5C7D6313"/>
    <w:rsid w:val="5CFA687E"/>
    <w:rsid w:val="5D10596F"/>
    <w:rsid w:val="5D5958B4"/>
    <w:rsid w:val="5D7302AA"/>
    <w:rsid w:val="5D793BEB"/>
    <w:rsid w:val="5DB612BC"/>
    <w:rsid w:val="5E6C3DEB"/>
    <w:rsid w:val="5E857146"/>
    <w:rsid w:val="5E952BF9"/>
    <w:rsid w:val="5EAF02B6"/>
    <w:rsid w:val="5ED35121"/>
    <w:rsid w:val="5EF410A4"/>
    <w:rsid w:val="5EFC7815"/>
    <w:rsid w:val="5EFD7CA0"/>
    <w:rsid w:val="5F781F59"/>
    <w:rsid w:val="5FEF2907"/>
    <w:rsid w:val="60237489"/>
    <w:rsid w:val="6043407E"/>
    <w:rsid w:val="6057749B"/>
    <w:rsid w:val="60796801"/>
    <w:rsid w:val="60CF459F"/>
    <w:rsid w:val="60E05C1B"/>
    <w:rsid w:val="61106D9A"/>
    <w:rsid w:val="61363955"/>
    <w:rsid w:val="614D1F85"/>
    <w:rsid w:val="61AF0D51"/>
    <w:rsid w:val="61C3144A"/>
    <w:rsid w:val="61DF49C7"/>
    <w:rsid w:val="61E47F27"/>
    <w:rsid w:val="61EB3135"/>
    <w:rsid w:val="62055809"/>
    <w:rsid w:val="62107E49"/>
    <w:rsid w:val="625E4464"/>
    <w:rsid w:val="62C01E93"/>
    <w:rsid w:val="62D175DE"/>
    <w:rsid w:val="62D94371"/>
    <w:rsid w:val="62F56818"/>
    <w:rsid w:val="63A9658E"/>
    <w:rsid w:val="63F633EF"/>
    <w:rsid w:val="643F1421"/>
    <w:rsid w:val="64A6172A"/>
    <w:rsid w:val="64A61A86"/>
    <w:rsid w:val="64C331DE"/>
    <w:rsid w:val="64D879FF"/>
    <w:rsid w:val="64ED11A3"/>
    <w:rsid w:val="64F525E3"/>
    <w:rsid w:val="65230C58"/>
    <w:rsid w:val="656E5303"/>
    <w:rsid w:val="65807AF4"/>
    <w:rsid w:val="65CA1FFA"/>
    <w:rsid w:val="65D91EA2"/>
    <w:rsid w:val="65E513B9"/>
    <w:rsid w:val="663955FE"/>
    <w:rsid w:val="66857682"/>
    <w:rsid w:val="67065B78"/>
    <w:rsid w:val="674321D8"/>
    <w:rsid w:val="67821123"/>
    <w:rsid w:val="67AE2F25"/>
    <w:rsid w:val="67EF1D97"/>
    <w:rsid w:val="686F63BE"/>
    <w:rsid w:val="68ED48E8"/>
    <w:rsid w:val="6929078C"/>
    <w:rsid w:val="693661AE"/>
    <w:rsid w:val="6943088F"/>
    <w:rsid w:val="69586E9D"/>
    <w:rsid w:val="69684C84"/>
    <w:rsid w:val="697100A3"/>
    <w:rsid w:val="69811F27"/>
    <w:rsid w:val="699448A8"/>
    <w:rsid w:val="699B4CCF"/>
    <w:rsid w:val="69C61397"/>
    <w:rsid w:val="69CF6268"/>
    <w:rsid w:val="6A564746"/>
    <w:rsid w:val="6A832B94"/>
    <w:rsid w:val="6AA17E00"/>
    <w:rsid w:val="6AD66FD5"/>
    <w:rsid w:val="6B2312D3"/>
    <w:rsid w:val="6B570828"/>
    <w:rsid w:val="6B8453B6"/>
    <w:rsid w:val="6BC933A4"/>
    <w:rsid w:val="6BF1329A"/>
    <w:rsid w:val="6BFB1336"/>
    <w:rsid w:val="6C041222"/>
    <w:rsid w:val="6C576130"/>
    <w:rsid w:val="6C5771D1"/>
    <w:rsid w:val="6CCB038A"/>
    <w:rsid w:val="6CE56ECE"/>
    <w:rsid w:val="6D082649"/>
    <w:rsid w:val="6DF758F9"/>
    <w:rsid w:val="6E0D7478"/>
    <w:rsid w:val="6E123F24"/>
    <w:rsid w:val="6E2C2E1F"/>
    <w:rsid w:val="6EC5724B"/>
    <w:rsid w:val="6EFB7F51"/>
    <w:rsid w:val="6F104D31"/>
    <w:rsid w:val="6F2149DA"/>
    <w:rsid w:val="6F310AF8"/>
    <w:rsid w:val="6F5844AD"/>
    <w:rsid w:val="6F8A4E24"/>
    <w:rsid w:val="700E08F9"/>
    <w:rsid w:val="705C52BE"/>
    <w:rsid w:val="70621D76"/>
    <w:rsid w:val="7084445F"/>
    <w:rsid w:val="71A60723"/>
    <w:rsid w:val="71C26DEB"/>
    <w:rsid w:val="71E753E4"/>
    <w:rsid w:val="71EC7C23"/>
    <w:rsid w:val="71ED6243"/>
    <w:rsid w:val="720802A1"/>
    <w:rsid w:val="72260782"/>
    <w:rsid w:val="72360666"/>
    <w:rsid w:val="72B01834"/>
    <w:rsid w:val="72D25003"/>
    <w:rsid w:val="73A87D4E"/>
    <w:rsid w:val="73BB5314"/>
    <w:rsid w:val="741A1322"/>
    <w:rsid w:val="741C43D9"/>
    <w:rsid w:val="74985F15"/>
    <w:rsid w:val="749860E2"/>
    <w:rsid w:val="74BE5317"/>
    <w:rsid w:val="75263A42"/>
    <w:rsid w:val="757C1C26"/>
    <w:rsid w:val="75930820"/>
    <w:rsid w:val="75AA1FAA"/>
    <w:rsid w:val="75AA6A93"/>
    <w:rsid w:val="75F44015"/>
    <w:rsid w:val="75FB4A57"/>
    <w:rsid w:val="76D91AA8"/>
    <w:rsid w:val="76F27835"/>
    <w:rsid w:val="775BB6CD"/>
    <w:rsid w:val="779FCF2C"/>
    <w:rsid w:val="77E361CA"/>
    <w:rsid w:val="77F63FEE"/>
    <w:rsid w:val="78337774"/>
    <w:rsid w:val="78590081"/>
    <w:rsid w:val="786E035A"/>
    <w:rsid w:val="78AC208A"/>
    <w:rsid w:val="78B17E23"/>
    <w:rsid w:val="78CA6116"/>
    <w:rsid w:val="799635CB"/>
    <w:rsid w:val="79A87030"/>
    <w:rsid w:val="79D72F1C"/>
    <w:rsid w:val="7AAC46A7"/>
    <w:rsid w:val="7AC932FE"/>
    <w:rsid w:val="7AE83BB3"/>
    <w:rsid w:val="7AF842C4"/>
    <w:rsid w:val="7B70048C"/>
    <w:rsid w:val="7BBF3C16"/>
    <w:rsid w:val="7BD64526"/>
    <w:rsid w:val="7BD85095"/>
    <w:rsid w:val="7BE505D2"/>
    <w:rsid w:val="7BF5A392"/>
    <w:rsid w:val="7C677389"/>
    <w:rsid w:val="7C9F0D06"/>
    <w:rsid w:val="7CA7288F"/>
    <w:rsid w:val="7CB4165F"/>
    <w:rsid w:val="7CCB1E2B"/>
    <w:rsid w:val="7D474C0F"/>
    <w:rsid w:val="7D550FB6"/>
    <w:rsid w:val="7D562463"/>
    <w:rsid w:val="7D6B16D3"/>
    <w:rsid w:val="7D7654E6"/>
    <w:rsid w:val="7D852E89"/>
    <w:rsid w:val="7D99311C"/>
    <w:rsid w:val="7DD6734A"/>
    <w:rsid w:val="7E0A340A"/>
    <w:rsid w:val="7E472CFD"/>
    <w:rsid w:val="7E845096"/>
    <w:rsid w:val="7EB75E99"/>
    <w:rsid w:val="7EF40595"/>
    <w:rsid w:val="7F461EDE"/>
    <w:rsid w:val="7F599C08"/>
    <w:rsid w:val="7F6F78C1"/>
    <w:rsid w:val="7F771646"/>
    <w:rsid w:val="7F9D6BC9"/>
    <w:rsid w:val="7FCA2E66"/>
    <w:rsid w:val="7FCA46B5"/>
    <w:rsid w:val="7FDF43D0"/>
    <w:rsid w:val="7FFE375C"/>
    <w:rsid w:val="A93F2F1F"/>
    <w:rsid w:val="AEF79946"/>
    <w:rsid w:val="B4FF165F"/>
    <w:rsid w:val="BF6EBCDE"/>
    <w:rsid w:val="CBF71059"/>
    <w:rsid w:val="D2FD8BA3"/>
    <w:rsid w:val="D5CBCBE2"/>
    <w:rsid w:val="DEFF093F"/>
    <w:rsid w:val="DF5FD4B0"/>
    <w:rsid w:val="EBFF255C"/>
    <w:rsid w:val="EF3A397A"/>
    <w:rsid w:val="EFAF6015"/>
    <w:rsid w:val="EFFD2465"/>
    <w:rsid w:val="F36FD942"/>
    <w:rsid w:val="F7DF1BA1"/>
    <w:rsid w:val="F82F0893"/>
    <w:rsid w:val="FE8C65E7"/>
    <w:rsid w:val="FEFF9E53"/>
    <w:rsid w:val="FF7F14D7"/>
    <w:rsid w:val="FFB50401"/>
    <w:rsid w:val="FFCB45BF"/>
    <w:rsid w:val="FFEDEC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 w:type="paragraph" w:customStyle="1" w:styleId="27">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6664</Words>
  <Characters>7089</Characters>
  <Lines>137</Lines>
  <Paragraphs>38</Paragraphs>
  <TotalTime>3</TotalTime>
  <ScaleCrop>false</ScaleCrop>
  <LinksUpToDate>false</LinksUpToDate>
  <CharactersWithSpaces>7267</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2023-04-24T01:32:00Z</dcterms:created>
  <dc:creator>grcb</dc:creator>
  <cp:keywords>()</cp:keywords>
  <cp:lastModifiedBy>汪雁翔</cp:lastModifiedBy>
  <cp:lastPrinted>2024-12-05T20:35:00Z</cp:lastPrinted>
  <dcterms:modified xsi:type="dcterms:W3CDTF">2026-05-15T08:57:40Z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62176CEFFB1743C099C9847BA89C5E9F_13</vt:lpwstr>
  </property>
  <property fmtid="{D5CDD505-2E9C-101B-9397-08002B2CF9AE}" pid="7" name="KSOTemplateDocerSaveRecord">
    <vt:lpwstr>eyJoZGlkIjoiNGUzNjg1MjhjNDU4YmVmODYwNWM3YTI5MGNmY2U3YjgiLCJ1c2VySWQiOiI2MjYwODMwMDEifQ==</vt:lpwstr>
  </property>
</Properties>
</file>