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7C6A0">
      <w:pPr>
        <w:ind w:right="-26" w:rightChars="-12"/>
        <w:jc w:val="center"/>
        <w:rPr>
          <w:rFonts w:hint="default" w:ascii="方正小标宋_GBK" w:hAnsi="方正小标宋_GBK" w:eastAsia="方正小标宋_GBK" w:cs="方正小标宋_GBK"/>
          <w:w w:val="105"/>
          <w:sz w:val="36"/>
          <w:szCs w:val="36"/>
          <w:u w:val="none"/>
          <w:lang w:val="en-US" w:eastAsia="zh-CN"/>
        </w:rPr>
      </w:pPr>
      <w:bookmarkStart w:id="0" w:name="_GoBack"/>
      <w:bookmarkEnd w:id="0"/>
      <w:r>
        <w:rPr>
          <w:rFonts w:hint="eastAsia" w:ascii="方正小标宋_GBK" w:hAnsi="方正小标宋_GBK" w:eastAsia="方正小标宋_GBK" w:cs="方正小标宋_GBK"/>
          <w:sz w:val="36"/>
          <w:szCs w:val="36"/>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6"/>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1年24期</w:t>
      </w:r>
    </w:p>
    <w:p w14:paraId="31888029">
      <w:pPr>
        <w:ind w:right="-26" w:rightChars="-12"/>
        <w:jc w:val="center"/>
        <w:rPr>
          <w:rFonts w:hint="eastAsia" w:ascii="方正小标宋_GBK" w:hAnsi="方正小标宋_GBK" w:eastAsia="方正小标宋_GBK" w:cs="方正小标宋_GBK"/>
          <w:w w:val="105"/>
          <w:sz w:val="36"/>
          <w:szCs w:val="36"/>
          <w:lang w:eastAsia="zh-CN"/>
        </w:rPr>
      </w:pPr>
      <w:r>
        <w:rPr>
          <w:rFonts w:hint="eastAsia" w:ascii="方正小标宋_GBK" w:hAnsi="方正小标宋_GBK" w:eastAsia="方正小标宋_GBK" w:cs="方正小标宋_GBK"/>
          <w:w w:val="105"/>
          <w:sz w:val="36"/>
          <w:szCs w:val="36"/>
          <w:lang w:eastAsia="zh-CN"/>
        </w:rPr>
        <w:t>理财产品说明书</w:t>
      </w:r>
    </w:p>
    <w:p w14:paraId="6E8B5D4E">
      <w:pPr>
        <w:wordWrap w:val="0"/>
        <w:ind w:right="-26" w:rightChars="-12"/>
        <w:jc w:val="right"/>
        <w:rPr>
          <w:rFonts w:hint="eastAsia" w:ascii="Times New Roman" w:hAnsi="Times New Roman" w:eastAsia="方正小标宋简体" w:cs="Times New Roman"/>
          <w:w w:val="105"/>
          <w:sz w:val="36"/>
          <w:szCs w:val="30"/>
          <w:lang w:eastAsia="zh-CN"/>
        </w:rPr>
      </w:pPr>
      <w:r>
        <w:rPr>
          <w:rFonts w:hint="eastAsia" w:ascii="仿宋_GB2312" w:hAnsi="Times New Roman" w:eastAsia="仿宋_GB2312" w:cs="Times New Roman"/>
          <w:color w:val="auto"/>
          <w:w w:val="100"/>
          <w:sz w:val="20"/>
          <w:szCs w:val="22"/>
          <w:highlight w:val="none"/>
          <w:lang w:val="en-US" w:eastAsia="zh-CN"/>
        </w:rPr>
        <w:t>版本号：V1.0-2025.02</w:t>
      </w:r>
    </w:p>
    <w:p w14:paraId="4C7ACE7D">
      <w:pPr>
        <w:ind w:right="-6519" w:rightChars="-2963" w:firstLine="480" w:firstLineChars="200"/>
        <w:rPr>
          <w:rFonts w:ascii="Times New Roman" w:hAnsi="黑体" w:eastAsia="黑体" w:cs="Times New Roman"/>
          <w:sz w:val="24"/>
          <w:szCs w:val="24"/>
          <w:lang w:eastAsia="zh-CN"/>
        </w:rPr>
      </w:pPr>
    </w:p>
    <w:p w14:paraId="65B292E8">
      <w:pPr>
        <w:pStyle w:val="18"/>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3561DA0F">
      <w:pPr>
        <w:numPr>
          <w:ilvl w:val="0"/>
          <w:numId w:val="1"/>
        </w:numPr>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p>
    <w:p w14:paraId="0473C08D">
      <w:pPr>
        <w:pStyle w:val="18"/>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50C8962A">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理财产品的信息披露情况，及时获取相关信息。</w:t>
      </w:r>
    </w:p>
    <w:p w14:paraId="701EF558">
      <w:pPr>
        <w:pStyle w:val="18"/>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773E9AD">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77EF46C0">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5BA1E381">
      <w:pPr>
        <w:pStyle w:val="18"/>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88E62BA">
      <w:pPr>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0B9E8D08">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47D2B43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72048C4B">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3EAD9D8D">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2BF402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B9AF2D2">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F7B42D8">
      <w:pPr>
        <w:keepNext w:val="0"/>
        <w:keepLines w:val="0"/>
        <w:widowControl/>
        <w:suppressLineNumbers w:val="0"/>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5523CEAD">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1959E1F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7C7E8831">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是指开放期内投资者可以申购、赎回本理财产品的任一日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60EFF85F">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指自理财产品成立日起，至理财计划终止日的期间。</w:t>
      </w:r>
    </w:p>
    <w:p w14:paraId="07E00E10">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36CA4B4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63F144B1">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超值宝定开1年24期理财产品</w:t>
      </w:r>
      <w:r>
        <w:rPr>
          <w:rFonts w:hint="eastAsia" w:ascii="仿宋_GB2312" w:hAnsi="仿宋_GB2312" w:eastAsia="仿宋_GB2312" w:cs="仿宋_GB2312"/>
          <w:color w:val="auto"/>
          <w:kern w:val="0"/>
          <w:sz w:val="20"/>
          <w:szCs w:val="20"/>
          <w:highlight w:val="none"/>
          <w:lang w:val="en-US" w:eastAsia="zh-CN" w:bidi="ar"/>
        </w:rPr>
        <w:t>。</w:t>
      </w:r>
    </w:p>
    <w:p w14:paraId="18D28F27">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07AB9620">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16.理财产品单位净值：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2EF14111">
      <w:pPr>
        <w:keepNext w:val="0"/>
        <w:keepLines w:val="0"/>
        <w:widowControl/>
        <w:suppressLineNumbers w:val="0"/>
        <w:spacing w:after="0" w:line="240" w:lineRule="auto"/>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理财产品累计净值是指理财产品单位净值加上成立以来每份累计分配收益的金额，累计净值只作为一个参照值存在，不代表未来投资收益。</w:t>
      </w:r>
    </w:p>
    <w:p w14:paraId="248F86B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0F5047C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1940DFCA">
      <w:pPr>
        <w:keepNext w:val="0"/>
        <w:keepLines w:val="0"/>
        <w:widowControl/>
        <w:suppressLineNumbers w:val="0"/>
        <w:ind w:firstLine="402" w:firstLineChars="200"/>
        <w:jc w:val="both"/>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20.赎回：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533245D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21.巨额赎回:</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58B9F39D">
      <w:pPr>
        <w:widowControl/>
        <w:ind w:left="10" w:firstLine="402" w:firstLineChars="200"/>
        <w:jc w:val="both"/>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22.</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43E042BD">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5845A476">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2A17D10F">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08BB32D7">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w:t>
            </w:r>
            <w:r>
              <w:rPr>
                <w:rFonts w:hint="eastAsia" w:ascii="仿宋_GB2312" w:eastAsia="仿宋_GB2312" w:cs="Times New Roman" w:hAnsiTheme="minorEastAsia"/>
                <w:b/>
                <w:bCs/>
                <w:sz w:val="20"/>
                <w:szCs w:val="18"/>
                <w:lang w:eastAsia="zh-CN"/>
              </w:rPr>
              <w:t>年</w:t>
            </w:r>
            <w:r>
              <w:rPr>
                <w:rFonts w:hint="eastAsia" w:ascii="仿宋_GB2312" w:eastAsia="仿宋_GB2312" w:cs="Times New Roman" w:hAnsiTheme="minorEastAsia"/>
                <w:b/>
                <w:bCs/>
                <w:sz w:val="20"/>
                <w:szCs w:val="18"/>
                <w:lang w:val="en-US" w:eastAsia="zh-CN"/>
              </w:rPr>
              <w:t>24</w:t>
            </w:r>
            <w:r>
              <w:rPr>
                <w:rFonts w:hint="eastAsia" w:ascii="仿宋_GB2312" w:eastAsia="仿宋_GB2312" w:cs="Times New Roman" w:hAnsiTheme="minorEastAsia"/>
                <w:b/>
                <w:bCs/>
                <w:sz w:val="20"/>
                <w:szCs w:val="18"/>
                <w:lang w:eastAsia="zh-CN"/>
              </w:rPr>
              <w:t>期理财产品</w:t>
            </w:r>
          </w:p>
        </w:tc>
      </w:tr>
      <w:tr w14:paraId="45ABA89F">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B1717F5">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产品编号</w:t>
            </w:r>
          </w:p>
        </w:tc>
        <w:tc>
          <w:tcPr>
            <w:tcW w:w="6946" w:type="dxa"/>
            <w:tcBorders>
              <w:top w:val="single" w:color="000000" w:sz="4" w:space="0"/>
              <w:left w:val="single" w:color="000000" w:sz="4" w:space="0"/>
              <w:bottom w:val="single" w:color="000000" w:sz="4" w:space="0"/>
              <w:right w:val="single" w:color="000000" w:sz="12" w:space="0"/>
            </w:tcBorders>
            <w:vAlign w:val="center"/>
          </w:tcPr>
          <w:p w14:paraId="3F4E7FAD">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w:t>
            </w:r>
            <w:r>
              <w:rPr>
                <w:rFonts w:hint="eastAsia" w:ascii="仿宋_GB2312" w:hAnsi="Times New Roman" w:eastAsia="仿宋_GB2312" w:cs="Times New Roman"/>
                <w:sz w:val="20"/>
                <w:lang w:val="en-US" w:eastAsia="zh-CN"/>
              </w:rPr>
              <w:t>36</w:t>
            </w:r>
          </w:p>
        </w:tc>
      </w:tr>
      <w:tr w14:paraId="3497BA3D">
        <w:tblPrEx>
          <w:tblCellMar>
            <w:top w:w="0" w:type="dxa"/>
            <w:left w:w="0" w:type="dxa"/>
            <w:bottom w:w="0" w:type="dxa"/>
            <w:right w:w="0" w:type="dxa"/>
          </w:tblCellMar>
        </w:tblPrEx>
        <w:trPr>
          <w:trHeight w:val="78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4B374FE">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1FBF43F0">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C11883240000</w:t>
            </w:r>
            <w:r>
              <w:rPr>
                <w:rFonts w:hint="eastAsia" w:ascii="仿宋_GB2312" w:hAnsi="Times New Roman" w:eastAsia="仿宋_GB2312" w:cs="Times New Roman"/>
                <w:sz w:val="20"/>
                <w:lang w:val="en-US" w:eastAsia="zh-CN"/>
              </w:rPr>
              <w:t>40</w:t>
            </w:r>
          </w:p>
          <w:p w14:paraId="035146FA">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10428D92">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EBBD6E3">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025C59A8">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74860A12">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9D4E28C">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309A9FB8">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262F29B4">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4BDBF23">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746AA5B0">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1E5DD914">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6C5E611">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1D9068E6">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0CA6BC1">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96AD504">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6E66706C">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2F522968">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7A8925A">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36C39715">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32EAF331">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43B46820">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E8EA24D">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5A7E60FD">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4FC1ECD1">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EE49A33">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63F9DE59">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3D2A4F80">
            <w:pPr>
              <w:pStyle w:val="18"/>
              <w:jc w:val="center"/>
              <w:rPr>
                <w:rFonts w:hint="eastAsia" w:ascii="仿宋_GB2312" w:hAnsi="Times New Roman" w:eastAsia="仿宋_GB2312" w:cs="Times New Roman"/>
                <w:sz w:val="20"/>
                <w:szCs w:val="18"/>
                <w:u w:val="single"/>
                <w:lang w:val="en-US" w:eastAsia="zh-CN"/>
              </w:rPr>
            </w:pPr>
          </w:p>
          <w:p w14:paraId="5CA1BAF1">
            <w:pPr>
              <w:pStyle w:val="18"/>
              <w:jc w:val="center"/>
              <w:rPr>
                <w:rFonts w:hint="default" w:ascii="仿宋_GB2312" w:hAnsi="Times New Roman" w:eastAsia="仿宋_GB2312" w:cs="Times New Roman"/>
                <w:sz w:val="20"/>
                <w:szCs w:val="18"/>
                <w:u w:val="single"/>
                <w:lang w:val="en-US" w:eastAsia="zh-CN"/>
              </w:rPr>
            </w:pPr>
          </w:p>
        </w:tc>
      </w:tr>
      <w:tr w14:paraId="37673939">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43011E9">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54CCDDFE">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6E130C64">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8F3CF20">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1C5DA6FA">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4CB1D5F9">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16B7C16">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4D8CFE10">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ED2D47A">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color w:val="auto"/>
                <w:sz w:val="20"/>
                <w:szCs w:val="18"/>
                <w:highlight w:val="none"/>
                <w:lang w:val="en-US" w:eastAsia="zh-CN"/>
              </w:rPr>
              <w:t>有权根据实际需要对产品规模进行调整，产品最终规模以实际募集的金额为准。</w:t>
            </w:r>
          </w:p>
        </w:tc>
      </w:tr>
      <w:tr w14:paraId="1FB556F2">
        <w:tblPrEx>
          <w:tblCellMar>
            <w:top w:w="0" w:type="dxa"/>
            <w:left w:w="0" w:type="dxa"/>
            <w:bottom w:w="0" w:type="dxa"/>
            <w:right w:w="0" w:type="dxa"/>
          </w:tblCellMar>
        </w:tblPrEx>
        <w:trPr>
          <w:trHeight w:val="441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01186FF6">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4E952A07">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2.7</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3.5</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AB510BB">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5E91953D">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2.测算依据：</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标准化固定收益类资产及符合前述投向的信托计划、资产管理计划，投资比例为80%-100%。业绩比较基准是根据产品的投资范围和</w:t>
            </w:r>
            <w:r>
              <w:rPr>
                <w:rFonts w:hint="eastAsia" w:ascii="仿宋_GB2312" w:eastAsia="仿宋_GB2312" w:cs="Times New Roman" w:hAnsiTheme="minorEastAsia"/>
                <w:sz w:val="20"/>
                <w:szCs w:val="18"/>
                <w:lang w:val="en-US" w:eastAsia="zh-CN"/>
              </w:rPr>
              <w:t>周</w:t>
            </w:r>
            <w:r>
              <w:rPr>
                <w:rFonts w:hint="eastAsia" w:ascii="仿宋_GB2312" w:eastAsia="仿宋_GB2312" w:cs="Times New Roman" w:hAnsiTheme="minorEastAsia"/>
                <w:sz w:val="20"/>
                <w:szCs w:val="18"/>
                <w:lang w:eastAsia="zh-CN"/>
              </w:rPr>
              <w:t>期，综合评估宏观经济环境、债券市场历史趋势、近期利率水平等情况，结合产品投资策略进行测算，扣除销售费、管理费、托管费等所有费用后，综合得到产品业绩比较基准。</w:t>
            </w:r>
          </w:p>
          <w:p w14:paraId="6713CC69">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bCs/>
                <w:color w:val="auto"/>
                <w:sz w:val="20"/>
                <w:szCs w:val="20"/>
                <w:highlight w:val="none"/>
                <w:lang w:eastAsia="zh-CN"/>
              </w:rPr>
              <w:t>并至少于新的业绩比较基准启用日之前2个工作日</w:t>
            </w:r>
            <w:r>
              <w:rPr>
                <w:rFonts w:hint="eastAsia" w:ascii="仿宋_GB2312" w:hAnsi="仿宋_GB2312" w:eastAsia="仿宋_GB2312" w:cs="仿宋_GB2312"/>
                <w:b/>
                <w:bCs/>
                <w:color w:val="auto"/>
                <w:sz w:val="20"/>
                <w:szCs w:val="20"/>
                <w:highlight w:val="none"/>
                <w:lang w:val="en-US" w:eastAsia="zh-CN"/>
              </w:rPr>
              <w:t>通过贵阳农商银行官方网站等渠道公布）</w:t>
            </w:r>
            <w:r>
              <w:rPr>
                <w:rFonts w:hint="eastAsia" w:ascii="仿宋_GB2312" w:eastAsia="仿宋_GB2312" w:cs="Times New Roman" w:hAnsiTheme="minorEastAsia"/>
                <w:b/>
                <w:bCs/>
                <w:sz w:val="20"/>
                <w:szCs w:val="18"/>
                <w:lang w:val="en-US" w:eastAsia="zh-CN"/>
              </w:rPr>
              <w:t>。</w:t>
            </w:r>
          </w:p>
          <w:p w14:paraId="1FFB6A78">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承诺。</w:t>
            </w:r>
          </w:p>
        </w:tc>
      </w:tr>
      <w:tr w14:paraId="0242B508">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FEDF11">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B09B74">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r>
              <w:rPr>
                <w:rFonts w:hint="eastAsia" w:ascii="仿宋_GB2312" w:eastAsia="仿宋_GB2312" w:cs="Times New Roman" w:hAnsiTheme="minorEastAsia"/>
                <w:color w:val="auto"/>
                <w:sz w:val="20"/>
                <w:szCs w:val="18"/>
                <w:highlight w:val="none"/>
                <w:lang w:val="en-US" w:eastAsia="zh-CN"/>
              </w:rPr>
              <w:t>即单位份额初始净值为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元/份</w:t>
            </w:r>
            <w:r>
              <w:rPr>
                <w:rFonts w:hint="eastAsia" w:ascii="仿宋_GB2312" w:eastAsia="仿宋_GB2312" w:cs="Times New Roman" w:hAnsiTheme="minorEastAsia"/>
                <w:sz w:val="20"/>
                <w:szCs w:val="18"/>
                <w:highlight w:val="none"/>
                <w:lang w:val="en-US" w:eastAsia="zh-CN"/>
              </w:rPr>
              <w:t>。</w:t>
            </w:r>
          </w:p>
        </w:tc>
      </w:tr>
      <w:tr w14:paraId="3C91DA7C">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523C843">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75E347A8">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，追加金额为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w:t>
            </w:r>
          </w:p>
        </w:tc>
      </w:tr>
      <w:tr w14:paraId="19F504E8">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96E6215">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575E7895">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sz w:val="20"/>
                <w:szCs w:val="18"/>
                <w:u w:val="none"/>
                <w:lang w:val="en-US" w:eastAsia="zh-CN"/>
              </w:rPr>
              <w:t>1</w:t>
            </w:r>
            <w:r>
              <w:rPr>
                <w:rFonts w:hint="eastAsia" w:ascii="仿宋_GB2312" w:eastAsia="仿宋_GB2312" w:cs="Times New Roman" w:hAnsiTheme="minorEastAsia"/>
                <w:sz w:val="20"/>
                <w:szCs w:val="18"/>
                <w:lang w:val="en-US" w:eastAsia="zh-CN"/>
              </w:rPr>
              <w:t>万份</w:t>
            </w:r>
            <w:r>
              <w:rPr>
                <w:rFonts w:ascii="仿宋_GB2312" w:eastAsia="仿宋_GB2312" w:cs="Times New Roman" w:hAnsiTheme="minorEastAsia"/>
                <w:sz w:val="20"/>
                <w:szCs w:val="18"/>
                <w:lang w:eastAsia="zh-CN"/>
              </w:rPr>
              <w:t>。</w:t>
            </w:r>
          </w:p>
        </w:tc>
      </w:tr>
      <w:tr w14:paraId="693BB259">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384FAA4">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57505676">
            <w:pPr>
              <w:pStyle w:val="18"/>
              <w:ind w:left="11" w:leftChars="0"/>
              <w:jc w:val="center"/>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单个投资者持有份额不超过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hAnsi="Times New Roman" w:eastAsia="仿宋_GB2312" w:cs="Times New Roman"/>
                <w:sz w:val="20"/>
                <w:szCs w:val="18"/>
                <w:lang w:eastAsia="zh-CN"/>
              </w:rPr>
              <w:t>根据实际情况将限制申购。</w:t>
            </w:r>
          </w:p>
        </w:tc>
      </w:tr>
      <w:tr w14:paraId="1EAE1AF6">
        <w:tblPrEx>
          <w:tblCellMar>
            <w:top w:w="0" w:type="dxa"/>
            <w:left w:w="0" w:type="dxa"/>
            <w:bottom w:w="0" w:type="dxa"/>
            <w:right w:w="0" w:type="dxa"/>
          </w:tblCellMar>
        </w:tblPrEx>
        <w:trPr>
          <w:trHeight w:val="5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E999738">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BD86B7">
            <w:pPr>
              <w:pStyle w:val="18"/>
              <w:ind w:left="26"/>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7</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8</w:t>
            </w:r>
            <w:r>
              <w:rPr>
                <w:rFonts w:hint="eastAsia" w:ascii="仿宋_GB2312" w:hAnsi="Times New Roman" w:eastAsia="仿宋_GB2312" w:cs="Times New Roman"/>
                <w:sz w:val="20"/>
                <w:szCs w:val="18"/>
                <w:u w:val="none"/>
                <w:lang w:eastAsia="zh-CN"/>
              </w:rPr>
              <w:t>月</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17:00</w:t>
            </w:r>
          </w:p>
          <w:p w14:paraId="0D53CC25">
            <w:pPr>
              <w:pStyle w:val="18"/>
              <w:ind w:left="26" w:leftChars="0"/>
              <w:jc w:val="center"/>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color w:val="auto"/>
                <w:sz w:val="20"/>
                <w:szCs w:val="18"/>
                <w:highlight w:val="none"/>
                <w:lang w:val="en-US" w:eastAsia="zh-CN"/>
              </w:rPr>
              <w:t>并进行信息披露</w:t>
            </w:r>
            <w:r>
              <w:rPr>
                <w:rFonts w:hint="eastAsia" w:ascii="仿宋_GB2312" w:hAnsi="Times New Roman" w:eastAsia="仿宋_GB2312" w:cs="Times New Roman"/>
                <w:sz w:val="20"/>
                <w:szCs w:val="18"/>
                <w:lang w:eastAsia="zh-CN"/>
              </w:rPr>
              <w:t>。</w:t>
            </w:r>
          </w:p>
        </w:tc>
      </w:tr>
      <w:tr w14:paraId="4DF244BE">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AADC10">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6D3ADE79">
            <w:pPr>
              <w:pStyle w:val="18"/>
              <w:ind w:left="2123" w:leftChars="0" w:right="41" w:rightChars="0" w:hanging="2069" w:firstLine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73D0F53F">
        <w:tblPrEx>
          <w:tblCellMar>
            <w:top w:w="0" w:type="dxa"/>
            <w:left w:w="0" w:type="dxa"/>
            <w:bottom w:w="0" w:type="dxa"/>
            <w:right w:w="0" w:type="dxa"/>
          </w:tblCellMar>
        </w:tblPrEx>
        <w:trPr>
          <w:trHeight w:val="141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D3AAA8A">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70FC3B08">
            <w:pPr>
              <w:pStyle w:val="18"/>
              <w:ind w:left="26"/>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7</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hAnsi="Times New Roman" w:eastAsia="仿宋_GB2312" w:cs="Times New Roman"/>
                <w:b/>
                <w:bCs/>
                <w:sz w:val="20"/>
                <w:szCs w:val="18"/>
                <w:u w:val="none"/>
                <w:lang w:val="en-US" w:eastAsia="zh-CN"/>
              </w:rPr>
              <w:t>8</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22506D36">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，则顺延至下一个工作日，若有调整以贵阳农商银行官方公告为准（</w:t>
            </w:r>
            <w:r>
              <w:rPr>
                <w:rFonts w:hint="eastAsia" w:ascii="仿宋_GB2312" w:hAnsi="Times New Roman" w:eastAsia="仿宋_GB2312" w:cs="Times New Roman"/>
                <w:sz w:val="20"/>
                <w:szCs w:val="18"/>
                <w:lang w:val="en-US" w:eastAsia="zh-CN"/>
              </w:rPr>
              <w:t>调整公告于每一个开放期前一个工作日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36BFE17D">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C7EE36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27C5E3BB">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8</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5</w:t>
            </w:r>
            <w:r>
              <w:rPr>
                <w:rFonts w:hint="eastAsia" w:ascii="仿宋_GB2312" w:hAnsi="Times New Roman" w:eastAsia="仿宋_GB2312" w:cs="Times New Roman"/>
                <w:sz w:val="20"/>
                <w:szCs w:val="18"/>
                <w:u w:val="none"/>
                <w:lang w:val="en-US" w:eastAsia="zh-CN"/>
              </w:rPr>
              <w:t>日</w:t>
            </w:r>
          </w:p>
          <w:p w14:paraId="3204C552">
            <w:pPr>
              <w:pStyle w:val="18"/>
              <w:ind w:left="11" w:leftChars="0" w:right="89" w:rightChars="0" w:firstLine="93" w:firstLineChars="0"/>
              <w:jc w:val="center"/>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若产品募集期缩短或延长，产品成立日以公告为准。成立产品当天通过贵阳农商银行官方网站</w:t>
            </w:r>
            <w:r>
              <w:rPr>
                <w:rFonts w:hint="eastAsia" w:ascii="仿宋_GB2312" w:hAnsi="仿宋_GB2312" w:eastAsia="仿宋_GB2312" w:cs="仿宋_GB2312"/>
                <w:b w:val="0"/>
                <w:bCs w:val="0"/>
                <w:color w:val="auto"/>
                <w:sz w:val="20"/>
                <w:szCs w:val="20"/>
                <w:highlight w:val="none"/>
                <w:lang w:val="en-US" w:eastAsia="zh-CN"/>
              </w:rPr>
              <w:t>等渠道</w:t>
            </w:r>
            <w:r>
              <w:rPr>
                <w:rFonts w:hint="eastAsia" w:ascii="仿宋_GB2312" w:hAnsi="仿宋_GB2312" w:eastAsia="仿宋_GB2312" w:cs="仿宋_GB2312"/>
                <w:color w:val="auto"/>
                <w:sz w:val="20"/>
                <w:szCs w:val="20"/>
                <w:highlight w:val="none"/>
                <w:lang w:val="en-US" w:eastAsia="zh-CN"/>
              </w:rPr>
              <w:t>公布</w:t>
            </w:r>
            <w:r>
              <w:rPr>
                <w:rFonts w:hint="eastAsia" w:ascii="仿宋_GB2312" w:hAnsi="仿宋_GB2312" w:eastAsia="仿宋_GB2312" w:cs="仿宋_GB2312"/>
                <w:color w:val="auto"/>
                <w:sz w:val="20"/>
                <w:szCs w:val="20"/>
                <w:highlight w:val="none"/>
                <w:lang w:eastAsia="zh-CN"/>
              </w:rPr>
              <w:t>。</w:t>
            </w:r>
          </w:p>
        </w:tc>
      </w:tr>
      <w:tr w14:paraId="04A6DF44">
        <w:tblPrEx>
          <w:tblCellMar>
            <w:top w:w="0" w:type="dxa"/>
            <w:left w:w="0" w:type="dxa"/>
            <w:bottom w:w="0" w:type="dxa"/>
            <w:right w:w="0" w:type="dxa"/>
          </w:tblCellMar>
        </w:tblPrEx>
        <w:trPr>
          <w:trHeight w:val="10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429A61">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480524E4">
            <w:pPr>
              <w:pStyle w:val="18"/>
              <w:ind w:right="29"/>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，实际产品期限受制于提前终止条款。</w:t>
            </w:r>
          </w:p>
          <w:p w14:paraId="6F42CE12">
            <w:pPr>
              <w:pStyle w:val="18"/>
              <w:ind w:right="29" w:rightChars="0"/>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hAnsi="Times New Roman" w:eastAsia="仿宋_GB2312" w:cs="Times New Roman"/>
                <w:b w:val="0"/>
                <w:bCs w:val="0"/>
                <w:sz w:val="20"/>
                <w:szCs w:val="18"/>
                <w:lang w:val="en-US" w:eastAsia="zh-CN"/>
              </w:rPr>
              <w:t>5</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03D6AC1B">
        <w:tblPrEx>
          <w:tblCellMar>
            <w:top w:w="0" w:type="dxa"/>
            <w:left w:w="0" w:type="dxa"/>
            <w:bottom w:w="0" w:type="dxa"/>
            <w:right w:w="0" w:type="dxa"/>
          </w:tblCellMar>
        </w:tblPrEx>
        <w:trPr>
          <w:trHeight w:val="67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98EE9B">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73CC2148">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7534DD54">
        <w:tblPrEx>
          <w:tblCellMar>
            <w:top w:w="0" w:type="dxa"/>
            <w:left w:w="0" w:type="dxa"/>
            <w:bottom w:w="0" w:type="dxa"/>
            <w:right w:w="0" w:type="dxa"/>
          </w:tblCellMar>
        </w:tblPrEx>
        <w:trPr>
          <w:trHeight w:val="65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B565A8">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024A1976">
            <w:pPr>
              <w:pStyle w:val="18"/>
              <w:ind w:left="26"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后3个工作日内进行分配，收益以现金形式分配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7A86D924">
        <w:tblPrEx>
          <w:tblCellMar>
            <w:top w:w="0" w:type="dxa"/>
            <w:left w:w="0" w:type="dxa"/>
            <w:bottom w:w="0" w:type="dxa"/>
            <w:right w:w="0" w:type="dxa"/>
          </w:tblCellMar>
        </w:tblPrEx>
        <w:trPr>
          <w:trHeight w:val="35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CCBFBF">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1A35E7DE">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08331D9C">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D1AF973">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289432F4">
            <w:pPr>
              <w:pStyle w:val="18"/>
              <w:ind w:left="0" w:leftChars="0" w:firstLine="0" w:firstLineChars="0"/>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0A697DE2">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021D69B">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560F213">
            <w:pPr>
              <w:pStyle w:val="18"/>
              <w:ind w:left="0" w:leftChars="0" w:firstLine="0" w:firstLineChars="0"/>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1C48D290">
        <w:tblPrEx>
          <w:tblCellMar>
            <w:top w:w="0" w:type="dxa"/>
            <w:left w:w="0" w:type="dxa"/>
            <w:bottom w:w="0" w:type="dxa"/>
            <w:right w:w="0" w:type="dxa"/>
          </w:tblCellMar>
        </w:tblPrEx>
        <w:trPr>
          <w:trHeight w:val="107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FFB35BB">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ABA643">
            <w:pPr>
              <w:jc w:val="left"/>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w:t>
            </w:r>
            <w:r>
              <w:rPr>
                <w:rFonts w:hint="eastAsia" w:ascii="仿宋_GB2312" w:eastAsia="仿宋_GB2312" w:cs="Times New Roman" w:hAnsiTheme="minorEastAsia"/>
                <w:color w:val="auto"/>
                <w:sz w:val="20"/>
                <w:szCs w:val="18"/>
                <w:highlight w:val="none"/>
                <w:u w:val="none"/>
                <w:lang w:val="en-US" w:eastAsia="zh-CN"/>
              </w:rPr>
              <w:t>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w:t>
            </w:r>
            <w:r>
              <w:rPr>
                <w:rFonts w:hint="eastAsia" w:ascii="仿宋_GB2312" w:eastAsia="仿宋_GB2312" w:cs="Times New Roman" w:hAnsiTheme="minorEastAsia"/>
                <w:b/>
                <w:bCs/>
                <w:color w:val="auto"/>
                <w:sz w:val="20"/>
                <w:szCs w:val="18"/>
                <w:highlight w:val="none"/>
                <w:lang w:val="en-US" w:eastAsia="zh-CN"/>
              </w:rPr>
              <w:t>投资者申购面值份额采用清算日前一个工作日产品净值进行确认。</w:t>
            </w:r>
          </w:p>
        </w:tc>
      </w:tr>
      <w:tr w14:paraId="61C7E44E">
        <w:tblPrEx>
          <w:tblCellMar>
            <w:top w:w="0" w:type="dxa"/>
            <w:left w:w="0" w:type="dxa"/>
            <w:bottom w:w="0" w:type="dxa"/>
            <w:right w:w="0" w:type="dxa"/>
          </w:tblCellMar>
        </w:tblPrEx>
        <w:trPr>
          <w:trHeight w:val="180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973A317">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17A14CF6">
            <w:pPr>
              <w:pStyle w:val="18"/>
              <w:ind w:left="11"/>
              <w:rPr>
                <w:rFonts w:hint="eastAsia" w:ascii="仿宋_GB2312" w:hAnsi="Times New Roman" w:eastAsia="仿宋_GB2312" w:cs="Times New Roman"/>
                <w:sz w:val="20"/>
                <w:szCs w:val="18"/>
                <w:lang w:eastAsia="zh-CN"/>
              </w:rPr>
            </w:pPr>
            <w:r>
              <w:rPr>
                <w:rFonts w:ascii="仿宋_GB2312" w:hAnsi="Times New Roman" w:eastAsia="仿宋_GB2312" w:cs="Times New Roman"/>
                <w:sz w:val="20"/>
                <w:szCs w:val="18"/>
                <w:lang w:eastAsia="zh-CN"/>
              </w:rPr>
              <w:t>1</w:t>
            </w:r>
            <w:r>
              <w:rPr>
                <w:rFonts w:hint="eastAsia" w:ascii="仿宋_GB2312" w:hAnsi="Times New Roman" w:eastAsia="仿宋_GB2312" w:cs="Times New Roman"/>
                <w:sz w:val="20"/>
                <w:szCs w:val="18"/>
                <w:lang w:eastAsia="zh-CN"/>
              </w:rPr>
              <w:t>.</w:t>
            </w:r>
            <w:r>
              <w:rPr>
                <w:rFonts w:ascii="仿宋_GB2312" w:hAnsi="Times New Roman" w:eastAsia="仿宋_GB2312" w:cs="Times New Roman"/>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266F3F21">
            <w:pPr>
              <w:pStyle w:val="18"/>
              <w:ind w:left="11"/>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w:t>
            </w:r>
          </w:p>
          <w:p w14:paraId="1738FCC2">
            <w:pPr>
              <w:pStyle w:val="18"/>
              <w:ind w:left="11"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万份并以</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6F8334DE">
        <w:tblPrEx>
          <w:tblCellMar>
            <w:top w:w="0" w:type="dxa"/>
            <w:left w:w="0" w:type="dxa"/>
            <w:bottom w:w="0" w:type="dxa"/>
            <w:right w:w="0" w:type="dxa"/>
          </w:tblCellMar>
        </w:tblPrEx>
        <w:trPr>
          <w:trHeight w:val="1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8757DBD">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0FC14502">
            <w:pPr>
              <w:pStyle w:val="18"/>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1.预约赎回期为整个产品封闭期（若有调整，</w:t>
            </w:r>
            <w:r>
              <w:rPr>
                <w:rFonts w:hint="eastAsia" w:ascii="仿宋_GB2312" w:eastAsia="仿宋_GB2312" w:cs="Times New Roman" w:hAnsiTheme="minorEastAsia"/>
                <w:sz w:val="20"/>
                <w:szCs w:val="18"/>
                <w:lang w:val="en-US" w:eastAsia="zh-CN"/>
              </w:rPr>
              <w:t>调整公告于开放期结束日前3个工作日内通过贵阳农商银行官方网站等渠道公布</w:t>
            </w:r>
            <w:r>
              <w:rPr>
                <w:rFonts w:hint="eastAsia" w:ascii="仿宋_GB2312" w:eastAsia="仿宋_GB2312" w:cs="Times New Roman" w:hAnsiTheme="minorEastAsia"/>
                <w:sz w:val="20"/>
                <w:szCs w:val="18"/>
                <w:lang w:eastAsia="zh-CN"/>
              </w:rPr>
              <w:t>）。</w:t>
            </w:r>
          </w:p>
          <w:p w14:paraId="463B52EF">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754942F1">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21FD16D">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2C9B9116">
            <w:pPr>
              <w:pStyle w:val="22"/>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7CF68F42">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2E94BFA3">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63FC5852">
            <w:pPr>
              <w:pStyle w:val="22"/>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15E5D3F3">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2FA9FE9">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5A297230">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1CD19846">
        <w:tblPrEx>
          <w:tblCellMar>
            <w:top w:w="0" w:type="dxa"/>
            <w:left w:w="0" w:type="dxa"/>
            <w:bottom w:w="0" w:type="dxa"/>
            <w:right w:w="0" w:type="dxa"/>
          </w:tblCellMar>
        </w:tblPrEx>
        <w:trPr>
          <w:trHeight w:val="237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55B2841">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DC15F">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最不利的投资情形和投资结果，主要体现为：1.产品到期可能发生的延期支付；2.产品投资的资产折价变现，可能影响产品收益实现乃至本金的全额收回。</w:t>
            </w:r>
          </w:p>
          <w:p w14:paraId="55BD5ACA">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48C2FF08">
            <w:pPr>
              <w:pStyle w:val="18"/>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1.投资的资产或资产组合目前受限于二级流通市场缺失，存在流动性风险；2.投资的资产品种受市场价格波动影响，存在市场风险；3.投资的资产或资产组合涉及的融资人和债券发行人因违约造成的风险。</w:t>
            </w:r>
          </w:p>
        </w:tc>
      </w:tr>
      <w:tr w14:paraId="10A3CE76">
        <w:tblPrEx>
          <w:tblCellMar>
            <w:top w:w="0" w:type="dxa"/>
            <w:left w:w="0" w:type="dxa"/>
            <w:bottom w:w="0" w:type="dxa"/>
            <w:right w:w="0" w:type="dxa"/>
          </w:tblCellMar>
        </w:tblPrEx>
        <w:trPr>
          <w:trHeight w:val="50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D0E4ABA">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其他</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6C615B">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贵阳农商银行可根据需要对</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进行优化或升级，并至少于</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优化或升级</w:t>
            </w:r>
            <w:r>
              <w:rPr>
                <w:rFonts w:hint="eastAsia" w:ascii="仿宋_GB2312" w:eastAsia="仿宋_GB2312" w:cs="Times New Roman" w:hAnsiTheme="minorEastAsia"/>
                <w:sz w:val="20"/>
                <w:szCs w:val="18"/>
                <w:lang w:val="en-US" w:eastAsia="zh-CN"/>
              </w:rPr>
              <w:t>开始前/完成后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内通过官方网站等渠道公布。</w:t>
            </w:r>
          </w:p>
        </w:tc>
      </w:tr>
    </w:tbl>
    <w:p w14:paraId="3C59078A">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3DE9DFC6">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051EDC1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6807BFA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417808F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2F7A187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A55BEE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1E2D0B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56C018B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241F02B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5DF133EC">
      <w:pPr>
        <w:pStyle w:val="3"/>
        <w:numPr>
          <w:ilvl w:val="0"/>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（二）产品管理人、产品托管人、理财投资合作机构的基本信息及主要职责</w:t>
      </w:r>
    </w:p>
    <w:p w14:paraId="4E9F1DB1">
      <w:pPr>
        <w:pStyle w:val="3"/>
        <w:numPr>
          <w:ilvl w:val="0"/>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1.产品管理人：贵阳农村商业银行股份有限公司</w:t>
      </w:r>
    </w:p>
    <w:p w14:paraId="113FE7F5">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对投资者提出的理财产品份额认购</w:t>
      </w:r>
      <w:r>
        <w:rPr>
          <w:rFonts w:hint="eastAsia"/>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申请进行管理；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104AAFAC">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2.产品托管人：广州农村商业银行股份有限公司</w:t>
      </w:r>
    </w:p>
    <w:p w14:paraId="4D391217">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0D08AA0B">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03E778DD">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，产品管理人可根据产品实际运作情况，在符合监管要求的前提下调整理财投资合作机构。</w:t>
      </w:r>
    </w:p>
    <w:p w14:paraId="3084F90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3579A71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72DEC7C6">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2EE6C218">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。在本期产品募集期内，对本期产品的认购</w:t>
      </w:r>
      <w:r>
        <w:rPr>
          <w:rFonts w:hint="eastAsia" w:ascii="仿宋_GB2312" w:eastAsia="仿宋_GB2312" w:cs="Times New Roman" w:hAnsiTheme="minorEastAsia"/>
          <w:sz w:val="20"/>
          <w:lang w:val="en-US" w:eastAsia="zh-CN"/>
        </w:rPr>
        <w:t>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停止本期产品的认购，已经认购成功的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4821FB2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2.贵阳农商银行可根据市场情况等调整产品规模上、下限，并至少于调整规模上下限之日之前2个工作日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3FAB8DD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（二）认购/申购/追加投资/赎回/到期</w:t>
      </w:r>
    </w:p>
    <w:p w14:paraId="05A90059">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（不含）期间，投资者可获得认购/申购资金的活期存款利息（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0A97F696">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96EBC7B">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eastAsia" w:ascii="仿宋_GB2312" w:eastAsia="仿宋_GB2312" w:cs="Times New Roman" w:hAnsiTheme="minorEastAsia"/>
          <w:b/>
          <w:bCs/>
          <w:sz w:val="20"/>
          <w:lang w:eastAsia="zh-CN"/>
        </w:rPr>
        <w:t>封闭</w:t>
      </w:r>
      <w:r>
        <w:rPr>
          <w:rFonts w:ascii="仿宋_GB2312" w:eastAsia="仿宋_GB2312" w:cs="Times New Roman" w:hAnsiTheme="minorEastAsia"/>
          <w:b/>
          <w:bCs/>
          <w:sz w:val="20"/>
          <w:lang w:eastAsia="zh-CN"/>
        </w:rPr>
        <w:t>期间，不开放申购、追加投资和赎回。</w:t>
      </w:r>
    </w:p>
    <w:p w14:paraId="281D2AA4">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7E53E5AF">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1F568D6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51D41778">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7EE1D2DF">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3058CA08">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1B177BD1">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5FC44001">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06D0E48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751C170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5EC08F2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D44112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401D92CF">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4368B7AA">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债券回购以成本(含回购费用)列示,按回购利率在实际持有期间内逐日计提利息。</w:t>
      </w:r>
    </w:p>
    <w:p w14:paraId="425767DA">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0FB834FB">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公布的在估值日的估值价格（净价）进行估值。若中债登对同一债券给出多个估值价格（净价），优先使用有“推荐”标注（若有）的价格（净价</w:t>
      </w:r>
      <w:r>
        <w:rPr>
          <w:rFonts w:hint="eastAsia" w:ascii="仿宋_GB2312" w:hAnsi="仿宋_GB2312" w:eastAsia="仿宋_GB2312" w:cs="仿宋_GB2312"/>
          <w:color w:val="000000"/>
          <w:sz w:val="20"/>
          <w:szCs w:val="20"/>
          <w:highlight w:val="none"/>
          <w:lang w:eastAsia="zh-CN" w:bidi="ar"/>
        </w:rPr>
        <w:t>）。其中对于含投资人回售权的标准化债权类资产，回售登记期截止日（含当日）后未行使回售权的按照长待偿期所对应的价格进行估值。未上市债券按成本估值。</w:t>
      </w:r>
    </w:p>
    <w:p w14:paraId="7E62C5A3">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交易所债券、资产支持证券等有价证券按中证指数有限公司公布的中证债券估值价格（净</w:t>
      </w:r>
    </w:p>
    <w:p w14:paraId="2AF78651">
      <w:pPr>
        <w:widowControl/>
        <w:spacing w:beforeLines="0" w:after="0" w:afterLines="0" w:line="240" w:lineRule="auto"/>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价）进行估值。未上市债券按成本估值。</w:t>
      </w:r>
    </w:p>
    <w:p w14:paraId="6DCB0A47">
      <w:pPr>
        <w:widowControl/>
        <w:spacing w:beforeLines="0" w:after="0" w:afterLines="0" w:line="240" w:lineRule="auto"/>
        <w:ind w:firstLine="400" w:firstLineChars="200"/>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F58109F">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w:t>
      </w:r>
    </w:p>
    <w:p w14:paraId="4758CF9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162DBEEE">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7A61ED69">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269A787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4CD5742C">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5A2038D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并于暂停估值/恢复估值之日起2个工作日内</w:t>
      </w:r>
      <w:r>
        <w:rPr>
          <w:rFonts w:hint="eastAsia" w:ascii="仿宋_GB2312" w:eastAsia="仿宋_GB2312" w:cs="Times New Roman" w:hAnsiTheme="minorEastAsia"/>
          <w:sz w:val="20"/>
          <w:szCs w:val="18"/>
          <w:lang w:val="en-US" w:eastAsia="zh-CN"/>
        </w:rPr>
        <w:t>通过贵阳农商银行官方网站等渠道通知投资者。</w:t>
      </w:r>
    </w:p>
    <w:p w14:paraId="0ED3B9FA">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、理财收益说明</w:t>
      </w:r>
    </w:p>
    <w:p w14:paraId="5436C30C">
      <w:pPr>
        <w:pStyle w:val="3"/>
        <w:spacing w:before="0"/>
        <w:ind w:left="0" w:right="153" w:firstLine="400" w:firstLineChars="200"/>
        <w:jc w:val="both"/>
        <w:rPr>
          <w:rFonts w:ascii="仿宋_GB2312" w:eastAsia="仿宋_GB2312" w:cs="Times New Roman" w:hAnsiTheme="minorEastAsia"/>
          <w:b w:val="0"/>
          <w:sz w:val="20"/>
          <w:szCs w:val="18"/>
          <w:lang w:eastAsia="zh-CN"/>
        </w:rPr>
      </w:pPr>
      <w:r>
        <w:rPr>
          <w:rFonts w:hint="eastAsia" w:ascii="仿宋_GB2312" w:hAnsi="仿宋_GB2312" w:eastAsia="仿宋_GB2312" w:cs="仿宋_GB2312"/>
          <w:b w:val="0"/>
          <w:color w:val="auto"/>
          <w:sz w:val="20"/>
          <w:szCs w:val="18"/>
          <w:highlight w:val="none"/>
          <w:lang w:eastAsia="zh-CN"/>
        </w:rPr>
        <w:t>历史数据代表过去，仅供投资者决策参考，产品管理人将合理设计产品，投资团队将尽职管理和有效运作，最终收益以产品到期或提前终止或赎回时产品管理人实际支付的收益为准。</w:t>
      </w:r>
      <w:r>
        <w:rPr>
          <w:rFonts w:hint="eastAsia" w:ascii="仿宋_GB2312" w:hAnsi="仿宋_GB2312" w:eastAsia="仿宋_GB2312" w:cs="仿宋_GB2312"/>
          <w:b/>
          <w:bCs/>
          <w:color w:val="auto"/>
          <w:sz w:val="20"/>
          <w:szCs w:val="18"/>
          <w:highlight w:val="none"/>
          <w:lang w:eastAsia="zh-CN"/>
        </w:rPr>
        <w:t>产品历史业绩不代表其未来表现，不等于理财产品实际收益，更不构成本产品业绩表现的保证，投资须谨慎。</w:t>
      </w:r>
    </w:p>
    <w:p w14:paraId="4BD997A5">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5E085CEE">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本产品不收取认购费用、申购费用、赎回费用。</w:t>
      </w:r>
    </w:p>
    <w:p w14:paraId="032DA581">
      <w:pPr>
        <w:pStyle w:val="3"/>
        <w:spacing w:before="0"/>
        <w:ind w:left="0" w:right="153" w:firstLine="402" w:firstLineChars="200"/>
        <w:jc w:val="both"/>
        <w:rPr>
          <w:rFonts w:ascii="仿宋_GB2312" w:eastAsia="仿宋_GB2312" w:cs="Times New Roman" w:hAnsiTheme="minorEastAsia"/>
          <w:sz w:val="20"/>
          <w:lang w:eastAsia="zh-CN"/>
        </w:rPr>
      </w:pPr>
      <w:r>
        <w:rPr>
          <w:rFonts w:ascii="仿宋_GB2312" w:eastAsia="仿宋_GB2312" w:cs="Times New Roman" w:hAnsiTheme="minorEastAsia"/>
          <w:b/>
          <w:bCs/>
          <w:sz w:val="20"/>
          <w:lang w:eastAsia="zh-CN"/>
        </w:rPr>
        <w:t>本产品收取固定销售费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%/年、固定管理费</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b/>
          <w:bCs/>
          <w:sz w:val="20"/>
          <w:u w:val="none"/>
          <w:lang w:eastAsia="zh-CN"/>
        </w:rPr>
        <w:t>%/年、固定托管费</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b/>
          <w:bCs/>
          <w:sz w:val="20"/>
          <w:u w:val="none"/>
          <w:lang w:eastAsia="zh-CN"/>
        </w:rPr>
        <w:t>%/年</w:t>
      </w:r>
      <w:r>
        <w:rPr>
          <w:rFonts w:ascii="仿宋_GB2312" w:eastAsia="仿宋_GB2312" w:cs="Times New Roman" w:hAnsiTheme="minorEastAsia"/>
          <w:b/>
          <w:bCs/>
          <w:sz w:val="20"/>
          <w:lang w:eastAsia="zh-CN"/>
        </w:rPr>
        <w:t>和超额业绩报酬（如有）</w:t>
      </w:r>
      <w:r>
        <w:rPr>
          <w:rFonts w:hint="eastAsia" w:ascii="仿宋_GB2312" w:eastAsia="仿宋_GB2312" w:cs="Times New Roman" w:hAnsiTheme="minorEastAsia"/>
          <w:b/>
          <w:bCs/>
          <w:sz w:val="20"/>
          <w:lang w:eastAsia="zh-CN"/>
        </w:rPr>
        <w:t>。</w:t>
      </w:r>
      <w:r>
        <w:rPr>
          <w:rFonts w:hint="eastAsia" w:ascii="仿宋_GB2312" w:hAnsi="仿宋_GB2312" w:eastAsia="仿宋_GB2312" w:cs="仿宋_GB2312"/>
          <w:b/>
          <w:bCs/>
          <w:sz w:val="20"/>
          <w:highlight w:val="none"/>
          <w:lang w:eastAsia="zh-CN"/>
        </w:rPr>
        <w:t>贵阳农商银行有权根据市场情况等调整上述各项费用费率和业绩报酬收取比例，并至少于调整日之前</w:t>
      </w:r>
      <w:r>
        <w:rPr>
          <w:rFonts w:hint="eastAsia" w:ascii="仿宋_GB2312" w:hAnsi="仿宋_GB2312" w:eastAsia="仿宋_GB2312" w:cs="仿宋_GB2312"/>
          <w:b/>
          <w:bCs/>
          <w:sz w:val="20"/>
          <w:highlight w:val="none"/>
          <w:lang w:val="en-US" w:eastAsia="zh-CN"/>
        </w:rPr>
        <w:t>2</w:t>
      </w:r>
      <w:r>
        <w:rPr>
          <w:rFonts w:hint="eastAsia" w:ascii="仿宋_GB2312" w:hAnsi="仿宋_GB2312" w:eastAsia="仿宋_GB2312" w:cs="仿宋_GB2312"/>
          <w:b/>
          <w:bCs/>
          <w:sz w:val="20"/>
          <w:highlight w:val="none"/>
          <w:lang w:eastAsia="zh-CN"/>
        </w:rPr>
        <w:t>个工作日内通过贵阳农商银行官方网站等渠道公布。</w:t>
      </w:r>
    </w:p>
    <w:p w14:paraId="2E273814">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lang w:eastAsia="zh-CN"/>
        </w:rPr>
        <w:t>1.固定销售费：</w:t>
      </w:r>
      <w:r>
        <w:rPr>
          <w:rFonts w:ascii="仿宋_GB2312" w:eastAsia="仿宋_GB2312" w:cs="Times New Roman" w:hAnsiTheme="minorEastAsia"/>
          <w:sz w:val="20"/>
          <w:lang w:eastAsia="zh-CN"/>
        </w:rPr>
        <w:t>本产品销售费按前一日产品资产净值的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%÷当年天数，S为每日应计提的销售费，E为前一日产品资产净值（下同）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1567CD5E">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u w:val="none"/>
          <w:lang w:eastAsia="zh-CN"/>
        </w:rPr>
        <w:t>2.固定管理费</w:t>
      </w:r>
      <w:r>
        <w:rPr>
          <w:rFonts w:ascii="仿宋_GB2312" w:eastAsia="仿宋_GB2312" w:cs="Times New Roman" w:hAnsiTheme="minorEastAsia"/>
          <w:sz w:val="20"/>
          <w:u w:val="none"/>
          <w:lang w:eastAsia="zh-CN"/>
        </w:rPr>
        <w:t>：本产品管理费按前一日产品资产净值的</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0.10</w:t>
      </w:r>
      <w:r>
        <w:rPr>
          <w:rFonts w:ascii="仿宋_GB2312" w:eastAsia="仿宋_GB2312" w:cs="Times New Roman" w:hAnsiTheme="minorEastAsia"/>
          <w:sz w:val="20"/>
          <w:u w:val="none"/>
          <w:lang w:eastAsia="zh-CN"/>
        </w:rPr>
        <w:t>%÷当年天数，M为每日应计提的管理费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101583A3">
      <w:pPr>
        <w:pStyle w:val="3"/>
        <w:spacing w:before="0"/>
        <w:ind w:left="0" w:right="153" w:firstLine="402" w:firstLineChars="200"/>
        <w:jc w:val="both"/>
        <w:rPr>
          <w:rFonts w:hint="eastAsia" w:ascii="仿宋_GB2312" w:eastAsia="仿宋_GB2312" w:cs="Times New Roman" w:hAnsiTheme="minorEastAsia"/>
          <w:b/>
          <w:bCs/>
          <w:sz w:val="20"/>
          <w:lang w:eastAsia="zh-CN"/>
        </w:rPr>
      </w:pPr>
      <w:r>
        <w:rPr>
          <w:rFonts w:ascii="仿宋_GB2312" w:eastAsia="仿宋_GB2312" w:cs="Times New Roman" w:hAnsiTheme="minorEastAsia"/>
          <w:b/>
          <w:bCs/>
          <w:color w:val="auto"/>
          <w:sz w:val="20"/>
          <w:u w:val="none"/>
          <w:lang w:eastAsia="zh-CN"/>
        </w:rPr>
        <w:t>3.固定托管费：</w:t>
      </w:r>
      <w:r>
        <w:rPr>
          <w:rFonts w:hint="eastAsia" w:ascii="仿宋_GB2312" w:eastAsia="仿宋_GB2312" w:cs="Times New Roman" w:hAnsiTheme="minorEastAsia"/>
          <w:color w:val="auto"/>
          <w:sz w:val="20"/>
          <w:u w:val="none"/>
          <w:lang w:eastAsia="zh-CN"/>
        </w:rPr>
        <w:t>本产品托管费按前一日产品资产净值的</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%年费率计提。G=E×</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w:t>
      </w:r>
      <w:r>
        <w:rPr>
          <w:rFonts w:hint="eastAsia" w:ascii="仿宋_GB2312" w:eastAsia="仿宋_GB2312" w:cs="Times New Roman" w:hAnsiTheme="minorEastAsia"/>
          <w:color w:val="auto"/>
          <w:sz w:val="20"/>
          <w:lang w:eastAsia="zh-CN"/>
        </w:rPr>
        <w:t>当年天数，G为每日应计提的托管费，</w:t>
      </w:r>
      <w:r>
        <w:rPr>
          <w:rFonts w:hint="eastAsia" w:ascii="仿宋_GB2312" w:eastAsia="仿宋_GB2312" w:cs="Times New Roman" w:hAnsiTheme="minorEastAsia"/>
          <w:color w:val="auto"/>
          <w:sz w:val="20"/>
          <w:lang w:val="en-US" w:eastAsia="zh-CN"/>
        </w:rPr>
        <w:t>按日计提</w:t>
      </w:r>
      <w:r>
        <w:rPr>
          <w:rFonts w:hint="eastAsia" w:ascii="仿宋_GB2312" w:eastAsia="仿宋_GB2312" w:cs="Times New Roman" w:hAnsiTheme="minorEastAsia"/>
          <w:color w:val="0000FF"/>
          <w:sz w:val="20"/>
          <w:lang w:eastAsia="zh-CN"/>
        </w:rPr>
        <w:t>。</w:t>
      </w:r>
    </w:p>
    <w:p w14:paraId="20292E08">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4.超额业绩报酬：</w:t>
      </w:r>
      <w:r>
        <w:rPr>
          <w:rFonts w:hint="eastAsia" w:ascii="仿宋_GB2312" w:eastAsia="仿宋_GB2312" w:cs="Times New Roman" w:hAnsiTheme="minorEastAsia"/>
          <w:sz w:val="20"/>
          <w:lang w:eastAsia="zh-CN"/>
        </w:rPr>
        <w:t>本产品设立业绩比较基准区间，产品年化收益率超过业绩比较区间的最低值时，产品管理人有权收取超额业绩报酬。但固定管理费与超额业绩报酬合计最高不超过产品总投资收益的30%。</w:t>
      </w:r>
    </w:p>
    <w:p w14:paraId="7BCD60B0">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产品年化收益率&gt;业绩比较区间最低值时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=（产品总投资收益-固定销售费-固定管理费-固定托管费-应交税费（如有）-业绩比较区间最低值计算出的收益）</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b/>
          <w:bCs/>
          <w:sz w:val="20"/>
          <w:u w:val="none"/>
          <w:lang w:val="en-US" w:eastAsia="zh-CN"/>
        </w:rPr>
        <w:t>90</w:t>
      </w:r>
      <w:r>
        <w:rPr>
          <w:rFonts w:hint="eastAsia" w:ascii="仿宋_GB2312" w:eastAsia="仿宋_GB2312" w:cs="Times New Roman" w:hAnsiTheme="minorEastAsia"/>
          <w:sz w:val="20"/>
          <w:lang w:eastAsia="zh-CN"/>
        </w:rPr>
        <w:t>%。</w:t>
      </w:r>
    </w:p>
    <w:p w14:paraId="1F96EF96">
      <w:pPr>
        <w:pStyle w:val="3"/>
        <w:numPr>
          <w:ilvl w:val="0"/>
          <w:numId w:val="2"/>
        </w:numPr>
        <w:spacing w:before="0"/>
        <w:ind w:left="0" w:right="153" w:firstLine="402"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其他相关费用</w:t>
      </w:r>
    </w:p>
    <w:p w14:paraId="64DAD9D2">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产品运作和清算中产生的其他资金汇划费、结算费、交易手续费、注册登记费、信息披露费、账户服务费、审计费、律师费、税费等费用，上述费用（如有）按照实际发生时从理财产品中列支。</w:t>
      </w:r>
    </w:p>
    <w:p w14:paraId="10170A6C">
      <w:pPr>
        <w:pStyle w:val="3"/>
        <w:spacing w:before="0"/>
        <w:ind w:left="0" w:right="153" w:firstLine="400" w:firstLineChars="200"/>
        <w:jc w:val="both"/>
        <w:rPr>
          <w:rFonts w:hint="eastAsia"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本产品运作过程中的纳税义务按照相关法律法规、税收政策执行</w:t>
      </w:r>
      <w:r>
        <w:rPr>
          <w:rFonts w:hint="eastAsia" w:ascii="仿宋_GB2312" w:eastAsia="仿宋_GB2312" w:cs="Times New Roman" w:hAnsiTheme="minorEastAsia"/>
          <w:sz w:val="20"/>
          <w:lang w:eastAsia="zh-CN"/>
        </w:rPr>
        <w:t>。</w:t>
      </w:r>
    </w:p>
    <w:p w14:paraId="4DF33EB1">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6FF9AFCA">
      <w:pPr>
        <w:pStyle w:val="3"/>
        <w:spacing w:before="0" w:beforeLines="0" w:afterLines="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p>
    <w:p w14:paraId="06CA0877">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示例：本产品运作期间，投资者按份额赎回所持有的理财产品，赎回金额按净值计算，扣除上述费用后，</w:t>
      </w:r>
      <w:r>
        <w:rPr>
          <w:rFonts w:hint="eastAsia" w:ascii="仿宋_GB2312" w:hAnsi="仿宋_GB2312" w:eastAsia="仿宋_GB2312" w:cs="仿宋_GB2312"/>
          <w:color w:val="auto"/>
          <w:sz w:val="20"/>
          <w:szCs w:val="20"/>
          <w:lang w:val="en-US" w:eastAsia="zh-CN"/>
        </w:rPr>
        <w:t>投资者应得资金</w:t>
      </w:r>
      <w:r>
        <w:rPr>
          <w:rFonts w:hint="eastAsia" w:ascii="仿宋_GB2312" w:hAnsi="仿宋_GB2312" w:eastAsia="仿宋_GB2312" w:cs="仿宋_GB2312"/>
          <w:color w:val="auto"/>
          <w:sz w:val="20"/>
          <w:szCs w:val="20"/>
          <w:lang w:eastAsia="zh-CN"/>
        </w:rPr>
        <w:t>=赎回份额*开放期清算日前一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工作日产品净值，投资者赎回金额计算结果按截位法保留两位小数。</w:t>
      </w:r>
    </w:p>
    <w:p w14:paraId="76A09656">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假设：投资者持有理财产品份额10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份，开放期内投资者全部赎回期持有的份额，赎回时产品净值为1.0011，投资者</w:t>
      </w:r>
      <w:r>
        <w:rPr>
          <w:rFonts w:hint="eastAsia" w:ascii="仿宋_GB2312" w:hAnsi="仿宋_GB2312" w:eastAsia="仿宋_GB2312" w:cs="仿宋_GB2312"/>
          <w:color w:val="auto"/>
          <w:sz w:val="20"/>
          <w:szCs w:val="20"/>
          <w:lang w:val="en-US" w:eastAsia="zh-CN"/>
        </w:rPr>
        <w:t>应得资金</w:t>
      </w:r>
      <w:r>
        <w:rPr>
          <w:rFonts w:hint="eastAsia" w:ascii="仿宋_GB2312" w:hAnsi="仿宋_GB2312" w:eastAsia="仿宋_GB2312" w:cs="仿宋_GB2312"/>
          <w:color w:val="auto"/>
          <w:sz w:val="20"/>
          <w:szCs w:val="20"/>
          <w:lang w:eastAsia="zh-CN"/>
        </w:rPr>
        <w:t>为：</w:t>
      </w:r>
    </w:p>
    <w:p w14:paraId="624C61C1">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000*1.0011=10011</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元</w:t>
      </w:r>
    </w:p>
    <w:p w14:paraId="1B98A627">
      <w:pPr>
        <w:pStyle w:val="3"/>
        <w:spacing w:before="0"/>
        <w:ind w:left="0" w:right="153" w:firstLine="402" w:firstLineChars="200"/>
        <w:jc w:val="both"/>
        <w:rPr>
          <w:rFonts w:hint="eastAsia" w:ascii="仿宋_GB2312" w:hAnsi="仿宋_GB2312" w:eastAsia="仿宋_GB2312" w:cs="仿宋_GB2312"/>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为准，投资须谨慎；如发生基础资产无法回收任何本金和收益等最不利情况下，投资者将损失全部本金。）</w:t>
      </w:r>
    </w:p>
    <w:p w14:paraId="36F64DA0">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58294C42">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0EFF5B0B">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66AC7AA0">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投资者在该产品封闭期内不能主动赎回或终止。</w:t>
      </w:r>
    </w:p>
    <w:p w14:paraId="13AD74B9">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5</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ascii="仿宋_GB2312" w:hAnsi="Times New Roman" w:eastAsia="仿宋_GB2312" w:cs="Times New Roman"/>
          <w:b/>
          <w:sz w:val="20"/>
          <w:lang w:eastAsia="zh-CN"/>
        </w:rPr>
        <w:t>5</w:t>
      </w:r>
      <w:r>
        <w:rPr>
          <w:rFonts w:ascii="仿宋_GB2312" w:eastAsia="仿宋_GB2312" w:cs="Times New Roman" w:hAnsiTheme="minorEastAsia"/>
          <w:b/>
          <w:sz w:val="20"/>
          <w:lang w:eastAsia="zh-CN"/>
        </w:rPr>
        <w:t>个工作日内向</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返还</w:t>
      </w:r>
      <w:r>
        <w:rPr>
          <w:rFonts w:hint="eastAsia" w:ascii="仿宋_GB2312" w:eastAsia="仿宋_GB2312" w:cs="Times New Roman" w:hAnsiTheme="minorEastAsia"/>
          <w:b/>
          <w:sz w:val="20"/>
          <w:lang w:val="en-US" w:eastAsia="zh-CN"/>
        </w:rPr>
        <w:t>投资清算后资金</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single"/>
          <w:lang w:eastAsia="zh-CN"/>
        </w:rPr>
        <w:t>不计息</w:t>
      </w:r>
      <w:r>
        <w:rPr>
          <w:rFonts w:ascii="仿宋_GB2312" w:eastAsia="仿宋_GB2312" w:cs="Times New Roman" w:hAnsiTheme="minorEastAsia"/>
          <w:b/>
          <w:sz w:val="20"/>
          <w:lang w:eastAsia="zh-CN"/>
        </w:rPr>
        <w:t>。</w:t>
      </w:r>
    </w:p>
    <w:p w14:paraId="00B8F772">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EE25FEC">
      <w:pPr>
        <w:pStyle w:val="3"/>
        <w:spacing w:before="0"/>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u w:val="none"/>
          <w:lang w:val="en-US" w:eastAsia="zh-CN"/>
        </w:rPr>
        <w:t>万份，产品可提前终止；</w:t>
      </w:r>
      <w:r>
        <w:rPr>
          <w:rFonts w:hint="eastAsia" w:ascii="仿宋_GB2312" w:hAnsi="仿宋_GB2312" w:eastAsia="仿宋_GB2312" w:cs="仿宋_GB2312"/>
          <w:sz w:val="20"/>
          <w:szCs w:val="20"/>
          <w:highlight w:val="none"/>
          <w:u w:val="none"/>
          <w:lang w:val="en-US" w:eastAsia="zh-CN"/>
        </w:rPr>
        <w:t>首次</w:t>
      </w:r>
      <w:r>
        <w:rPr>
          <w:rFonts w:hint="eastAsia" w:ascii="仿宋_GB2312" w:hAnsi="仿宋_GB2312" w:eastAsia="仿宋_GB2312" w:cs="仿宋_GB2312"/>
          <w:sz w:val="20"/>
          <w:szCs w:val="20"/>
          <w:highlight w:val="none"/>
          <w:u w:val="none"/>
          <w:lang w:eastAsia="zh-CN"/>
        </w:rPr>
        <w:t>募集金额低于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hAnsi="仿宋_GB2312" w:eastAsia="仿宋_GB2312" w:cs="仿宋_GB2312"/>
          <w:sz w:val="20"/>
          <w:szCs w:val="20"/>
          <w:highlight w:val="none"/>
          <w:u w:val="none"/>
          <w:lang w:eastAsia="zh-CN"/>
        </w:rPr>
        <w:t>万</w:t>
      </w:r>
      <w:r>
        <w:rPr>
          <w:rFonts w:hint="eastAsia" w:ascii="仿宋_GB2312" w:hAnsi="仿宋_GB2312" w:eastAsia="仿宋_GB2312" w:cs="仿宋_GB2312"/>
          <w:sz w:val="20"/>
          <w:szCs w:val="20"/>
          <w:highlight w:val="none"/>
          <w:lang w:eastAsia="zh-CN"/>
        </w:rPr>
        <w:t>元时，产品可不成立；</w:t>
      </w:r>
    </w:p>
    <w:p w14:paraId="334219C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2.因不可抗力原因导致理财产品无法继续运作；</w:t>
      </w:r>
    </w:p>
    <w:p w14:paraId="1450679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3.遇有市场剧烈波动、异常风险事件等情形导致理财产品净值出现大幅波动或严重影响理财产品的资产安全；</w:t>
      </w:r>
    </w:p>
    <w:p w14:paraId="738AB62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15236DA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3D23397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4B3CEA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07F6E16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3F7FA93F">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500F7030">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终止日单位净值1.0565元/份。则在提前终止日，应兑付给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应得资金为</w:t>
      </w:r>
      <w:r>
        <w:rPr>
          <w:rFonts w:ascii="仿宋_GB2312" w:eastAsia="仿宋_GB2312" w:cs="Times New Roman" w:hAnsiTheme="minorEastAsia"/>
          <w:sz w:val="20"/>
          <w:lang w:eastAsia="zh-CN"/>
        </w:rPr>
        <w:t>：</w:t>
      </w:r>
    </w:p>
    <w:p w14:paraId="30F2052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w:t>
      </w:r>
      <w:r>
        <w:rPr>
          <w:rFonts w:ascii="仿宋_GB2312" w:eastAsia="仿宋_GB2312" w:cs="Times New Roman" w:hAnsiTheme="minorEastAsia"/>
          <w:sz w:val="20"/>
          <w:lang w:eastAsia="zh-CN"/>
        </w:rPr>
        <w:t>＝100,000.00×1.0565=105,650.00（元）</w:t>
      </w:r>
    </w:p>
    <w:p w14:paraId="2DCE543C">
      <w:pPr>
        <w:pStyle w:val="3"/>
        <w:spacing w:before="0"/>
        <w:ind w:left="0" w:right="151" w:firstLine="388" w:firstLineChars="200"/>
        <w:jc w:val="both"/>
        <w:rPr>
          <w:rFonts w:ascii="Times New Roman" w:hAnsi="Times New Roman" w:cs="Times New Roman" w:eastAsiaTheme="minorEastAsia"/>
          <w:lang w:eastAsia="zh-CN"/>
        </w:rPr>
      </w:pPr>
      <w:r>
        <w:rPr>
          <w:rFonts w:ascii="仿宋_GB2312" w:eastAsia="仿宋_GB2312" w:cs="Times New Roman" w:hAnsiTheme="minorEastAsia"/>
          <w:spacing w:val="-3"/>
          <w:sz w:val="20"/>
          <w:lang w:eastAsia="zh-CN"/>
        </w:rPr>
        <w:t>（</w:t>
      </w:r>
      <w:r>
        <w:rPr>
          <w:rFonts w:ascii="仿宋_GB2312" w:eastAsia="仿宋_GB2312" w:cs="Times New Roman" w:hAnsiTheme="minorEastAsia"/>
          <w:b/>
          <w:spacing w:val="-3"/>
          <w:sz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ascii="仿宋_GB2312" w:eastAsia="仿宋_GB2312" w:cs="Times New Roman" w:hAnsiTheme="minorEastAsia"/>
          <w:b/>
          <w:spacing w:val="-3"/>
          <w:sz w:val="20"/>
          <w:lang w:eastAsia="zh-CN"/>
        </w:rPr>
        <w:t>测算收益不等于实际收益，</w:t>
      </w:r>
      <w:r>
        <w:rPr>
          <w:rFonts w:hint="eastAsia" w:ascii="仿宋_GB2312" w:eastAsia="仿宋_GB2312" w:cs="Times New Roman" w:hAnsiTheme="minorEastAsia"/>
          <w:b/>
          <w:sz w:val="20"/>
          <w:lang w:eastAsia="zh-CN"/>
        </w:rPr>
        <w:t>实际收益以</w:t>
      </w:r>
      <w:r>
        <w:rPr>
          <w:rFonts w:hint="eastAsia" w:ascii="仿宋_GB2312" w:eastAsia="仿宋_GB2312" w:cs="Times New Roman" w:hAnsiTheme="minorEastAsia"/>
          <w:b/>
          <w:sz w:val="20"/>
          <w:lang w:val="en-US" w:eastAsia="zh-CN"/>
        </w:rPr>
        <w:t>兑付</w:t>
      </w:r>
      <w:r>
        <w:rPr>
          <w:rFonts w:hint="eastAsia" w:ascii="仿宋_GB2312" w:eastAsia="仿宋_GB2312" w:cs="Times New Roman" w:hAnsiTheme="minorEastAsia"/>
          <w:b/>
          <w:sz w:val="20"/>
          <w:lang w:eastAsia="zh-CN"/>
        </w:rPr>
        <w:t>为准，</w:t>
      </w:r>
      <w:r>
        <w:rPr>
          <w:rFonts w:hint="eastAsia" w:ascii="仿宋_GB2312" w:eastAsia="仿宋_GB2312" w:cs="Times New Roman" w:hAnsiTheme="minorEastAsia"/>
          <w:b/>
          <w:spacing w:val="-3"/>
          <w:sz w:val="20"/>
          <w:lang w:eastAsia="zh-CN"/>
        </w:rPr>
        <w:t>投资须谨慎；如发生基础资产无法回收任何本金和收益等最不利情况下，投资者将损失全部本金。</w:t>
      </w:r>
      <w:r>
        <w:rPr>
          <w:rFonts w:ascii="仿宋_GB2312" w:eastAsia="仿宋_GB2312" w:cs="Times New Roman" w:hAnsiTheme="minorEastAsia"/>
          <w:spacing w:val="-3"/>
          <w:sz w:val="20"/>
          <w:lang w:eastAsia="zh-CN"/>
        </w:rPr>
        <w:t>）</w:t>
      </w:r>
    </w:p>
    <w:p w14:paraId="5C9D1F92">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32D7541E">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64D9FDD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投资者应得资金兑付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投资者认购</w:t>
      </w:r>
      <w:r>
        <w:rPr>
          <w:rFonts w:hint="eastAsia" w:ascii="仿宋_GB2312" w:eastAsia="仿宋_GB2312" w:cs="Times New Roman" w:hAnsiTheme="minorEastAsia"/>
          <w:sz w:val="20"/>
          <w:highlight w:val="none"/>
          <w:lang w:val="en-US" w:eastAsia="zh-CN"/>
        </w:rPr>
        <w:t>/</w:t>
      </w:r>
      <w:r>
        <w:rPr>
          <w:rFonts w:hint="eastAsia"/>
          <w:lang w:val="en-US" w:eastAsia="zh-CN"/>
        </w:rPr>
        <w:t>申购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6273FFC0">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（二）非正常情况</w:t>
      </w:r>
      <w:r>
        <w:rPr>
          <w:rFonts w:hint="eastAsia" w:ascii="仿宋_GB2312" w:eastAsia="仿宋_GB2312" w:cs="Times New Roman" w:hAnsiTheme="minorEastAsia"/>
          <w:b/>
          <w:sz w:val="20"/>
          <w:lang w:eastAsia="zh-CN"/>
        </w:rPr>
        <w:t>兑付</w:t>
      </w:r>
    </w:p>
    <w:p w14:paraId="462D0666">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，贵阳农商银行可以根据实际情况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ascii="仿宋_GB2312" w:eastAsia="仿宋_GB2312" w:cs="Times New Roman" w:hAnsiTheme="minorEastAsia"/>
          <w:sz w:val="20"/>
          <w:lang w:eastAsia="zh-CN"/>
        </w:rPr>
        <w:t>向</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提前兑付、延迟兑付或者分次兑付</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方式进行兑付，并于具体实施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4928EC4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（三）展期</w:t>
      </w:r>
    </w:p>
    <w:p w14:paraId="6D2FD49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0AF866A1">
      <w:pPr>
        <w:pStyle w:val="16"/>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6AE7FDE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2CF6521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6F97F88F">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3D28FA7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4018E14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6415F02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13B0590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592F4E5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6C80304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0F2264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000E3E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1D9DC17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03329B8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05108B3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71AC798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40E7D747">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0AF846E6">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4950654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根据《中华人民共和国消费者权益保护法》《中国人民银行金融消费者权益保护实施办法》《商业银行理财业务监督管理办法》的要求，主动、真实、准确、完整、及时地向理财投资者提供理财产品信息披露服务。</w:t>
      </w:r>
    </w:p>
    <w:p w14:paraId="511F2485">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0815E94B">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463C88B6">
      <w:pPr>
        <w:pStyle w:val="3"/>
        <w:spacing w:before="0"/>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4540A6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6673551">
      <w:pPr>
        <w:pStyle w:val="16"/>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40B1EE46">
      <w:pPr>
        <w:pStyle w:val="3"/>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2D63CE02">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r>
        <w:rPr>
          <w:rFonts w:hint="eastAsia" w:ascii="仿宋_GB2312" w:eastAsia="仿宋_GB2312" w:cs="Times New Roman" w:hAnsiTheme="minorEastAsia"/>
          <w:color w:val="auto"/>
          <w:sz w:val="20"/>
          <w:highlight w:val="none"/>
          <w:lang w:val="en-US" w:eastAsia="zh-CN"/>
        </w:rPr>
        <w:t>一旦投资者认购/申购本理财产品，则视为投资者同意贵阳农商银行将投资者信息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用于理财产品登记、反洗钱、开户、理财产品交易、监管报送等目的。如果投资者拒绝提供该等信息，则产品管理人不能依法为投资者提供理财产品销售文件相关产品与服务：</w:t>
      </w:r>
    </w:p>
    <w:p w14:paraId="458AD375">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1B0D35FF">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11C7D24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8F2CF32">
      <w:pPr>
        <w:pStyle w:val="3"/>
        <w:ind w:left="0" w:right="153" w:firstLine="400" w:firstLineChars="200"/>
        <w:jc w:val="both"/>
        <w:rPr>
          <w:rFonts w:hint="eastAsia" w:ascii="仿宋_GB2312" w:eastAsia="仿宋_GB2312" w:cs="Times New Roman" w:hAnsiTheme="minorEastAsia"/>
          <w:sz w:val="20"/>
          <w:lang w:eastAsia="zh-CN"/>
        </w:rPr>
      </w:pPr>
    </w:p>
    <w:p w14:paraId="60E094B8">
      <w:pPr>
        <w:pStyle w:val="3"/>
        <w:ind w:left="0" w:right="153" w:firstLine="400" w:firstLineChars="200"/>
        <w:jc w:val="both"/>
        <w:rPr>
          <w:rFonts w:hint="eastAsia" w:ascii="仿宋_GB2312" w:eastAsia="仿宋_GB2312" w:cs="Times New Roman" w:hAnsiTheme="minorEastAsia"/>
          <w:sz w:val="20"/>
          <w:lang w:eastAsia="zh-CN"/>
        </w:rPr>
      </w:pPr>
    </w:p>
    <w:p w14:paraId="03315CC9">
      <w:pPr>
        <w:pStyle w:val="3"/>
        <w:ind w:left="0" w:right="153" w:firstLine="400" w:firstLineChars="200"/>
        <w:jc w:val="both"/>
        <w:rPr>
          <w:rFonts w:hint="eastAsia" w:ascii="仿宋_GB2312" w:eastAsia="仿宋_GB2312" w:cs="Times New Roman" w:hAnsiTheme="minorEastAsia"/>
          <w:sz w:val="20"/>
          <w:lang w:eastAsia="zh-CN"/>
        </w:rPr>
      </w:pPr>
    </w:p>
    <w:p w14:paraId="7EDCB8D9">
      <w:pPr>
        <w:pStyle w:val="3"/>
        <w:ind w:left="0" w:right="153" w:firstLine="400" w:firstLineChars="200"/>
        <w:jc w:val="both"/>
        <w:rPr>
          <w:rFonts w:hint="eastAsia" w:ascii="仿宋_GB2312" w:eastAsia="仿宋_GB2312" w:cs="Times New Roman" w:hAnsiTheme="minorEastAsia"/>
          <w:sz w:val="20"/>
          <w:lang w:eastAsia="zh-CN"/>
        </w:rPr>
      </w:pPr>
    </w:p>
    <w:p w14:paraId="486D9BEB">
      <w:pPr>
        <w:pStyle w:val="3"/>
        <w:ind w:left="0" w:right="153" w:firstLine="400" w:firstLineChars="200"/>
        <w:jc w:val="both"/>
        <w:rPr>
          <w:rFonts w:hint="eastAsia" w:ascii="仿宋_GB2312" w:eastAsia="仿宋_GB2312" w:cs="Times New Roman" w:hAnsiTheme="minorEastAsia"/>
          <w:sz w:val="20"/>
          <w:lang w:eastAsia="zh-CN"/>
        </w:rPr>
      </w:pPr>
    </w:p>
    <w:p w14:paraId="0CB4EF9B">
      <w:pPr>
        <w:pStyle w:val="3"/>
        <w:ind w:left="0" w:right="153" w:firstLine="400" w:firstLineChars="200"/>
        <w:jc w:val="both"/>
        <w:rPr>
          <w:rFonts w:hint="eastAsia" w:ascii="仿宋_GB2312" w:eastAsia="仿宋_GB2312" w:cs="Times New Roman" w:hAnsiTheme="minorEastAsia"/>
          <w:sz w:val="20"/>
          <w:lang w:eastAsia="zh-CN"/>
        </w:rPr>
      </w:pPr>
    </w:p>
    <w:p w14:paraId="0B7EE885">
      <w:pPr>
        <w:pStyle w:val="3"/>
        <w:ind w:left="0" w:right="153" w:firstLine="400" w:firstLineChars="200"/>
        <w:jc w:val="both"/>
        <w:rPr>
          <w:rFonts w:hint="eastAsia" w:ascii="仿宋_GB2312" w:eastAsia="仿宋_GB2312" w:cs="Times New Roman" w:hAnsiTheme="minorEastAsia"/>
          <w:sz w:val="20"/>
          <w:lang w:eastAsia="zh-CN"/>
        </w:rPr>
      </w:pPr>
    </w:p>
    <w:p w14:paraId="38ED5F1A">
      <w:pPr>
        <w:pStyle w:val="3"/>
        <w:ind w:left="0" w:right="153" w:firstLine="400" w:firstLineChars="200"/>
        <w:jc w:val="both"/>
        <w:rPr>
          <w:rFonts w:hint="eastAsia" w:ascii="仿宋_GB2312" w:eastAsia="仿宋_GB2312" w:cs="Times New Roman" w:hAnsiTheme="minorEastAsia"/>
          <w:sz w:val="20"/>
          <w:lang w:eastAsia="zh-CN"/>
        </w:rPr>
      </w:pPr>
    </w:p>
    <w:p w14:paraId="182905F4">
      <w:pPr>
        <w:pStyle w:val="3"/>
        <w:ind w:left="0" w:right="153" w:firstLine="400" w:firstLineChars="200"/>
        <w:jc w:val="both"/>
        <w:rPr>
          <w:rFonts w:hint="eastAsia" w:ascii="仿宋_GB2312" w:eastAsia="仿宋_GB2312" w:cs="Times New Roman" w:hAnsiTheme="minorEastAsia"/>
          <w:sz w:val="20"/>
          <w:lang w:eastAsia="zh-CN"/>
        </w:rPr>
      </w:pPr>
    </w:p>
    <w:p w14:paraId="2723D5DD">
      <w:pPr>
        <w:pStyle w:val="3"/>
        <w:ind w:left="0" w:right="153" w:firstLine="400" w:firstLineChars="200"/>
        <w:jc w:val="both"/>
        <w:rPr>
          <w:rFonts w:hint="eastAsia" w:ascii="仿宋_GB2312" w:eastAsia="仿宋_GB2312" w:cs="Times New Roman" w:hAnsiTheme="minorEastAsia"/>
          <w:sz w:val="20"/>
          <w:lang w:eastAsia="zh-CN"/>
        </w:rPr>
      </w:pPr>
    </w:p>
    <w:p w14:paraId="0FA393FD">
      <w:pPr>
        <w:pStyle w:val="3"/>
        <w:ind w:left="0" w:right="153" w:firstLine="400" w:firstLineChars="200"/>
        <w:jc w:val="both"/>
        <w:rPr>
          <w:rFonts w:hint="eastAsia" w:ascii="仿宋_GB2312" w:eastAsia="仿宋_GB2312" w:cs="Times New Roman" w:hAnsiTheme="minorEastAsia"/>
          <w:sz w:val="20"/>
          <w:lang w:eastAsia="zh-CN"/>
        </w:rPr>
      </w:pPr>
    </w:p>
    <w:p w14:paraId="3C1168AC">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01CA830D">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6E719957">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3CB95AD">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24944847">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41A20FC8">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91F708C">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42041893">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223D9F4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6F408FB2">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0A981E87">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sz w:val="20"/>
          <w:szCs w:val="20"/>
          <w:lang w:val="en-US" w:eastAsia="zh-CN"/>
        </w:rPr>
        <w:t>但因甲方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cstheme="minorBidi"/>
          <w:b w:val="0"/>
          <w:bCs w:val="0"/>
          <w:sz w:val="20"/>
          <w:szCs w:val="20"/>
          <w:lang w:val="en-US" w:eastAsia="zh-CN"/>
        </w:rPr>
        <w:t>账户状态异常导致乙方划扣不成功的，由甲方自行承担责任。</w:t>
      </w:r>
    </w:p>
    <w:p w14:paraId="6AFBA869">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w:t>
      </w:r>
      <w:r>
        <w:rPr>
          <w:rFonts w:hint="eastAsia" w:ascii="仿宋_GB2312" w:hAnsi="宋体" w:eastAsia="仿宋_GB2312"/>
          <w:sz w:val="20"/>
          <w:szCs w:val="20"/>
          <w:lang w:eastAsia="zh-CN"/>
        </w:rPr>
        <w:t>账户销户。</w:t>
      </w:r>
      <w:r>
        <w:rPr>
          <w:rFonts w:hint="eastAsia" w:ascii="仿宋_GB2312" w:hAnsi="宋体" w:eastAsia="仿宋_GB2312"/>
          <w:sz w:val="20"/>
          <w:szCs w:val="20"/>
          <w:lang w:val="en-US" w:eastAsia="zh-CN"/>
        </w:rPr>
        <w:t>如乙方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账户状态异常</w:t>
      </w:r>
      <w:r>
        <w:rPr>
          <w:rFonts w:hint="eastAsia" w:ascii="仿宋_GB2312" w:hAnsi="宋体" w:eastAsia="仿宋_GB2312" w:cstheme="minorBidi"/>
          <w:b w:val="0"/>
          <w:bCs w:val="0"/>
          <w:sz w:val="20"/>
          <w:szCs w:val="20"/>
          <w:lang w:val="en-US" w:eastAsia="zh-CN"/>
        </w:rPr>
        <w:t>导致</w:t>
      </w:r>
      <w:r>
        <w:rPr>
          <w:rFonts w:hint="eastAsia" w:ascii="仿宋_GB2312" w:hAnsi="宋体" w:eastAsia="仿宋_GB2312"/>
          <w:sz w:val="20"/>
          <w:szCs w:val="20"/>
          <w:lang w:val="en-US" w:eastAsia="zh-CN"/>
        </w:rPr>
        <w:t>投资款项</w:t>
      </w:r>
      <w:r>
        <w:rPr>
          <w:rFonts w:hint="eastAsia" w:ascii="仿宋_GB2312" w:hAnsi="宋体" w:eastAsia="仿宋_GB2312"/>
          <w:sz w:val="20"/>
          <w:szCs w:val="20"/>
          <w:lang w:eastAsia="zh-CN"/>
        </w:rPr>
        <w:t>无法入账，由甲方自行承担责任。因甲方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账户挂失、换卡等原因造成有关账户信息变更的，甲方应在投资款项入账前到乙方</w:t>
      </w:r>
      <w:r>
        <w:rPr>
          <w:rFonts w:hint="eastAsia" w:ascii="仿宋_GB2312" w:hAnsi="宋体" w:eastAsia="仿宋_GB2312"/>
          <w:sz w:val="20"/>
          <w:szCs w:val="20"/>
          <w:lang w:val="en-US" w:eastAsia="zh-CN"/>
        </w:rPr>
        <w:t>任一</w:t>
      </w:r>
      <w:r>
        <w:rPr>
          <w:rFonts w:hint="eastAsia" w:ascii="仿宋_GB2312" w:hAnsi="宋体" w:eastAsia="仿宋_GB2312"/>
          <w:sz w:val="20"/>
          <w:szCs w:val="20"/>
          <w:lang w:eastAsia="zh-CN"/>
        </w:rPr>
        <w:t>网点办理理财账户变更，如因甲方未及时变更而造成投资款项无法入账，甲方承担全部责任。</w:t>
      </w:r>
    </w:p>
    <w:p w14:paraId="48B15791">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七</w:t>
      </w:r>
      <w:r>
        <w:rPr>
          <w:rFonts w:hint="eastAsia" w:ascii="仿宋_GB2312" w:hAnsi="宋体" w:eastAsia="仿宋_GB2312"/>
          <w:sz w:val="20"/>
          <w:szCs w:val="20"/>
          <w:lang w:eastAsia="zh-CN"/>
        </w:rPr>
        <w:t>、因甲方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账户资金余额不足或其他原因</w:t>
      </w:r>
      <w:r>
        <w:rPr>
          <w:rFonts w:ascii="仿宋_GB2312" w:hAnsi="宋体" w:eastAsia="仿宋_GB2312"/>
          <w:sz w:val="20"/>
          <w:szCs w:val="20"/>
          <w:lang w:eastAsia="zh-CN"/>
        </w:rPr>
        <w:t>(如冻结、挂失、换卡等)，导致认购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申购不成功，本协议自动终止，</w:t>
      </w:r>
      <w:r>
        <w:rPr>
          <w:rFonts w:hint="eastAsia" w:ascii="仿宋_GB2312" w:hAnsi="宋体" w:eastAsia="仿宋_GB2312"/>
          <w:sz w:val="20"/>
          <w:szCs w:val="20"/>
          <w:lang w:val="en-US" w:eastAsia="zh-CN"/>
        </w:rPr>
        <w:t>除理财</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账户资金活期利息外，</w:t>
      </w:r>
      <w:r>
        <w:rPr>
          <w:rFonts w:ascii="仿宋_GB2312" w:hAnsi="宋体" w:eastAsia="仿宋_GB2312"/>
          <w:sz w:val="20"/>
          <w:szCs w:val="20"/>
          <w:lang w:eastAsia="zh-CN"/>
        </w:rPr>
        <w:t>乙方不计付本理财产品的任何收益，并且乙方对此不承担任何责任。</w:t>
      </w:r>
    </w:p>
    <w:p w14:paraId="37D553E3">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59C8E6D6">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九</w:t>
      </w:r>
      <w:r>
        <w:rPr>
          <w:rFonts w:hint="eastAsia" w:ascii="仿宋_GB2312" w:hAnsi="宋体" w:eastAsia="仿宋_GB2312"/>
          <w:sz w:val="20"/>
          <w:szCs w:val="20"/>
          <w:lang w:eastAsia="zh-CN"/>
        </w:rPr>
        <w:t>、发生下列情况之一时，乙方有权单方提前终止本协议：</w:t>
      </w:r>
    </w:p>
    <w:p w14:paraId="611DEDF8">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份，产品可提前终止，首次募集低于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元时，产品可不成立；</w:t>
      </w:r>
    </w:p>
    <w:p w14:paraId="47530188">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因不可抗力原因导致理财产品无法继续运作；</w:t>
      </w:r>
    </w:p>
    <w:p w14:paraId="5275E138">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遇有市场剧烈波动、异常风险事件等情形导致理财产品净值出现大幅波动或严重影响理财产品的资产安全；</w:t>
      </w:r>
    </w:p>
    <w:p w14:paraId="383ECCB4">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协议等相关法律文件约定，或者继续存续无法实现投资目标；</w:t>
      </w:r>
    </w:p>
    <w:p w14:paraId="3980FEB2">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51EFE205">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相关投资管理机构或运用理财资金的第三方主体实施符合法律法规规定或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协议等相关法律文件约定的行为导致理财产品被动提前终止；</w:t>
      </w:r>
    </w:p>
    <w:p w14:paraId="5C0220AF">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39463234">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法律法规规定或监管部门认定的其他情形。</w:t>
      </w:r>
    </w:p>
    <w:p w14:paraId="57BB55E2">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十</w:t>
      </w:r>
      <w:r>
        <w:rPr>
          <w:rFonts w:hint="eastAsia" w:ascii="仿宋_GB2312" w:hAnsi="宋体" w:eastAsia="仿宋_GB2312"/>
          <w:sz w:val="20"/>
          <w:szCs w:val="20"/>
          <w:lang w:eastAsia="zh-CN"/>
        </w:rPr>
        <w:t>、</w:t>
      </w:r>
      <w:r>
        <w:rPr>
          <w:rFonts w:hint="eastAsia" w:ascii="仿宋_GB2312" w:hAnsi="宋体" w:eastAsia="仿宋_GB2312"/>
          <w:sz w:val="20"/>
          <w:szCs w:val="20"/>
          <w:highlight w:val="none"/>
          <w:lang w:eastAsia="zh-CN"/>
        </w:rPr>
        <w:t>乙方单方提前终止本协议时，</w:t>
      </w:r>
      <w:r>
        <w:rPr>
          <w:rFonts w:hint="eastAsia" w:ascii="仿宋_GB2312" w:hAnsi="宋体" w:eastAsia="仿宋_GB2312"/>
          <w:sz w:val="20"/>
          <w:szCs w:val="20"/>
          <w:lang w:eastAsia="zh-CN"/>
        </w:rPr>
        <w:t>甲</w:t>
      </w:r>
      <w:r>
        <w:rPr>
          <w:rFonts w:hint="eastAsia" w:ascii="仿宋_GB2312" w:hAnsi="宋体" w:eastAsia="仿宋_GB2312"/>
          <w:sz w:val="20"/>
          <w:szCs w:val="20"/>
          <w:lang w:val="en-US" w:eastAsia="zh-CN"/>
        </w:rPr>
        <w:t>方</w:t>
      </w:r>
      <w:r>
        <w:rPr>
          <w:rFonts w:hint="eastAsia" w:ascii="仿宋_GB2312" w:hAnsi="宋体" w:eastAsia="仿宋_GB2312"/>
          <w:sz w:val="20"/>
          <w:szCs w:val="20"/>
          <w:lang w:eastAsia="zh-CN"/>
        </w:rPr>
        <w:t>同意乙方可采取任意一种或多种方式通知甲方，通知方式包括但不限于短信、电话、乙方网站公告、信函、</w:t>
      </w:r>
      <w:r>
        <w:rPr>
          <w:rFonts w:hint="eastAsia" w:ascii="仿宋_GB2312" w:hAnsi="宋体" w:eastAsia="仿宋_GB2312"/>
          <w:sz w:val="20"/>
          <w:szCs w:val="20"/>
          <w:lang w:val="en-US" w:eastAsia="zh-CN"/>
        </w:rPr>
        <w:t>营业网点等</w:t>
      </w:r>
      <w:r>
        <w:rPr>
          <w:rFonts w:hint="eastAsia" w:ascii="仿宋_GB2312" w:hAnsi="宋体" w:eastAsia="仿宋_GB2312"/>
          <w:sz w:val="20"/>
          <w:szCs w:val="20"/>
          <w:lang w:eastAsia="zh-CN"/>
        </w:rPr>
        <w:t>。无论乙方是否以前述方式通知甲方，甲方同意乙方将行使提前终止权的</w:t>
      </w:r>
      <w:r>
        <w:rPr>
          <w:rFonts w:hint="eastAsia" w:ascii="仿宋_GB2312" w:hAnsi="宋体" w:eastAsia="仿宋_GB2312"/>
          <w:sz w:val="20"/>
          <w:szCs w:val="20"/>
          <w:lang w:val="en-US" w:eastAsia="zh-CN"/>
        </w:rPr>
        <w:t>应兑付资金</w:t>
      </w:r>
      <w:r>
        <w:rPr>
          <w:rFonts w:hint="eastAsia" w:ascii="仿宋_GB2312" w:hAnsi="宋体" w:eastAsia="仿宋_GB2312"/>
          <w:sz w:val="20"/>
          <w:szCs w:val="20"/>
          <w:lang w:eastAsia="zh-CN"/>
        </w:rPr>
        <w:t>划入甲方</w:t>
      </w:r>
      <w:r>
        <w:rPr>
          <w:rFonts w:hint="eastAsia" w:ascii="仿宋_GB2312" w:hAnsi="宋体" w:eastAsia="仿宋_GB2312"/>
          <w:sz w:val="20"/>
          <w:szCs w:val="20"/>
          <w:lang w:val="en-US" w:eastAsia="zh-CN"/>
        </w:rPr>
        <w:t>认购/申购</w:t>
      </w:r>
      <w:r>
        <w:rPr>
          <w:rFonts w:hint="eastAsia" w:ascii="仿宋_GB2312" w:hAnsi="宋体" w:eastAsia="仿宋_GB2312"/>
          <w:sz w:val="20"/>
          <w:szCs w:val="20"/>
          <w:lang w:eastAsia="zh-CN"/>
        </w:rPr>
        <w:t>账户，即视同乙方已经通知甲方。甲方不得以未知晓乙方提前终止而向乙方提出任何损失赔偿。</w:t>
      </w:r>
    </w:p>
    <w:p w14:paraId="50A990A3">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0BA96CE4">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11763BA2">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3CFE175A">
      <w:pPr>
        <w:snapToGrid w:val="0"/>
        <w:spacing w:line="240" w:lineRule="exact"/>
        <w:ind w:firstLine="402" w:firstLineChars="200"/>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523B085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2A90FC8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381209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CD3C5FB">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535BB525">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27FAB8A6">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55EC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5AAF8144">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7BEE01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D74781C">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请您在理解并同意本合同所有条款的情况下，再签署合同，对于不理解的内容，您有权向贵阳农商银行工作人员进行咨询并得到答复。</w:t>
            </w:r>
          </w:p>
          <w:p w14:paraId="328C204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签署本提示，系建立在您已经认真阅读并理解本合同全部条款的基础上，如您未阅读并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本合同全部条款，请您不要签署本提示及本合同。</w:t>
            </w:r>
          </w:p>
          <w:p w14:paraId="795EC711">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1C699AD8">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您是否已阅读并理解本合同项下全部条款。</w:t>
            </w:r>
          </w:p>
          <w:p w14:paraId="604CF914">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3452EF3B">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贵阳农商银行工作人员是否对合同相关条款进行了解释及说明。</w:t>
            </w:r>
          </w:p>
          <w:p w14:paraId="00B450BE">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6612BB10">
            <w:pPr>
              <w:snapToGrid w:val="0"/>
              <w:spacing w:line="400" w:lineRule="exact"/>
              <w:ind w:firstLine="360" w:firstLineChars="200"/>
              <w:rPr>
                <w:rFonts w:ascii="仿宋_GB2312" w:hAnsi="宋体" w:eastAsia="仿宋_GB2312"/>
                <w:sz w:val="18"/>
                <w:szCs w:val="18"/>
                <w:lang w:eastAsia="zh-CN"/>
              </w:rPr>
            </w:pPr>
          </w:p>
          <w:p w14:paraId="762760D9">
            <w:pPr>
              <w:snapToGrid w:val="0"/>
              <w:spacing w:line="400" w:lineRule="exact"/>
              <w:ind w:firstLine="360" w:firstLineChars="200"/>
              <w:rPr>
                <w:rFonts w:ascii="仿宋_GB2312" w:hAnsi="宋体" w:eastAsia="仿宋_GB2312"/>
                <w:sz w:val="18"/>
                <w:szCs w:val="18"/>
                <w:lang w:eastAsia="zh-CN"/>
              </w:rPr>
            </w:pPr>
          </w:p>
          <w:p w14:paraId="7E868E2D">
            <w:pPr>
              <w:snapToGrid w:val="0"/>
              <w:spacing w:line="400" w:lineRule="exact"/>
              <w:ind w:firstLine="360" w:firstLineChars="200"/>
              <w:rPr>
                <w:rFonts w:ascii="仿宋_GB2312" w:hAnsi="宋体" w:eastAsia="仿宋_GB2312"/>
                <w:sz w:val="18"/>
                <w:szCs w:val="18"/>
                <w:lang w:eastAsia="zh-CN"/>
              </w:rPr>
            </w:pPr>
          </w:p>
          <w:p w14:paraId="620F490C">
            <w:pPr>
              <w:snapToGrid w:val="0"/>
              <w:spacing w:line="400" w:lineRule="exact"/>
              <w:ind w:firstLine="360" w:firstLineChars="200"/>
              <w:rPr>
                <w:rFonts w:ascii="仿宋_GB2312" w:hAnsi="宋体" w:eastAsia="仿宋_GB2312"/>
                <w:sz w:val="18"/>
                <w:szCs w:val="18"/>
                <w:lang w:eastAsia="zh-CN"/>
              </w:rPr>
            </w:pPr>
          </w:p>
          <w:p w14:paraId="5FF54D22">
            <w:pPr>
              <w:snapToGrid w:val="0"/>
              <w:spacing w:line="400" w:lineRule="exact"/>
              <w:ind w:firstLine="360" w:firstLineChars="200"/>
              <w:rPr>
                <w:rFonts w:ascii="仿宋_GB2312" w:hAnsi="宋体" w:eastAsia="仿宋_GB2312"/>
                <w:sz w:val="18"/>
                <w:szCs w:val="18"/>
                <w:lang w:eastAsia="zh-CN"/>
              </w:rPr>
            </w:pPr>
          </w:p>
          <w:p w14:paraId="6CFFB025">
            <w:pPr>
              <w:spacing w:line="500" w:lineRule="exact"/>
              <w:ind w:firstLine="0" w:firstLineChars="0"/>
              <w:rPr>
                <w:rFonts w:ascii="黑体" w:hAnsi="黑体" w:eastAsia="黑体"/>
                <w:color w:val="000000"/>
                <w:sz w:val="21"/>
                <w:szCs w:val="21"/>
                <w:u w:val="single"/>
              </w:rPr>
            </w:pPr>
          </w:p>
          <w:p w14:paraId="6D4563AD">
            <w:pPr>
              <w:spacing w:line="500" w:lineRule="exact"/>
              <w:ind w:firstLine="420" w:firstLineChars="200"/>
              <w:rPr>
                <w:rFonts w:hint="eastAsia" w:ascii="黑体" w:hAnsi="黑体" w:eastAsia="黑体"/>
                <w:color w:val="000000"/>
                <w:sz w:val="21"/>
                <w:szCs w:val="21"/>
              </w:rPr>
            </w:pPr>
          </w:p>
          <w:p w14:paraId="75B0EF4E">
            <w:pPr>
              <w:spacing w:line="500" w:lineRule="exact"/>
              <w:ind w:firstLine="2310" w:firstLineChars="11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31CCB2D1">
            <w:pPr>
              <w:spacing w:line="500" w:lineRule="exact"/>
              <w:rPr>
                <w:rFonts w:hint="eastAsia" w:ascii="仿宋_GB2312" w:hAnsi="宋体" w:eastAsia="仿宋_GB2312"/>
                <w:color w:val="000000"/>
                <w:sz w:val="21"/>
                <w:szCs w:val="21"/>
              </w:rPr>
            </w:pPr>
          </w:p>
        </w:tc>
      </w:tr>
    </w:tbl>
    <w:p w14:paraId="451C8F9D">
      <w:pPr>
        <w:snapToGrid w:val="0"/>
        <w:spacing w:line="240" w:lineRule="exact"/>
        <w:ind w:firstLine="360" w:firstLineChars="200"/>
        <w:rPr>
          <w:rFonts w:hint="eastAsia" w:ascii="仿宋_GB2312" w:hAnsi="宋体" w:eastAsia="仿宋_GB2312"/>
          <w:sz w:val="18"/>
          <w:szCs w:val="18"/>
          <w:lang w:eastAsia="zh-CN"/>
        </w:rPr>
      </w:pPr>
    </w:p>
    <w:p w14:paraId="650DB3F3">
      <w:pPr>
        <w:snapToGrid w:val="0"/>
        <w:ind w:firstLine="360" w:firstLineChars="200"/>
        <w:rPr>
          <w:rFonts w:ascii="仿宋_GB2312" w:hAnsi="宋体" w:eastAsia="仿宋_GB2312"/>
          <w:sz w:val="18"/>
          <w:szCs w:val="18"/>
          <w:lang w:eastAsia="zh-CN"/>
        </w:rPr>
      </w:pPr>
    </w:p>
    <w:p w14:paraId="1CF6247A">
      <w:pPr>
        <w:widowControl/>
        <w:rPr>
          <w:rFonts w:ascii="仿宋_GB2312" w:hAnsi="宋体" w:eastAsia="仿宋_GB2312"/>
          <w:sz w:val="20"/>
          <w:szCs w:val="18"/>
          <w:lang w:eastAsia="zh-CN"/>
        </w:rPr>
      </w:pPr>
    </w:p>
    <w:p w14:paraId="56531DA6">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3F122306">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A3B9554">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79589861">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75E6AF96">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4F9F207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（二）投资者可通过营业网点和</w:t>
      </w:r>
      <w:r>
        <w:rPr>
          <w:rFonts w:hint="eastAsia" w:ascii="仿宋_GB2312" w:eastAsia="仿宋_GB2312" w:cs="Times New Roman" w:hAnsiTheme="minorEastAsia"/>
          <w:sz w:val="20"/>
          <w:lang w:val="en-US" w:eastAsia="zh-CN"/>
        </w:rPr>
        <w:t>手机银行等</w:t>
      </w:r>
      <w:r>
        <w:rPr>
          <w:rFonts w:hint="eastAsia" w:ascii="仿宋_GB2312" w:eastAsia="仿宋_GB2312" w:cs="Times New Roman" w:hAnsiTheme="minorEastAsia"/>
          <w:sz w:val="20"/>
          <w:lang w:eastAsia="zh-CN"/>
        </w:rPr>
        <w:t>电子渠道办理理财业务，具体办理时间以贵阳农商银行发布的信息为准。</w:t>
      </w:r>
    </w:p>
    <w:p w14:paraId="2751C3BF">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25E7605D">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（四）投资者阅读理财销售文本，详细了解本期理财产品情况。</w:t>
      </w:r>
    </w:p>
    <w:p w14:paraId="0B517A6D">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身份证件，签订理财销售文本。</w:t>
      </w:r>
    </w:p>
    <w:p w14:paraId="07DD8119">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06AAC33B">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0A587222">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335E6F65">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15D3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5E2BFF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2192336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0F1D673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32C4A0F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0776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0B1505E1">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0087D51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751A02EF">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6BFAAC9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2CEB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12F300E3">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3D29B072">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26CB860B">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EA0ABD8">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094F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6FEF4D29">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11F0A068">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096B3E7D">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124A9B79">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3CC5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48A1621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3DA1136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3A1AADE">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16013AD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6F52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422F60A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58541CE2">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253038EC">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70BF648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53C4D237">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77A394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1BB92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FA27441">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3F4BD94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45FA51E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415A306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0F5C231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38960F1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4392616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3892E7C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169FF4F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65BE401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6F0E453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7330F6D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4765BE6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1D64E3FF">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72FB0250">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13A771A5">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2.</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707DE9A3">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63B7FF98">
      <w:pPr>
        <w:rPr>
          <w:rFonts w:ascii="Times New Roman" w:hAnsi="Times New Roman" w:eastAsia="方正小标宋简体" w:cs="Times New Roman"/>
          <w:spacing w:val="1"/>
          <w:lang w:eastAsia="zh-CN"/>
        </w:rPr>
      </w:pPr>
    </w:p>
    <w:p w14:paraId="3177E169">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31168B7E">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26390DD1">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316E947C">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6F327209">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理财产品管理运用过程，可能会面临多种风险因素。因此，根据相关监管规定的要求，贵阳农商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0C1BF3D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63C4C395">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w:t>
      </w:r>
      <w:r>
        <w:rPr>
          <w:rFonts w:ascii="仿宋_GB2312" w:hAnsi="黑体" w:eastAsia="仿宋_GB2312" w:cs="Times New Roman"/>
          <w:b/>
          <w:bCs/>
          <w:sz w:val="20"/>
          <w:szCs w:val="20"/>
          <w:u w:val="none"/>
          <w:lang w:eastAsia="zh-CN"/>
        </w:rPr>
        <w:t>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不接受申购或赎回申请，开放期内接受申购或赎回申请。</w:t>
      </w:r>
    </w:p>
    <w:p w14:paraId="582638FE">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程度属于较低风险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602A08E4">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2B832C04">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示例：若投资者购买本理财产品，理财产品本金为10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hint="eastAsia" w:ascii="仿宋_GB2312" w:hAnsi="黑体" w:eastAsia="仿宋_GB2312" w:cs="Times New Roman"/>
          <w:spacing w:val="-2"/>
          <w:sz w:val="20"/>
          <w:szCs w:val="20"/>
          <w:lang w:eastAsia="zh-CN"/>
        </w:rPr>
        <w:t>元</w:t>
      </w:r>
      <w:r>
        <w:rPr>
          <w:rFonts w:ascii="仿宋_GB2312" w:hAnsi="黑体" w:eastAsia="仿宋_GB2312" w:cs="Times New Roman"/>
          <w:spacing w:val="-2"/>
          <w:sz w:val="20"/>
          <w:szCs w:val="20"/>
          <w:lang w:eastAsia="zh-CN"/>
        </w:rPr>
        <w:t>，如果产品正常运作到期，产品期限</w:t>
      </w:r>
      <w:r>
        <w:rPr>
          <w:rFonts w:hint="eastAsia" w:ascii="仿宋_GB2312" w:hAnsi="黑体" w:eastAsia="仿宋_GB2312" w:cs="Times New Roman"/>
          <w:spacing w:val="-2"/>
          <w:sz w:val="20"/>
          <w:szCs w:val="20"/>
          <w:lang w:eastAsia="zh-CN"/>
        </w:rPr>
        <w:t>365天</w:t>
      </w:r>
      <w:r>
        <w:rPr>
          <w:rFonts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eastAsia="zh-CN"/>
        </w:rPr>
        <w:t>到期</w:t>
      </w:r>
      <w:r>
        <w:rPr>
          <w:rFonts w:ascii="仿宋_GB2312" w:hAnsi="黑体" w:eastAsia="仿宋_GB2312" w:cs="Times New Roman"/>
          <w:spacing w:val="-2"/>
          <w:sz w:val="20"/>
          <w:szCs w:val="20"/>
          <w:lang w:eastAsia="zh-CN"/>
        </w:rPr>
        <w:t>单位净值为1.0600元/份，除本金外，到期收益为：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(1.0600-1)</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6000.00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42EC906C">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67877483">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10B8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41B19777">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13D7540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502AB6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0D9B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5D23E19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2ECD8AE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6B0BAC66">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77EEFCC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0D49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28EACF2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209B6D09">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E221D17">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00F1E87C">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3FE6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296571D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5A185309">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41BE4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0265595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2F3A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132053A">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058E29AA">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0C96599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328438F7">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7621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854138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5C77C10C">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2B864625">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2348558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6A15EF36">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22055DC5">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38DE7BF3">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5ECE9961">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7E566A1C">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在本产品存续期内的非开放日，投资者不能赎回，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交投不活跃、成交量不足的情形，如果理财产品赎回量较大，可能会影响产品流动性管理。</w:t>
      </w:r>
    </w:p>
    <w:p w14:paraId="01880E2B">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a）认购风险应对措施，包括：设定单一投资者认购金额上限、设定理财产品单日净认购比例上限、拒绝大额认购、暂停认购，以及国务院银行业监督管理机构规定的其他措施。(b）赎回风险应对措施，包括：设置赎回上限、延期办理巨额赎回申请、暂停接受赎回申请、延缓支付赎回款项、暂停理财产品估值，以及国务院银行业监督管理机构规定的其他措施。</w:t>
      </w:r>
    </w:p>
    <w:p w14:paraId="6637F82D">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5BD6BA3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因管理人（包括本理财计划的投资管理人、所投资的信托计划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基金产品的受托人（如有）、相关投资顾问（如有）等，下同）受经验、技能等因素的限制，可能导致本理财计划项下的理财资金遭受损失。如因信托计划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基金产品的受托人和相关投资顾问违背相关协议约定、处理事务不当，可能导致本理财计划项下理财资金遭受损失。</w:t>
      </w:r>
    </w:p>
    <w:p w14:paraId="4347CA8C">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59362F4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38FF6123">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定），或市场发生剧烈波动，或发生本期产品难以成立的其他情况，经贵阳农商银行判断难以按照本期产品说明书规定向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5DCEA4EA">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5B6DD2F5">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3F86397D">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6A11309A">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乃至产品单位净值跌破面值。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0CA07CC0">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1B93FD02">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76E6E068">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0D04AE71">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12E9AC1">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61145229">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37072D5B">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4AD34BBA">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72C7D9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62781377">
            <w:pPr>
              <w:rPr>
                <w:rFonts w:ascii="仿宋_GB2312" w:hAnsi="宋体" w:eastAsia="仿宋_GB2312" w:cs="宋体"/>
                <w:sz w:val="21"/>
                <w:szCs w:val="21"/>
                <w:lang w:eastAsia="zh-CN"/>
              </w:rPr>
            </w:pPr>
          </w:p>
          <w:p w14:paraId="12549312">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2E8B22E2">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36BA0975">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1FEE5781">
            <w:pPr>
              <w:rPr>
                <w:rFonts w:ascii="仿宋_GB2312" w:hAnsi="宋体" w:eastAsia="仿宋_GB2312" w:cs="宋体"/>
                <w:sz w:val="18"/>
                <w:szCs w:val="18"/>
                <w:lang w:eastAsia="zh-CN"/>
              </w:rPr>
            </w:pPr>
          </w:p>
          <w:p w14:paraId="52AC4045">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4A89A156">
            <w:pPr>
              <w:rPr>
                <w:rFonts w:ascii="仿宋_GB2312" w:hAnsi="宋体" w:eastAsia="仿宋_GB2312" w:cs="宋体"/>
                <w:sz w:val="20"/>
                <w:szCs w:val="20"/>
                <w:lang w:eastAsia="zh-CN"/>
              </w:rPr>
            </w:pPr>
          </w:p>
          <w:p w14:paraId="1F5A6467">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76E00295">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49BFC4FF">
            <w:pPr>
              <w:rPr>
                <w:rFonts w:ascii="仿宋_GB2312" w:hAnsi="宋体" w:eastAsia="仿宋_GB2312" w:cs="宋体"/>
                <w:sz w:val="21"/>
                <w:szCs w:val="21"/>
                <w:lang w:eastAsia="zh-CN"/>
              </w:rPr>
            </w:pPr>
          </w:p>
          <w:p w14:paraId="7F58F2A0">
            <w:pPr>
              <w:rPr>
                <w:rFonts w:ascii="仿宋_GB2312" w:hAnsi="宋体" w:eastAsia="仿宋_GB2312" w:cs="宋体"/>
                <w:spacing w:val="-20"/>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0E77FC4A">
            <w:pPr>
              <w:jc w:val="right"/>
              <w:rPr>
                <w:rFonts w:hint="eastAsia" w:ascii="仿宋_GB2312" w:hAnsi="宋体" w:eastAsia="仿宋_GB2312" w:cs="宋体"/>
                <w:sz w:val="21"/>
                <w:szCs w:val="21"/>
                <w:lang w:eastAsia="zh-CN"/>
              </w:rPr>
            </w:pPr>
          </w:p>
          <w:p w14:paraId="258F7CE6">
            <w:pPr>
              <w:jc w:val="right"/>
              <w:rPr>
                <w:rFonts w:hint="eastAsia" w:ascii="仿宋_GB2312" w:hAnsi="宋体" w:eastAsia="仿宋_GB2312" w:cs="宋体"/>
                <w:sz w:val="21"/>
                <w:szCs w:val="21"/>
                <w:lang w:eastAsia="zh-CN"/>
              </w:rPr>
            </w:pPr>
          </w:p>
          <w:p w14:paraId="23731770">
            <w:pPr>
              <w:jc w:val="right"/>
              <w:rPr>
                <w:rFonts w:hint="eastAsia" w:ascii="仿宋_GB2312" w:hAnsi="宋体" w:eastAsia="仿宋_GB2312" w:cs="宋体"/>
                <w:sz w:val="21"/>
                <w:szCs w:val="21"/>
                <w:lang w:eastAsia="zh-CN"/>
              </w:rPr>
            </w:pPr>
          </w:p>
          <w:p w14:paraId="57958BCA">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93F7101">
      <w:pPr>
        <w:ind w:right="131"/>
        <w:jc w:val="right"/>
        <w:rPr>
          <w:rFonts w:ascii="仿宋_GB2312" w:hAnsi="宋体" w:eastAsia="仿宋_GB2312" w:cs="Times New Roman"/>
          <w:sz w:val="21"/>
          <w:szCs w:val="24"/>
          <w:lang w:eastAsia="zh-CN"/>
        </w:rPr>
      </w:pPr>
    </w:p>
    <w:p w14:paraId="21054205">
      <w:pPr>
        <w:ind w:right="131"/>
        <w:rPr>
          <w:rFonts w:ascii="Times New Roman" w:hAnsi="宋体" w:eastAsia="宋体" w:cs="Times New Roman"/>
          <w:sz w:val="24"/>
          <w:szCs w:val="24"/>
          <w:lang w:eastAsia="zh-CN"/>
        </w:rPr>
      </w:pPr>
    </w:p>
    <w:p w14:paraId="3A2A8239">
      <w:pPr>
        <w:ind w:right="131"/>
        <w:rPr>
          <w:rFonts w:ascii="Times New Roman" w:hAnsi="宋体" w:eastAsia="宋体" w:cs="Times New Roman"/>
          <w:sz w:val="24"/>
          <w:szCs w:val="24"/>
          <w:lang w:eastAsia="zh-CN"/>
        </w:rPr>
      </w:pPr>
    </w:p>
    <w:p w14:paraId="30BA5197">
      <w:pPr>
        <w:ind w:left="139" w:right="1502"/>
        <w:rPr>
          <w:rFonts w:ascii="Times New Roman" w:hAnsi="宋体" w:eastAsia="宋体" w:cs="Times New Roman"/>
          <w:spacing w:val="-2"/>
          <w:sz w:val="21"/>
          <w:szCs w:val="21"/>
          <w:lang w:eastAsia="zh-CN"/>
        </w:rPr>
      </w:pPr>
    </w:p>
    <w:p w14:paraId="33CECF99">
      <w:pPr>
        <w:ind w:left="139" w:right="1502"/>
        <w:rPr>
          <w:rFonts w:ascii="Times New Roman" w:hAnsi="宋体" w:eastAsia="宋体" w:cs="Times New Roman"/>
          <w:spacing w:val="-2"/>
          <w:sz w:val="21"/>
          <w:szCs w:val="21"/>
          <w:lang w:eastAsia="zh-CN"/>
        </w:rPr>
      </w:pPr>
    </w:p>
    <w:p w14:paraId="11E10EA3">
      <w:pPr>
        <w:ind w:left="139" w:right="1502"/>
        <w:rPr>
          <w:rFonts w:ascii="Times New Roman" w:hAnsi="宋体" w:eastAsia="宋体" w:cs="Times New Roman"/>
          <w:spacing w:val="-2"/>
          <w:sz w:val="21"/>
          <w:szCs w:val="21"/>
          <w:lang w:eastAsia="zh-CN"/>
        </w:rPr>
      </w:pPr>
    </w:p>
    <w:p w14:paraId="2695AB59">
      <w:pPr>
        <w:ind w:left="139" w:right="1502"/>
        <w:rPr>
          <w:rFonts w:ascii="Times New Roman" w:hAnsi="宋体" w:eastAsia="宋体" w:cs="Times New Roman"/>
          <w:spacing w:val="-2"/>
          <w:sz w:val="21"/>
          <w:szCs w:val="21"/>
          <w:lang w:eastAsia="zh-CN"/>
        </w:rPr>
      </w:pPr>
    </w:p>
    <w:p w14:paraId="48D606B6">
      <w:pPr>
        <w:ind w:left="139" w:right="1502"/>
        <w:rPr>
          <w:rFonts w:ascii="Times New Roman" w:hAnsi="宋体" w:eastAsia="宋体" w:cs="Times New Roman"/>
          <w:spacing w:val="-2"/>
          <w:sz w:val="21"/>
          <w:szCs w:val="21"/>
          <w:lang w:eastAsia="zh-CN"/>
        </w:rPr>
      </w:pPr>
    </w:p>
    <w:p w14:paraId="0121647D">
      <w:pPr>
        <w:ind w:left="139" w:right="1502"/>
        <w:rPr>
          <w:rFonts w:ascii="Times New Roman" w:hAnsi="宋体" w:eastAsia="宋体" w:cs="Times New Roman"/>
          <w:spacing w:val="-2"/>
          <w:sz w:val="21"/>
          <w:szCs w:val="21"/>
          <w:lang w:eastAsia="zh-CN"/>
        </w:rPr>
      </w:pPr>
    </w:p>
    <w:p w14:paraId="3D2DA0D5">
      <w:pPr>
        <w:ind w:left="139" w:right="1502"/>
        <w:rPr>
          <w:rFonts w:ascii="Times New Roman" w:hAnsi="宋体" w:eastAsia="宋体" w:cs="Times New Roman"/>
          <w:spacing w:val="-2"/>
          <w:sz w:val="21"/>
          <w:szCs w:val="21"/>
          <w:lang w:eastAsia="zh-CN"/>
        </w:rPr>
      </w:pPr>
    </w:p>
    <w:p w14:paraId="1B532EC5">
      <w:pPr>
        <w:ind w:left="139" w:right="1502"/>
        <w:rPr>
          <w:rFonts w:ascii="Times New Roman" w:hAnsi="宋体" w:eastAsia="宋体" w:cs="Times New Roman"/>
          <w:spacing w:val="-2"/>
          <w:sz w:val="21"/>
          <w:szCs w:val="21"/>
          <w:lang w:eastAsia="zh-CN"/>
        </w:rPr>
      </w:pPr>
    </w:p>
    <w:p w14:paraId="0A730A83">
      <w:pPr>
        <w:ind w:left="139" w:right="1502"/>
        <w:rPr>
          <w:rFonts w:ascii="Times New Roman" w:hAnsi="宋体" w:eastAsia="宋体" w:cs="Times New Roman"/>
          <w:spacing w:val="-2"/>
          <w:sz w:val="21"/>
          <w:szCs w:val="21"/>
          <w:lang w:eastAsia="zh-CN"/>
        </w:rPr>
      </w:pPr>
    </w:p>
    <w:p w14:paraId="2EE2269F">
      <w:pPr>
        <w:ind w:left="139" w:right="1502"/>
        <w:rPr>
          <w:rFonts w:ascii="Times New Roman" w:hAnsi="宋体" w:eastAsia="宋体" w:cs="Times New Roman"/>
          <w:spacing w:val="-2"/>
          <w:sz w:val="21"/>
          <w:szCs w:val="21"/>
          <w:lang w:eastAsia="zh-CN"/>
        </w:rPr>
      </w:pPr>
    </w:p>
    <w:p w14:paraId="1E0A0ADA">
      <w:pPr>
        <w:ind w:left="139" w:right="1502"/>
        <w:rPr>
          <w:rFonts w:ascii="Times New Roman" w:hAnsi="宋体" w:eastAsia="宋体" w:cs="Times New Roman"/>
          <w:spacing w:val="-2"/>
          <w:sz w:val="21"/>
          <w:szCs w:val="21"/>
          <w:lang w:eastAsia="zh-CN"/>
        </w:rPr>
      </w:pPr>
    </w:p>
    <w:p w14:paraId="25B68EBD">
      <w:pPr>
        <w:ind w:left="139" w:right="1502"/>
        <w:rPr>
          <w:rFonts w:ascii="Times New Roman" w:hAnsi="宋体" w:eastAsia="宋体" w:cs="Times New Roman"/>
          <w:spacing w:val="-2"/>
          <w:sz w:val="21"/>
          <w:szCs w:val="21"/>
          <w:lang w:eastAsia="zh-CN"/>
        </w:rPr>
      </w:pPr>
    </w:p>
    <w:p w14:paraId="41CFAE1A">
      <w:pPr>
        <w:ind w:left="139" w:right="1502"/>
        <w:rPr>
          <w:rFonts w:ascii="Times New Roman" w:hAnsi="宋体" w:eastAsia="宋体" w:cs="Times New Roman"/>
          <w:spacing w:val="-2"/>
          <w:sz w:val="21"/>
          <w:szCs w:val="21"/>
          <w:lang w:eastAsia="zh-CN"/>
        </w:rPr>
      </w:pPr>
    </w:p>
    <w:p w14:paraId="34A82C8F">
      <w:pPr>
        <w:ind w:left="139" w:right="1502"/>
        <w:rPr>
          <w:rFonts w:ascii="Times New Roman" w:hAnsi="宋体" w:eastAsia="宋体" w:cs="Times New Roman"/>
          <w:spacing w:val="-2"/>
          <w:sz w:val="21"/>
          <w:szCs w:val="21"/>
          <w:lang w:eastAsia="zh-CN"/>
        </w:rPr>
      </w:pPr>
    </w:p>
    <w:p w14:paraId="3ADFD649">
      <w:pPr>
        <w:ind w:left="139" w:right="1502"/>
        <w:rPr>
          <w:rFonts w:ascii="Times New Roman" w:hAnsi="宋体" w:eastAsia="宋体" w:cs="Times New Roman"/>
          <w:spacing w:val="-2"/>
          <w:sz w:val="21"/>
          <w:szCs w:val="21"/>
          <w:lang w:eastAsia="zh-CN"/>
        </w:rPr>
      </w:pPr>
    </w:p>
    <w:p w14:paraId="1E914E27">
      <w:pPr>
        <w:ind w:left="139" w:right="1502"/>
        <w:rPr>
          <w:rFonts w:ascii="Times New Roman" w:hAnsi="宋体" w:eastAsia="宋体" w:cs="Times New Roman"/>
          <w:spacing w:val="-2"/>
          <w:sz w:val="21"/>
          <w:szCs w:val="21"/>
          <w:lang w:eastAsia="zh-CN"/>
        </w:rPr>
      </w:pPr>
    </w:p>
    <w:p w14:paraId="2525E828">
      <w:pPr>
        <w:ind w:left="139" w:right="1502"/>
        <w:rPr>
          <w:rFonts w:ascii="Times New Roman" w:hAnsi="宋体" w:eastAsia="宋体" w:cs="Times New Roman"/>
          <w:spacing w:val="-2"/>
          <w:sz w:val="21"/>
          <w:szCs w:val="21"/>
          <w:lang w:eastAsia="zh-CN"/>
        </w:rPr>
      </w:pPr>
    </w:p>
    <w:p w14:paraId="1816276C">
      <w:pPr>
        <w:ind w:left="139" w:right="1502"/>
        <w:rPr>
          <w:rFonts w:ascii="Times New Roman" w:hAnsi="宋体" w:eastAsia="宋体" w:cs="Times New Roman"/>
          <w:spacing w:val="-2"/>
          <w:sz w:val="21"/>
          <w:szCs w:val="21"/>
          <w:lang w:eastAsia="zh-CN"/>
        </w:rPr>
      </w:pPr>
    </w:p>
    <w:p w14:paraId="78C65CC0">
      <w:pPr>
        <w:ind w:left="139" w:right="1502"/>
        <w:rPr>
          <w:rFonts w:ascii="Times New Roman" w:hAnsi="宋体" w:eastAsia="宋体" w:cs="Times New Roman"/>
          <w:spacing w:val="-2"/>
          <w:sz w:val="21"/>
          <w:szCs w:val="21"/>
          <w:lang w:eastAsia="zh-CN"/>
        </w:rPr>
      </w:pPr>
    </w:p>
    <w:p w14:paraId="1B430B12">
      <w:pPr>
        <w:ind w:left="139" w:right="1502"/>
        <w:rPr>
          <w:rFonts w:ascii="Times New Roman" w:hAnsi="宋体" w:eastAsia="宋体" w:cs="Times New Roman"/>
          <w:spacing w:val="-2"/>
          <w:sz w:val="21"/>
          <w:szCs w:val="21"/>
          <w:lang w:eastAsia="zh-CN"/>
        </w:rPr>
      </w:pPr>
    </w:p>
    <w:p w14:paraId="7BC59582">
      <w:pPr>
        <w:ind w:left="139" w:right="1502"/>
        <w:rPr>
          <w:rFonts w:ascii="Times New Roman" w:hAnsi="宋体" w:eastAsia="宋体" w:cs="Times New Roman"/>
          <w:spacing w:val="-2"/>
          <w:sz w:val="21"/>
          <w:szCs w:val="21"/>
          <w:lang w:eastAsia="zh-CN"/>
        </w:rPr>
      </w:pPr>
    </w:p>
    <w:p w14:paraId="5F41C3CB">
      <w:pPr>
        <w:ind w:left="139" w:right="1502"/>
        <w:rPr>
          <w:rFonts w:ascii="Times New Roman" w:hAnsi="宋体" w:eastAsia="宋体" w:cs="Times New Roman"/>
          <w:spacing w:val="-2"/>
          <w:sz w:val="21"/>
          <w:szCs w:val="21"/>
          <w:lang w:eastAsia="zh-CN"/>
        </w:rPr>
      </w:pPr>
    </w:p>
    <w:p w14:paraId="6CDD2EA0">
      <w:pPr>
        <w:ind w:left="139" w:right="1502"/>
        <w:rPr>
          <w:rFonts w:ascii="Times New Roman" w:hAnsi="宋体" w:eastAsia="宋体" w:cs="Times New Roman"/>
          <w:spacing w:val="-2"/>
          <w:sz w:val="21"/>
          <w:szCs w:val="21"/>
          <w:lang w:eastAsia="zh-CN"/>
        </w:rPr>
      </w:pPr>
    </w:p>
    <w:p w14:paraId="7C736A1F">
      <w:pPr>
        <w:ind w:left="139" w:right="1502"/>
        <w:rPr>
          <w:rFonts w:ascii="Times New Roman" w:hAnsi="宋体" w:eastAsia="宋体" w:cs="Times New Roman"/>
          <w:spacing w:val="-2"/>
          <w:sz w:val="21"/>
          <w:szCs w:val="21"/>
          <w:lang w:eastAsia="zh-CN"/>
        </w:rPr>
      </w:pPr>
    </w:p>
    <w:p w14:paraId="11E95CB2">
      <w:pPr>
        <w:ind w:left="139" w:right="1502"/>
        <w:rPr>
          <w:rFonts w:ascii="Times New Roman" w:hAnsi="宋体" w:eastAsia="宋体" w:cs="Times New Roman"/>
          <w:spacing w:val="-2"/>
          <w:sz w:val="21"/>
          <w:szCs w:val="21"/>
          <w:lang w:eastAsia="zh-CN"/>
        </w:rPr>
      </w:pPr>
    </w:p>
    <w:p w14:paraId="72E470B2">
      <w:pPr>
        <w:ind w:left="139" w:right="1502"/>
        <w:rPr>
          <w:rFonts w:ascii="Times New Roman" w:hAnsi="宋体" w:eastAsia="宋体" w:cs="Times New Roman"/>
          <w:spacing w:val="-2"/>
          <w:sz w:val="21"/>
          <w:szCs w:val="21"/>
          <w:lang w:eastAsia="zh-CN"/>
        </w:rPr>
      </w:pPr>
    </w:p>
    <w:p w14:paraId="68D3A6CC">
      <w:pPr>
        <w:ind w:left="139" w:right="1502"/>
        <w:rPr>
          <w:rFonts w:ascii="Times New Roman" w:hAnsi="宋体" w:eastAsia="宋体" w:cs="Times New Roman"/>
          <w:spacing w:val="-2"/>
          <w:sz w:val="21"/>
          <w:szCs w:val="21"/>
          <w:lang w:eastAsia="zh-CN"/>
        </w:rPr>
      </w:pPr>
    </w:p>
    <w:p w14:paraId="3363E50D">
      <w:pPr>
        <w:ind w:left="139" w:right="1502"/>
        <w:rPr>
          <w:rFonts w:ascii="Times New Roman" w:hAnsi="宋体" w:eastAsia="宋体" w:cs="Times New Roman"/>
          <w:spacing w:val="-2"/>
          <w:sz w:val="21"/>
          <w:szCs w:val="21"/>
          <w:lang w:eastAsia="zh-CN"/>
        </w:rPr>
      </w:pPr>
    </w:p>
    <w:p w14:paraId="00689310">
      <w:pPr>
        <w:ind w:left="139" w:right="1502"/>
        <w:rPr>
          <w:rFonts w:ascii="Times New Roman" w:hAnsi="宋体" w:eastAsia="宋体" w:cs="Times New Roman"/>
          <w:spacing w:val="-2"/>
          <w:sz w:val="21"/>
          <w:szCs w:val="21"/>
          <w:lang w:eastAsia="zh-CN"/>
        </w:rPr>
      </w:pPr>
    </w:p>
    <w:p w14:paraId="58C60283">
      <w:pPr>
        <w:ind w:left="139" w:right="1502"/>
        <w:rPr>
          <w:rFonts w:ascii="Times New Roman" w:hAnsi="宋体" w:eastAsia="宋体" w:cs="Times New Roman"/>
          <w:spacing w:val="-2"/>
          <w:sz w:val="21"/>
          <w:szCs w:val="21"/>
          <w:lang w:eastAsia="zh-CN"/>
        </w:rPr>
      </w:pPr>
    </w:p>
    <w:p w14:paraId="7C60DBDC">
      <w:pPr>
        <w:ind w:left="139" w:right="1502"/>
        <w:rPr>
          <w:rFonts w:ascii="Times New Roman" w:hAnsi="宋体" w:eastAsia="宋体" w:cs="Times New Roman"/>
          <w:spacing w:val="-2"/>
          <w:sz w:val="21"/>
          <w:szCs w:val="21"/>
          <w:lang w:eastAsia="zh-CN"/>
        </w:rPr>
      </w:pPr>
    </w:p>
    <w:p w14:paraId="5FE7A3E8">
      <w:pPr>
        <w:ind w:left="139" w:right="1502"/>
        <w:rPr>
          <w:rFonts w:ascii="Times New Roman" w:hAnsi="宋体" w:eastAsia="宋体" w:cs="Times New Roman"/>
          <w:spacing w:val="-2"/>
          <w:sz w:val="21"/>
          <w:szCs w:val="21"/>
          <w:lang w:eastAsia="zh-CN"/>
        </w:rPr>
      </w:pPr>
    </w:p>
    <w:p w14:paraId="3AA2A214">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7EBF47A3">
      <w:pPr>
        <w:pStyle w:val="3"/>
        <w:spacing w:before="0"/>
        <w:ind w:left="0" w:right="153" w:firstLine="400" w:firstLineChars="200"/>
        <w:jc w:val="both"/>
        <w:rPr>
          <w:rFonts w:ascii="仿宋_GB2312" w:eastAsia="仿宋_GB2312" w:cs="Times New Roman" w:hAnsiTheme="minorEastAsia"/>
          <w:sz w:val="20"/>
          <w:lang w:eastAsia="zh-CN"/>
        </w:rPr>
      </w:pPr>
    </w:p>
    <w:p w14:paraId="10F591A8">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44EA5DF3">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6454605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3258AF2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13225C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52858A3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3ADBCBA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512C9FF2">
      <w:pPr>
        <w:pStyle w:val="3"/>
        <w:numPr>
          <w:ilvl w:val="-1"/>
          <w:numId w:val="0"/>
        </w:numPr>
        <w:spacing w:before="0"/>
        <w:ind w:left="440" w:leftChars="20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56E425F7">
      <w:pPr>
        <w:pStyle w:val="3"/>
        <w:numPr>
          <w:ilvl w:val="-1"/>
          <w:numId w:val="0"/>
        </w:numPr>
        <w:spacing w:before="0"/>
        <w:ind w:left="440" w:leftChars="200" w:right="153" w:firstLine="0" w:firstLineChars="0"/>
        <w:jc w:val="both"/>
        <w:rPr>
          <w:rFonts w:hint="eastAsia"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二</w:t>
      </w:r>
      <w:r>
        <w:rPr>
          <w:rFonts w:hint="eastAsia" w:ascii="仿宋_GB2312" w:eastAsia="仿宋_GB2312" w:cs="Times New Roman" w:hAnsiTheme="minorEastAsia"/>
          <w:b w:val="0"/>
          <w:bCs w:val="0"/>
          <w:sz w:val="20"/>
          <w:lang w:eastAsia="zh-CN"/>
        </w:rPr>
        <w:t>）向您提供理财产品信息披露服务，服务内容包括但不限于各类理财产品公告、定期报</w:t>
      </w:r>
    </w:p>
    <w:p w14:paraId="7CB0BAEE">
      <w:pPr>
        <w:pStyle w:val="3"/>
        <w:numPr>
          <w:ilvl w:val="-1"/>
          <w:numId w:val="0"/>
        </w:numPr>
        <w:spacing w:before="0"/>
        <w:ind w:left="0" w:leftChars="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b w:val="0"/>
          <w:bCs w:val="0"/>
          <w:sz w:val="20"/>
          <w:lang w:eastAsia="zh-CN"/>
        </w:rPr>
        <w:t>告以及理财产品账单。</w:t>
      </w:r>
    </w:p>
    <w:p w14:paraId="6454640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3AC78B0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1D2704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CAB997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4A6B01B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3A829845">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71E9D5C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3DB8197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38FAF39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4F69ED3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1ABE406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47EC5DE7">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3E3E1B6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2E0021A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13B4AB7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244E9B2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6F1C66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35E6228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67224BE0">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1BE1F01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191347B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304D8B5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十、特别提示</w:t>
      </w:r>
    </w:p>
    <w:p w14:paraId="7CFDE6A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w:t>
      </w:r>
      <w:r>
        <w:rPr>
          <w:rFonts w:hint="eastAsia" w:ascii="仿宋_GB2312" w:eastAsia="仿宋_GB2312" w:cs="Times New Roman" w:hAnsiTheme="minorEastAsia"/>
          <w:b/>
          <w:bCs/>
          <w:sz w:val="20"/>
          <w:lang w:val="en-US" w:eastAsia="zh-CN"/>
        </w:rPr>
        <w:t>0851-96777</w:t>
      </w:r>
      <w:r>
        <w:rPr>
          <w:rFonts w:hint="eastAsia" w:ascii="仿宋_GB2312" w:eastAsia="仿宋_GB2312" w:cs="Times New Roman" w:hAnsiTheme="minorEastAsia"/>
          <w:b/>
          <w:bCs/>
          <w:sz w:val="20"/>
          <w:lang w:eastAsia="zh-CN"/>
        </w:rPr>
        <w:t>）要求退订或在收到营销信息后按照信息提示的方式退订。</w:t>
      </w:r>
    </w:p>
    <w:p w14:paraId="1579BB0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(若您在该条前方框进行勾选，视为您同意.若您不勾选，您可能无法办理需您的相关信息才能办理的业务，但并不影响您正常办理贵阳农商银行其他业务)</w:t>
      </w:r>
    </w:p>
    <w:p w14:paraId="36715DC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您签字或勾选同意，视为您已知晓并同意</w:t>
      </w:r>
      <w:r>
        <w:rPr>
          <w:rFonts w:hint="eastAsia" w:ascii="仿宋_GB2312" w:eastAsia="仿宋_GB2312" w:cs="Times New Roman" w:hAnsiTheme="minorEastAsia"/>
          <w:b/>
          <w:bCs/>
          <w:sz w:val="20"/>
          <w:lang w:val="en-US" w:eastAsia="zh-CN"/>
        </w:rPr>
        <w:t>本</w:t>
      </w:r>
      <w:r>
        <w:rPr>
          <w:rFonts w:hint="eastAsia" w:ascii="仿宋_GB2312" w:eastAsia="仿宋_GB2312" w:cs="Times New Roman" w:hAnsiTheme="minorEastAsia"/>
          <w:b/>
          <w:bCs/>
          <w:sz w:val="20"/>
          <w:lang w:eastAsia="zh-CN"/>
        </w:rPr>
        <w:t>《信息授权书（理财业务版）》的全部内容</w:t>
      </w:r>
    </w:p>
    <w:p w14:paraId="695B067D">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本人确认</w:t>
      </w:r>
      <w:r>
        <w:rPr>
          <w:rFonts w:hint="eastAsia" w:ascii="仿宋_GB2312" w:eastAsia="仿宋_GB2312" w:cs="Times New Roman" w:hAnsiTheme="minorEastAsia"/>
          <w:b/>
          <w:bCs/>
          <w:sz w:val="20"/>
          <w:lang w:eastAsia="zh-CN"/>
        </w:rPr>
        <w:t>：贵阳农商银行已应本授权人要求对所有条款尽了提示、说明、解释义务。本授权是授权人的真实意思表示，本授权人不持任何异议，自愿同意承担由此带来的一切法律后果。</w:t>
      </w:r>
    </w:p>
    <w:p w14:paraId="0F6932FD">
      <w:pPr>
        <w:pStyle w:val="3"/>
        <w:spacing w:before="0"/>
        <w:ind w:left="0" w:right="153" w:firstLine="400" w:firstLineChars="200"/>
        <w:jc w:val="both"/>
        <w:rPr>
          <w:rFonts w:ascii="仿宋_GB2312" w:eastAsia="仿宋_GB2312" w:cs="Times New Roman" w:hAnsiTheme="minorEastAsia"/>
          <w:sz w:val="20"/>
          <w:lang w:eastAsia="zh-CN"/>
        </w:rPr>
      </w:pPr>
    </w:p>
    <w:p w14:paraId="33415B84">
      <w:pPr>
        <w:pStyle w:val="3"/>
        <w:spacing w:before="0"/>
        <w:ind w:left="0" w:right="153" w:firstLine="400" w:firstLineChars="200"/>
        <w:jc w:val="both"/>
        <w:rPr>
          <w:rFonts w:ascii="仿宋_GB2312" w:eastAsia="仿宋_GB2312" w:cs="Times New Roman" w:hAnsiTheme="minorEastAsia"/>
          <w:sz w:val="20"/>
          <w:lang w:eastAsia="zh-CN"/>
        </w:rPr>
      </w:pPr>
    </w:p>
    <w:p w14:paraId="534303C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1759C60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70CA6C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5EC700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53868A8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授权人(公章)：</w:t>
      </w:r>
    </w:p>
    <w:p w14:paraId="4A5080C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法定代表人(负责人或授权代表)：</w:t>
      </w:r>
    </w:p>
    <w:p w14:paraId="08B86B5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FA3064D">
      <w:pPr>
        <w:pStyle w:val="3"/>
        <w:spacing w:before="0"/>
        <w:ind w:left="0" w:right="153" w:firstLine="400" w:firstLineChars="200"/>
        <w:jc w:val="both"/>
        <w:rPr>
          <w:rFonts w:ascii="仿宋_GB2312" w:eastAsia="仿宋_GB2312" w:cs="Times New Roman" w:hAnsiTheme="minorEastAsia"/>
          <w:sz w:val="20"/>
          <w:lang w:eastAsia="zh-CN"/>
        </w:rPr>
      </w:pPr>
    </w:p>
    <w:p w14:paraId="45506C3A">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3F8CE7A6">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16C7617B">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A3DC0">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3CB3D51D">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B5E8D5E8"/>
    <w:multiLevelType w:val="singleLevel"/>
    <w:tmpl w:val="B5E8D5E8"/>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1" w:cryptProviderType="rsaFull" w:cryptAlgorithmClass="hash" w:cryptAlgorithmType="typeAny" w:cryptAlgorithmSid="4" w:cryptSpinCount="0" w:hash="jBXK21tw3z8yv1rmUi8vr9ctWP0=" w:salt="C4lFwYg7ltHVILQutS5SbA=="/>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FB529E"/>
    <w:rsid w:val="048C2F61"/>
    <w:rsid w:val="04D25032"/>
    <w:rsid w:val="058C20F2"/>
    <w:rsid w:val="05EC7342"/>
    <w:rsid w:val="06474F15"/>
    <w:rsid w:val="065562F4"/>
    <w:rsid w:val="0678266B"/>
    <w:rsid w:val="069C362A"/>
    <w:rsid w:val="070D7B88"/>
    <w:rsid w:val="075E308C"/>
    <w:rsid w:val="07626904"/>
    <w:rsid w:val="07783827"/>
    <w:rsid w:val="081F6CA6"/>
    <w:rsid w:val="095309DF"/>
    <w:rsid w:val="0983691B"/>
    <w:rsid w:val="0A27015B"/>
    <w:rsid w:val="0A2F48BB"/>
    <w:rsid w:val="0A6F34C6"/>
    <w:rsid w:val="0AA01C07"/>
    <w:rsid w:val="0AAD2A8C"/>
    <w:rsid w:val="0AE8697D"/>
    <w:rsid w:val="0B25169C"/>
    <w:rsid w:val="0B4237BD"/>
    <w:rsid w:val="0BD52987"/>
    <w:rsid w:val="0BDD2332"/>
    <w:rsid w:val="0BDE4085"/>
    <w:rsid w:val="0C3821B2"/>
    <w:rsid w:val="0C755D92"/>
    <w:rsid w:val="0CAC24CD"/>
    <w:rsid w:val="0D5A4387"/>
    <w:rsid w:val="0D921D8F"/>
    <w:rsid w:val="0E14588D"/>
    <w:rsid w:val="0E361AA7"/>
    <w:rsid w:val="0E9B0236"/>
    <w:rsid w:val="0EB53C42"/>
    <w:rsid w:val="0F21686D"/>
    <w:rsid w:val="0F382885"/>
    <w:rsid w:val="0F652A39"/>
    <w:rsid w:val="0F6932DE"/>
    <w:rsid w:val="0F810C56"/>
    <w:rsid w:val="0FF7237E"/>
    <w:rsid w:val="1027474A"/>
    <w:rsid w:val="10521CAA"/>
    <w:rsid w:val="10ED5B17"/>
    <w:rsid w:val="112453DC"/>
    <w:rsid w:val="1130271F"/>
    <w:rsid w:val="11516927"/>
    <w:rsid w:val="115840BC"/>
    <w:rsid w:val="11C03FC2"/>
    <w:rsid w:val="11C805DB"/>
    <w:rsid w:val="11FD76D7"/>
    <w:rsid w:val="12665599"/>
    <w:rsid w:val="127D4523"/>
    <w:rsid w:val="12D37A62"/>
    <w:rsid w:val="13030BA8"/>
    <w:rsid w:val="140519DE"/>
    <w:rsid w:val="14727376"/>
    <w:rsid w:val="14936D8C"/>
    <w:rsid w:val="16033618"/>
    <w:rsid w:val="163470AB"/>
    <w:rsid w:val="16547B4E"/>
    <w:rsid w:val="169909FE"/>
    <w:rsid w:val="16C974ED"/>
    <w:rsid w:val="17517DCD"/>
    <w:rsid w:val="17B32E8B"/>
    <w:rsid w:val="17BA2EE0"/>
    <w:rsid w:val="183A12C3"/>
    <w:rsid w:val="18685A70"/>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F1C58"/>
    <w:rsid w:val="1D5338BF"/>
    <w:rsid w:val="1E2B7CDF"/>
    <w:rsid w:val="1E2C1E9D"/>
    <w:rsid w:val="1E890F8D"/>
    <w:rsid w:val="21044246"/>
    <w:rsid w:val="2118294D"/>
    <w:rsid w:val="2178134C"/>
    <w:rsid w:val="2214368F"/>
    <w:rsid w:val="23A62DEA"/>
    <w:rsid w:val="24584D07"/>
    <w:rsid w:val="24BB25D0"/>
    <w:rsid w:val="24C74FF9"/>
    <w:rsid w:val="2547125A"/>
    <w:rsid w:val="2557104C"/>
    <w:rsid w:val="259E61E1"/>
    <w:rsid w:val="25A3352B"/>
    <w:rsid w:val="25A86781"/>
    <w:rsid w:val="260B223A"/>
    <w:rsid w:val="26164E6C"/>
    <w:rsid w:val="2628387F"/>
    <w:rsid w:val="26366D75"/>
    <w:rsid w:val="270A1930"/>
    <w:rsid w:val="2764491F"/>
    <w:rsid w:val="27C03949"/>
    <w:rsid w:val="28527E92"/>
    <w:rsid w:val="286838DD"/>
    <w:rsid w:val="286B0B26"/>
    <w:rsid w:val="28C0305D"/>
    <w:rsid w:val="2B601F8D"/>
    <w:rsid w:val="2B7A4827"/>
    <w:rsid w:val="2C126F50"/>
    <w:rsid w:val="2C3C60F2"/>
    <w:rsid w:val="2CB7246A"/>
    <w:rsid w:val="2D387FE3"/>
    <w:rsid w:val="2D502231"/>
    <w:rsid w:val="2D7C5BA8"/>
    <w:rsid w:val="2DD56FC0"/>
    <w:rsid w:val="2DEB1F68"/>
    <w:rsid w:val="2E0D0FA1"/>
    <w:rsid w:val="2E5449DE"/>
    <w:rsid w:val="2E8A5586"/>
    <w:rsid w:val="2EFF75CB"/>
    <w:rsid w:val="2F1B72F8"/>
    <w:rsid w:val="2F280B6B"/>
    <w:rsid w:val="2FEF2213"/>
    <w:rsid w:val="301C7218"/>
    <w:rsid w:val="303D1C39"/>
    <w:rsid w:val="313F2A54"/>
    <w:rsid w:val="314575F1"/>
    <w:rsid w:val="32410E19"/>
    <w:rsid w:val="33070EF7"/>
    <w:rsid w:val="33847311"/>
    <w:rsid w:val="33EE3714"/>
    <w:rsid w:val="340F677C"/>
    <w:rsid w:val="34445D6F"/>
    <w:rsid w:val="34783674"/>
    <w:rsid w:val="34AD34D5"/>
    <w:rsid w:val="34D0039C"/>
    <w:rsid w:val="34EF7DB4"/>
    <w:rsid w:val="350031D3"/>
    <w:rsid w:val="351D2E5D"/>
    <w:rsid w:val="35352DAD"/>
    <w:rsid w:val="35496F75"/>
    <w:rsid w:val="358D75EC"/>
    <w:rsid w:val="35915BB8"/>
    <w:rsid w:val="35F22304"/>
    <w:rsid w:val="35FE218C"/>
    <w:rsid w:val="363A721E"/>
    <w:rsid w:val="36F06FA0"/>
    <w:rsid w:val="3712093C"/>
    <w:rsid w:val="377D0B0B"/>
    <w:rsid w:val="37C847EC"/>
    <w:rsid w:val="37CE0151"/>
    <w:rsid w:val="38197870"/>
    <w:rsid w:val="3873062B"/>
    <w:rsid w:val="38862B6A"/>
    <w:rsid w:val="39533BFC"/>
    <w:rsid w:val="3996777E"/>
    <w:rsid w:val="39CB20CB"/>
    <w:rsid w:val="39D9027B"/>
    <w:rsid w:val="3A2B6A85"/>
    <w:rsid w:val="3B744B08"/>
    <w:rsid w:val="3BDD17CA"/>
    <w:rsid w:val="3BF762B4"/>
    <w:rsid w:val="3D05582A"/>
    <w:rsid w:val="3D122038"/>
    <w:rsid w:val="3D3002E5"/>
    <w:rsid w:val="3D4A6601"/>
    <w:rsid w:val="3DBD31DE"/>
    <w:rsid w:val="3DD11EBE"/>
    <w:rsid w:val="3DEDD7DD"/>
    <w:rsid w:val="3DEF4DCE"/>
    <w:rsid w:val="3DFE3A36"/>
    <w:rsid w:val="3EB75D22"/>
    <w:rsid w:val="3F0246A0"/>
    <w:rsid w:val="3F0E5FE1"/>
    <w:rsid w:val="3FBF7596"/>
    <w:rsid w:val="3FFE0EBC"/>
    <w:rsid w:val="409D6470"/>
    <w:rsid w:val="40B22414"/>
    <w:rsid w:val="41351F60"/>
    <w:rsid w:val="417C0F27"/>
    <w:rsid w:val="41F979B9"/>
    <w:rsid w:val="428E560E"/>
    <w:rsid w:val="42972AA2"/>
    <w:rsid w:val="433504EC"/>
    <w:rsid w:val="43E413DC"/>
    <w:rsid w:val="43E84AF1"/>
    <w:rsid w:val="458D1B26"/>
    <w:rsid w:val="47121447"/>
    <w:rsid w:val="482F21A7"/>
    <w:rsid w:val="4878573D"/>
    <w:rsid w:val="48D37C4F"/>
    <w:rsid w:val="48E501A3"/>
    <w:rsid w:val="48FC63B8"/>
    <w:rsid w:val="49996F4C"/>
    <w:rsid w:val="49B852D6"/>
    <w:rsid w:val="4A476D82"/>
    <w:rsid w:val="4ABC6F00"/>
    <w:rsid w:val="4AD60806"/>
    <w:rsid w:val="4B073425"/>
    <w:rsid w:val="4B476132"/>
    <w:rsid w:val="4B624068"/>
    <w:rsid w:val="4B9C7038"/>
    <w:rsid w:val="4CAE7FFA"/>
    <w:rsid w:val="4D453A21"/>
    <w:rsid w:val="4D671BE9"/>
    <w:rsid w:val="4D8A72EA"/>
    <w:rsid w:val="4DEF4B90"/>
    <w:rsid w:val="4E5C081F"/>
    <w:rsid w:val="4EC925D0"/>
    <w:rsid w:val="4F081AC8"/>
    <w:rsid w:val="4F467546"/>
    <w:rsid w:val="4FB0396D"/>
    <w:rsid w:val="500630BF"/>
    <w:rsid w:val="501860FD"/>
    <w:rsid w:val="50683A95"/>
    <w:rsid w:val="506A7B35"/>
    <w:rsid w:val="51430639"/>
    <w:rsid w:val="514C3445"/>
    <w:rsid w:val="52C64C3B"/>
    <w:rsid w:val="539D69D5"/>
    <w:rsid w:val="53DC1DE8"/>
    <w:rsid w:val="54CF7E83"/>
    <w:rsid w:val="54D304C6"/>
    <w:rsid w:val="554268D8"/>
    <w:rsid w:val="562C07C8"/>
    <w:rsid w:val="568A7FDF"/>
    <w:rsid w:val="56C85849"/>
    <w:rsid w:val="57A37CC2"/>
    <w:rsid w:val="57BB3786"/>
    <w:rsid w:val="57BC03CB"/>
    <w:rsid w:val="58151426"/>
    <w:rsid w:val="583A3C61"/>
    <w:rsid w:val="5889654C"/>
    <w:rsid w:val="58C00C49"/>
    <w:rsid w:val="590A6AD0"/>
    <w:rsid w:val="59F3385B"/>
    <w:rsid w:val="5B2403E2"/>
    <w:rsid w:val="5B727E26"/>
    <w:rsid w:val="5BA677B9"/>
    <w:rsid w:val="5BC76A3E"/>
    <w:rsid w:val="5C337435"/>
    <w:rsid w:val="5C7D6313"/>
    <w:rsid w:val="5CFA687E"/>
    <w:rsid w:val="5D10596F"/>
    <w:rsid w:val="5D7302AA"/>
    <w:rsid w:val="5D8A795A"/>
    <w:rsid w:val="5DB612BC"/>
    <w:rsid w:val="5E6C3DEB"/>
    <w:rsid w:val="5E857146"/>
    <w:rsid w:val="5E952BF9"/>
    <w:rsid w:val="5EAF02B6"/>
    <w:rsid w:val="5EFC7815"/>
    <w:rsid w:val="5F781F59"/>
    <w:rsid w:val="5FEF2907"/>
    <w:rsid w:val="602D231D"/>
    <w:rsid w:val="60CF459F"/>
    <w:rsid w:val="614D1F85"/>
    <w:rsid w:val="61595117"/>
    <w:rsid w:val="615D0238"/>
    <w:rsid w:val="61C3144A"/>
    <w:rsid w:val="625E4464"/>
    <w:rsid w:val="63BC55AE"/>
    <w:rsid w:val="63F633EF"/>
    <w:rsid w:val="643F1421"/>
    <w:rsid w:val="64A6172A"/>
    <w:rsid w:val="64A61A86"/>
    <w:rsid w:val="655C6E56"/>
    <w:rsid w:val="656E5303"/>
    <w:rsid w:val="65CA1FFA"/>
    <w:rsid w:val="65D91EA2"/>
    <w:rsid w:val="672C6D67"/>
    <w:rsid w:val="67311C51"/>
    <w:rsid w:val="674321D8"/>
    <w:rsid w:val="67EF1D97"/>
    <w:rsid w:val="68ED48E8"/>
    <w:rsid w:val="6929078C"/>
    <w:rsid w:val="693661AE"/>
    <w:rsid w:val="69684C84"/>
    <w:rsid w:val="699448A8"/>
    <w:rsid w:val="69C61397"/>
    <w:rsid w:val="69CF6268"/>
    <w:rsid w:val="6B570828"/>
    <w:rsid w:val="6BA5528F"/>
    <w:rsid w:val="6BF1329A"/>
    <w:rsid w:val="6C041222"/>
    <w:rsid w:val="6CE56ECE"/>
    <w:rsid w:val="6D082649"/>
    <w:rsid w:val="6DB55965"/>
    <w:rsid w:val="6E2C2E1F"/>
    <w:rsid w:val="6EFB7F51"/>
    <w:rsid w:val="6F2149DA"/>
    <w:rsid w:val="6F8A4E24"/>
    <w:rsid w:val="700E08F9"/>
    <w:rsid w:val="70621D76"/>
    <w:rsid w:val="70723FBF"/>
    <w:rsid w:val="7084445F"/>
    <w:rsid w:val="71093EEC"/>
    <w:rsid w:val="71B86000"/>
    <w:rsid w:val="71C26DEB"/>
    <w:rsid w:val="71E753E4"/>
    <w:rsid w:val="71ED6243"/>
    <w:rsid w:val="72014C7C"/>
    <w:rsid w:val="72360666"/>
    <w:rsid w:val="72D25003"/>
    <w:rsid w:val="73BB5314"/>
    <w:rsid w:val="741A1322"/>
    <w:rsid w:val="741C43D9"/>
    <w:rsid w:val="749860E2"/>
    <w:rsid w:val="74E646A2"/>
    <w:rsid w:val="75AA1FAA"/>
    <w:rsid w:val="75AA6A93"/>
    <w:rsid w:val="75F44015"/>
    <w:rsid w:val="76D91AA8"/>
    <w:rsid w:val="775BB6CD"/>
    <w:rsid w:val="77E361CA"/>
    <w:rsid w:val="78337774"/>
    <w:rsid w:val="78B17E23"/>
    <w:rsid w:val="79A87030"/>
    <w:rsid w:val="7AAC46A7"/>
    <w:rsid w:val="7AF842C4"/>
    <w:rsid w:val="7BD64526"/>
    <w:rsid w:val="7C677389"/>
    <w:rsid w:val="7CB4165F"/>
    <w:rsid w:val="7D562463"/>
    <w:rsid w:val="7D6D109D"/>
    <w:rsid w:val="7D852E89"/>
    <w:rsid w:val="7DD6734A"/>
    <w:rsid w:val="7EEB3A87"/>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1</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T</cp:lastModifiedBy>
  <cp:lastPrinted>2025-02-25T02:04:00Z</cp:lastPrinted>
  <dcterms:modified xsi:type="dcterms:W3CDTF">2025-07-24T00:48:42Z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ABEE6152AC6B456AB3EE3D42B7B5432F_13</vt:lpwstr>
  </property>
  <property fmtid="{D5CDD505-2E9C-101B-9397-08002B2CF9AE}" pid="7" name="KSOTemplateDocerSaveRecord">
    <vt:lpwstr>eyJoZGlkIjoiNjdlZWFlN2VlNmE5NTI5Njg2MDg5YTlmMTljYjM5YjgiLCJ1c2VySWQiOiIzNjczNjc1MDgifQ==</vt:lpwstr>
  </property>
</Properties>
</file>