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b/>
          <w:bCs/>
          <w:sz w:val="28"/>
          <w:szCs w:val="28"/>
          <w:highlight w:val="none"/>
          <w:lang w:eastAsia="zh-CN"/>
        </w:rPr>
      </w:pPr>
      <w:r>
        <w:rPr>
          <w:rFonts w:hint="eastAsia" w:ascii="微软雅黑" w:hAnsi="微软雅黑" w:eastAsia="微软雅黑"/>
          <w:b/>
          <w:bCs/>
          <w:sz w:val="28"/>
          <w:szCs w:val="28"/>
          <w:highlight w:val="none"/>
          <w:lang w:eastAsia="zh-CN"/>
        </w:rPr>
        <w:t>贵州瓮安农村商业银行股份有限公司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b/>
          <w:bCs/>
          <w:sz w:val="28"/>
          <w:szCs w:val="28"/>
          <w:highlight w:val="none"/>
          <w:lang w:eastAsia="zh-CN"/>
        </w:rPr>
      </w:pPr>
      <w:r>
        <w:rPr>
          <w:rFonts w:ascii="微软雅黑" w:hAnsi="微软雅黑" w:eastAsia="微软雅黑"/>
          <w:b/>
          <w:bCs/>
          <w:sz w:val="28"/>
          <w:szCs w:val="28"/>
          <w:highlight w:val="none"/>
        </w:rPr>
        <w:t>一般关联交易信息披露</w:t>
      </w:r>
      <w:r>
        <w:rPr>
          <w:rFonts w:hint="eastAsia" w:ascii="微软雅黑" w:hAnsi="微软雅黑" w:eastAsia="微软雅黑"/>
          <w:b/>
          <w:bCs/>
          <w:sz w:val="28"/>
          <w:szCs w:val="28"/>
          <w:highlight w:val="none"/>
          <w:lang w:eastAsia="zh-CN"/>
        </w:rPr>
        <w:t>报告</w:t>
      </w:r>
    </w:p>
    <w:p>
      <w:pPr>
        <w:jc w:val="left"/>
        <w:rPr>
          <w:rFonts w:hint="eastAsia" w:ascii="微软雅黑" w:hAnsi="微软雅黑" w:eastAsia="微软雅黑"/>
          <w:b/>
          <w:bCs/>
          <w:sz w:val="24"/>
          <w:szCs w:val="24"/>
          <w:highlight w:val="none"/>
          <w:lang w:eastAsia="zh-CN"/>
        </w:rPr>
      </w:pPr>
      <w:r>
        <w:rPr>
          <w:rFonts w:hint="eastAsia" w:ascii="微软雅黑" w:hAnsi="微软雅黑" w:eastAsia="微软雅黑"/>
          <w:b/>
          <w:bCs/>
          <w:sz w:val="24"/>
          <w:szCs w:val="24"/>
          <w:highlight w:val="none"/>
          <w:lang w:val="en-US" w:eastAsia="zh-CN"/>
        </w:rPr>
        <w:t xml:space="preserve">                                                 </w:t>
      </w:r>
      <w:r>
        <w:rPr>
          <w:rFonts w:ascii="微软雅黑" w:hAnsi="微软雅黑" w:eastAsia="微软雅黑"/>
          <w:b/>
          <w:bCs/>
          <w:sz w:val="24"/>
          <w:szCs w:val="24"/>
          <w:highlight w:val="none"/>
        </w:rPr>
        <w:t>（</w:t>
      </w:r>
      <w:r>
        <w:rPr>
          <w:rFonts w:hint="eastAsia" w:ascii="微软雅黑" w:hAnsi="微软雅黑" w:eastAsia="微软雅黑"/>
          <w:b/>
          <w:bCs/>
          <w:sz w:val="24"/>
          <w:szCs w:val="24"/>
          <w:highlight w:val="none"/>
          <w:lang w:val="en-US" w:eastAsia="zh-CN"/>
        </w:rPr>
        <w:t>2026</w:t>
      </w:r>
      <w:r>
        <w:rPr>
          <w:rFonts w:ascii="微软雅黑" w:hAnsi="微软雅黑" w:eastAsia="微软雅黑"/>
          <w:b/>
          <w:bCs/>
          <w:sz w:val="24"/>
          <w:szCs w:val="24"/>
          <w:highlight w:val="none"/>
        </w:rPr>
        <w:t>年第</w:t>
      </w:r>
      <w:r>
        <w:rPr>
          <w:rFonts w:hint="eastAsia" w:ascii="微软雅黑" w:hAnsi="微软雅黑" w:eastAsia="微软雅黑"/>
          <w:b/>
          <w:bCs/>
          <w:sz w:val="24"/>
          <w:szCs w:val="24"/>
          <w:highlight w:val="none"/>
          <w:lang w:val="en-US" w:eastAsia="zh-CN"/>
        </w:rPr>
        <w:t>1</w:t>
      </w:r>
      <w:r>
        <w:rPr>
          <w:rFonts w:ascii="微软雅黑" w:hAnsi="微软雅黑" w:eastAsia="微软雅黑"/>
          <w:b/>
          <w:bCs/>
          <w:sz w:val="24"/>
          <w:szCs w:val="24"/>
          <w:highlight w:val="none"/>
        </w:rPr>
        <w:t>季度</w:t>
      </w:r>
      <w:r>
        <w:rPr>
          <w:rFonts w:hint="eastAsia" w:ascii="微软雅黑" w:hAnsi="微软雅黑" w:eastAsia="微软雅黑"/>
          <w:b/>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720" w:firstLineChars="300"/>
        <w:jc w:val="both"/>
        <w:textAlignment w:val="auto"/>
        <w:rPr>
          <w:rFonts w:ascii="微软雅黑" w:hAnsi="微软雅黑" w:eastAsia="微软雅黑"/>
          <w:sz w:val="24"/>
          <w:szCs w:val="24"/>
          <w:highlight w:val="none"/>
        </w:rPr>
      </w:pPr>
      <w:r>
        <w:rPr>
          <w:rFonts w:ascii="微软雅黑" w:hAnsi="微软雅黑" w:eastAsia="微软雅黑"/>
          <w:sz w:val="24"/>
          <w:szCs w:val="24"/>
          <w:highlight w:val="none"/>
        </w:rPr>
        <w:t>根据《银行保险机构关联交易管理办法》规定，</w:t>
      </w:r>
      <w:r>
        <w:rPr>
          <w:rFonts w:hint="eastAsia" w:ascii="微软雅黑" w:hAnsi="微软雅黑" w:eastAsia="微软雅黑"/>
          <w:sz w:val="24"/>
          <w:szCs w:val="24"/>
          <w:highlight w:val="none"/>
          <w:lang w:eastAsia="zh-CN"/>
        </w:rPr>
        <w:t>贵州瓮安农村商业银行股份有限公司</w:t>
      </w:r>
      <w:r>
        <w:rPr>
          <w:rFonts w:ascii="微软雅黑" w:hAnsi="微软雅黑" w:eastAsia="微软雅黑"/>
          <w:sz w:val="24"/>
          <w:szCs w:val="24"/>
          <w:highlight w:val="none"/>
        </w:rPr>
        <w:t>与关联方的交易遵守法律法规和有关监管规定，遵循诚信、公允的原则。现将</w:t>
      </w:r>
      <w:r>
        <w:rPr>
          <w:rFonts w:hint="eastAsia" w:ascii="微软雅黑" w:hAnsi="微软雅黑" w:eastAsia="微软雅黑"/>
          <w:sz w:val="24"/>
          <w:szCs w:val="24"/>
          <w:highlight w:val="none"/>
          <w:lang w:val="en-US" w:eastAsia="zh-CN"/>
        </w:rPr>
        <w:t>2026</w:t>
      </w:r>
      <w:r>
        <w:rPr>
          <w:rFonts w:ascii="微软雅黑" w:hAnsi="微软雅黑" w:eastAsia="微软雅黑"/>
          <w:sz w:val="24"/>
          <w:szCs w:val="24"/>
          <w:highlight w:val="none"/>
        </w:rPr>
        <w:t xml:space="preserve"> 年第</w:t>
      </w:r>
      <w:r>
        <w:rPr>
          <w:rFonts w:hint="eastAsia" w:ascii="微软雅黑" w:hAnsi="微软雅黑" w:eastAsia="微软雅黑"/>
          <w:sz w:val="24"/>
          <w:szCs w:val="24"/>
          <w:highlight w:val="none"/>
          <w:lang w:val="en-US" w:eastAsia="zh-CN"/>
        </w:rPr>
        <w:t>1</w:t>
      </w:r>
      <w:r>
        <w:rPr>
          <w:rFonts w:ascii="微软雅黑" w:hAnsi="微软雅黑" w:eastAsia="微软雅黑"/>
          <w:sz w:val="24"/>
          <w:szCs w:val="24"/>
          <w:highlight w:val="none"/>
        </w:rPr>
        <w:t xml:space="preserve">季度一般关联交易披露如下： </w:t>
      </w:r>
    </w:p>
    <w:p>
      <w:pPr>
        <w:jc w:val="center"/>
        <w:rPr>
          <w:rFonts w:ascii="微软雅黑" w:hAnsi="微软雅黑" w:eastAsia="微软雅黑" w:cs="宋体"/>
          <w:sz w:val="24"/>
          <w:szCs w:val="24"/>
          <w:highlight w:val="none"/>
        </w:rPr>
      </w:pPr>
      <w:r>
        <w:rPr>
          <w:rFonts w:hint="eastAsia" w:ascii="微软雅黑" w:hAnsi="微软雅黑" w:eastAsia="微软雅黑"/>
          <w:sz w:val="24"/>
          <w:szCs w:val="24"/>
          <w:highlight w:val="none"/>
          <w:lang w:val="en-US" w:eastAsia="zh-CN"/>
        </w:rPr>
        <w:t xml:space="preserve">                                           </w:t>
      </w:r>
      <w:r>
        <w:rPr>
          <w:rFonts w:ascii="微软雅黑" w:hAnsi="微软雅黑" w:eastAsia="微软雅黑"/>
          <w:sz w:val="24"/>
          <w:szCs w:val="24"/>
          <w:highlight w:val="none"/>
        </w:rPr>
        <w:t xml:space="preserve">单位：人民币 </w:t>
      </w:r>
      <w:r>
        <w:rPr>
          <w:rFonts w:hint="eastAsia" w:ascii="微软雅黑" w:hAnsi="微软雅黑" w:eastAsia="微软雅黑"/>
          <w:sz w:val="24"/>
          <w:szCs w:val="24"/>
          <w:highlight w:val="none"/>
          <w:lang w:val="en-US" w:eastAsia="zh-CN"/>
        </w:rPr>
        <w:t xml:space="preserve"> </w:t>
      </w:r>
      <w:r>
        <w:rPr>
          <w:rFonts w:ascii="微软雅黑" w:hAnsi="微软雅黑" w:eastAsia="微软雅黑"/>
          <w:sz w:val="24"/>
          <w:szCs w:val="24"/>
          <w:highlight w:val="none"/>
        </w:rPr>
        <w:t>万</w:t>
      </w:r>
      <w:r>
        <w:rPr>
          <w:rFonts w:hint="eastAsia" w:ascii="微软雅黑" w:hAnsi="微软雅黑" w:eastAsia="微软雅黑" w:cs="宋体"/>
          <w:sz w:val="24"/>
          <w:szCs w:val="24"/>
          <w:highlight w:val="none"/>
        </w:rPr>
        <w:t>元</w:t>
      </w:r>
    </w:p>
    <w:tbl>
      <w:tblPr>
        <w:tblStyle w:val="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962" w:type="dxa"/>
            <w:vAlign w:val="center"/>
          </w:tcPr>
          <w:p>
            <w:pPr>
              <w:spacing w:after="0" w:line="240" w:lineRule="auto"/>
              <w:jc w:val="center"/>
              <w:rPr>
                <w:rFonts w:ascii="微软雅黑" w:hAnsi="微软雅黑" w:eastAsia="微软雅黑"/>
                <w:highlight w:val="none"/>
              </w:rPr>
            </w:pPr>
            <w:r>
              <w:rPr>
                <w:rFonts w:ascii="微软雅黑" w:hAnsi="微软雅黑" w:eastAsia="微软雅黑"/>
                <w:highlight w:val="none"/>
              </w:rPr>
              <w:t>关联交易类型</w:t>
            </w:r>
          </w:p>
        </w:tc>
        <w:tc>
          <w:tcPr>
            <w:tcW w:w="3402" w:type="dxa"/>
            <w:vAlign w:val="center"/>
          </w:tcPr>
          <w:p>
            <w:pPr>
              <w:spacing w:after="0" w:line="240" w:lineRule="auto"/>
              <w:jc w:val="center"/>
              <w:rPr>
                <w:rFonts w:ascii="微软雅黑" w:hAnsi="微软雅黑" w:eastAsia="微软雅黑"/>
                <w:highlight w:val="none"/>
              </w:rPr>
            </w:pPr>
            <w:r>
              <w:rPr>
                <w:rFonts w:ascii="微软雅黑" w:hAnsi="微软雅黑" w:eastAsia="微软雅黑"/>
                <w:highlight w:val="none"/>
              </w:rPr>
              <w:t>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pPr>
              <w:spacing w:after="0" w:line="240" w:lineRule="auto"/>
              <w:rPr>
                <w:rFonts w:ascii="微软雅黑" w:hAnsi="微软雅黑" w:eastAsia="微软雅黑"/>
                <w:highlight w:val="none"/>
              </w:rPr>
            </w:pPr>
            <w:r>
              <w:rPr>
                <w:rFonts w:hint="eastAsia" w:ascii="微软雅黑" w:hAnsi="微软雅黑" w:eastAsia="微软雅黑"/>
                <w:highlight w:val="none"/>
              </w:rPr>
              <w:t>授信类关联交易</w:t>
            </w:r>
          </w:p>
        </w:tc>
        <w:tc>
          <w:tcPr>
            <w:tcW w:w="3402" w:type="dxa"/>
            <w:vAlign w:val="center"/>
          </w:tcPr>
          <w:p>
            <w:pPr>
              <w:spacing w:after="0" w:line="240" w:lineRule="auto"/>
              <w:jc w:val="cente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11993.00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962" w:type="dxa"/>
            <w:vAlign w:val="center"/>
          </w:tcPr>
          <w:p>
            <w:pPr>
              <w:spacing w:after="0" w:line="240" w:lineRule="auto"/>
              <w:rPr>
                <w:rFonts w:ascii="微软雅黑" w:hAnsi="微软雅黑" w:eastAsia="微软雅黑"/>
                <w:highlight w:val="none"/>
              </w:rPr>
            </w:pPr>
            <w:r>
              <w:rPr>
                <w:rFonts w:hint="eastAsia" w:ascii="微软雅黑" w:hAnsi="微软雅黑" w:eastAsia="微软雅黑"/>
                <w:highlight w:val="none"/>
              </w:rPr>
              <w:t>资产转移类关联交易</w:t>
            </w:r>
          </w:p>
        </w:tc>
        <w:tc>
          <w:tcPr>
            <w:tcW w:w="3402" w:type="dxa"/>
            <w:vAlign w:val="center"/>
          </w:tcPr>
          <w:p>
            <w:pPr>
              <w:spacing w:after="0" w:line="240" w:lineRule="auto"/>
              <w:jc w:val="cente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pPr>
              <w:spacing w:after="0" w:line="240" w:lineRule="auto"/>
              <w:rPr>
                <w:rFonts w:ascii="微软雅黑" w:hAnsi="微软雅黑" w:eastAsia="微软雅黑"/>
                <w:highlight w:val="none"/>
              </w:rPr>
            </w:pPr>
            <w:r>
              <w:rPr>
                <w:rFonts w:hint="eastAsia" w:ascii="微软雅黑" w:hAnsi="微软雅黑" w:eastAsia="微软雅黑"/>
                <w:highlight w:val="none"/>
              </w:rPr>
              <w:t>服务类关联交易</w:t>
            </w:r>
          </w:p>
        </w:tc>
        <w:tc>
          <w:tcPr>
            <w:tcW w:w="3402" w:type="dxa"/>
            <w:vAlign w:val="center"/>
          </w:tcPr>
          <w:p>
            <w:pPr>
              <w:spacing w:after="0" w:line="240" w:lineRule="auto"/>
              <w:jc w:val="cente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pPr>
              <w:spacing w:after="0" w:line="240" w:lineRule="auto"/>
              <w:rPr>
                <w:rFonts w:ascii="微软雅黑" w:hAnsi="微软雅黑" w:eastAsia="微软雅黑"/>
                <w:highlight w:val="none"/>
              </w:rPr>
            </w:pPr>
            <w:r>
              <w:rPr>
                <w:rFonts w:hint="eastAsia" w:ascii="微软雅黑" w:hAnsi="微软雅黑" w:eastAsia="微软雅黑"/>
                <w:highlight w:val="none"/>
              </w:rPr>
              <w:t>存款和其他类型关联交易</w:t>
            </w:r>
          </w:p>
        </w:tc>
        <w:tc>
          <w:tcPr>
            <w:tcW w:w="3402" w:type="dxa"/>
            <w:vAlign w:val="center"/>
          </w:tcPr>
          <w:p>
            <w:pPr>
              <w:spacing w:after="0" w:line="240" w:lineRule="auto"/>
              <w:jc w:val="cente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417.17</w:t>
            </w:r>
          </w:p>
        </w:tc>
      </w:tr>
    </w:tbl>
    <w:p>
      <w:pPr>
        <w:ind w:firstLine="480"/>
        <w:rPr>
          <w:rFonts w:hint="eastAsia" w:ascii="微软雅黑" w:hAnsi="微软雅黑" w:eastAsia="微软雅黑"/>
          <w:sz w:val="24"/>
          <w:szCs w:val="24"/>
          <w:highlight w:val="none"/>
          <w:lang w:val="en-US" w:eastAsia="zh-CN"/>
        </w:rPr>
      </w:pPr>
      <w:r>
        <w:rPr>
          <w:rFonts w:hint="eastAsia" w:ascii="微软雅黑" w:hAnsi="微软雅黑" w:eastAsia="微软雅黑"/>
          <w:sz w:val="24"/>
          <w:szCs w:val="24"/>
          <w:highlight w:val="none"/>
        </w:rPr>
        <w:t>备注： 协议存款、协定存款、定期存款业务原则上以签订协议时的存入本金及利息计算关联交易金额。授信类关联交易的金额数据为当季发生额。资产转移类、服务类、其他的关联交易金额为交易发生额。</w:t>
      </w:r>
      <w:r>
        <w:rPr>
          <w:rFonts w:ascii="微软雅黑" w:hAnsi="微软雅黑" w:eastAsia="微软雅黑"/>
          <w:sz w:val="24"/>
          <w:szCs w:val="24"/>
          <w:highlight w:val="none"/>
        </w:rPr>
        <w:cr/>
      </w:r>
      <w:r>
        <w:rPr>
          <w:rFonts w:hint="eastAsia" w:ascii="微软雅黑" w:hAnsi="微软雅黑" w:eastAsia="微软雅黑"/>
          <w:sz w:val="24"/>
          <w:szCs w:val="24"/>
          <w:highlight w:val="none"/>
          <w:lang w:val="en-US" w:eastAsia="zh-CN"/>
        </w:rPr>
        <w:t xml:space="preserve">    </w:t>
      </w:r>
    </w:p>
    <w:p>
      <w:pPr>
        <w:ind w:firstLine="480"/>
        <w:rPr>
          <w:rFonts w:ascii="微软雅黑" w:hAnsi="微软雅黑" w:eastAsia="微软雅黑" w:cs="Times New Roman"/>
          <w:sz w:val="24"/>
          <w:szCs w:val="24"/>
          <w:highlight w:val="none"/>
        </w:rPr>
      </w:pPr>
      <w:r>
        <w:rPr>
          <w:rFonts w:hint="eastAsia" w:ascii="微软雅黑" w:hAnsi="微软雅黑" w:eastAsia="微软雅黑"/>
          <w:sz w:val="24"/>
          <w:szCs w:val="24"/>
          <w:highlight w:val="none"/>
          <w:lang w:val="en-US" w:eastAsia="zh-CN"/>
        </w:rPr>
        <w:t xml:space="preserve"> </w:t>
      </w:r>
      <w:r>
        <w:rPr>
          <w:rFonts w:hint="eastAsia" w:ascii="微软雅黑" w:hAnsi="微软雅黑" w:eastAsia="微软雅黑" w:cs="Times New Roman"/>
          <w:sz w:val="24"/>
          <w:szCs w:val="24"/>
          <w:highlight w:val="none"/>
        </w:rPr>
        <w:t>特此公告。</w:t>
      </w:r>
    </w:p>
    <w:p>
      <w:pPr>
        <w:shd w:val="clear" w:color="auto" w:fill="FFFFFF"/>
        <w:spacing w:after="0" w:line="540" w:lineRule="atLeast"/>
        <w:ind w:firstLine="5320"/>
        <w:jc w:val="right"/>
        <w:rPr>
          <w:rFonts w:hint="eastAsia" w:ascii="微软雅黑" w:hAnsi="微软雅黑" w:eastAsia="微软雅黑"/>
          <w:sz w:val="24"/>
          <w:szCs w:val="24"/>
          <w:highlight w:val="none"/>
          <w:lang w:eastAsia="zh-CN"/>
        </w:rPr>
      </w:pPr>
    </w:p>
    <w:p>
      <w:pPr>
        <w:shd w:val="clear" w:color="auto" w:fill="FFFFFF"/>
        <w:spacing w:after="0" w:line="540" w:lineRule="atLeast"/>
        <w:ind w:firstLine="560"/>
        <w:jc w:val="right"/>
        <w:rPr>
          <w:rFonts w:hint="eastAsia" w:ascii="宋体" w:hAnsi="宋体" w:eastAsia="宋体" w:cs="Times New Roman"/>
          <w:sz w:val="24"/>
          <w:szCs w:val="24"/>
          <w:highlight w:val="none"/>
        </w:rPr>
      </w:pPr>
      <w:r>
        <w:rPr>
          <w:rFonts w:hint="eastAsia" w:ascii="微软雅黑" w:hAnsi="微软雅黑" w:eastAsia="微软雅黑"/>
          <w:sz w:val="24"/>
          <w:szCs w:val="24"/>
          <w:highlight w:val="none"/>
          <w:lang w:val="en-US" w:eastAsia="zh-CN"/>
        </w:rPr>
        <w:t xml:space="preserve">                    </w:t>
      </w:r>
      <w:r>
        <w:rPr>
          <w:rFonts w:hint="eastAsia" w:ascii="微软雅黑" w:hAnsi="微软雅黑" w:eastAsia="微软雅黑"/>
          <w:sz w:val="24"/>
          <w:szCs w:val="24"/>
          <w:highlight w:val="none"/>
          <w:lang w:eastAsia="zh-CN"/>
        </w:rPr>
        <w:t>贵州瓮安农村商业银行股份有限公司</w:t>
      </w:r>
      <w:r>
        <w:rPr>
          <w:rFonts w:hint="eastAsia" w:ascii="宋体" w:hAnsi="宋体" w:eastAsia="宋体" w:cs="Times New Roman"/>
          <w:sz w:val="24"/>
          <w:szCs w:val="24"/>
          <w:highlight w:val="none"/>
        </w:rPr>
        <w:t> </w:t>
      </w:r>
    </w:p>
    <w:p>
      <w:pPr>
        <w:ind w:firstLine="5040" w:firstLineChars="2100"/>
        <w:rPr>
          <w:highlight w:val="none"/>
        </w:rPr>
      </w:pPr>
      <w:r>
        <w:rPr>
          <w:rFonts w:hint="eastAsia" w:ascii="微软雅黑" w:hAnsi="微软雅黑" w:eastAsia="微软雅黑" w:cs="Times New Roman"/>
          <w:sz w:val="24"/>
          <w:szCs w:val="24"/>
          <w:highlight w:val="none"/>
          <w:lang w:val="en-US" w:eastAsia="zh-CN"/>
        </w:rPr>
        <w:t>2026</w:t>
      </w:r>
      <w:r>
        <w:rPr>
          <w:rFonts w:hint="eastAsia" w:ascii="微软雅黑" w:hAnsi="微软雅黑" w:eastAsia="微软雅黑" w:cs="Times New Roman"/>
          <w:sz w:val="24"/>
          <w:szCs w:val="24"/>
          <w:highlight w:val="none"/>
        </w:rPr>
        <w:t>年</w:t>
      </w:r>
      <w:r>
        <w:rPr>
          <w:rFonts w:hint="eastAsia" w:ascii="微软雅黑" w:hAnsi="微软雅黑" w:eastAsia="微软雅黑" w:cs="Times New Roman"/>
          <w:sz w:val="24"/>
          <w:szCs w:val="24"/>
          <w:highlight w:val="none"/>
          <w:lang w:val="en-US" w:eastAsia="zh-CN"/>
        </w:rPr>
        <w:t>4</w:t>
      </w:r>
      <w:r>
        <w:rPr>
          <w:rFonts w:hint="eastAsia" w:ascii="微软雅黑" w:hAnsi="微软雅黑" w:eastAsia="微软雅黑" w:cs="Times New Roman"/>
          <w:sz w:val="24"/>
          <w:szCs w:val="24"/>
          <w:highlight w:val="none"/>
        </w:rPr>
        <w:t>月</w:t>
      </w:r>
      <w:r>
        <w:rPr>
          <w:rFonts w:hint="eastAsia" w:ascii="微软雅黑" w:hAnsi="微软雅黑" w:eastAsia="微软雅黑" w:cs="Times New Roman"/>
          <w:sz w:val="24"/>
          <w:szCs w:val="24"/>
          <w:highlight w:val="none"/>
          <w:lang w:val="en-US" w:eastAsia="zh-CN"/>
        </w:rPr>
        <w:t>30</w:t>
      </w:r>
      <w:bookmarkStart w:id="0" w:name="_GoBack"/>
      <w:bookmarkEnd w:id="0"/>
      <w:r>
        <w:rPr>
          <w:rFonts w:hint="eastAsia" w:ascii="微软雅黑" w:hAnsi="微软雅黑" w:eastAsia="微软雅黑" w:cs="Times New Roman"/>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184A"/>
    <w:rsid w:val="12B56DC6"/>
    <w:rsid w:val="15C57A25"/>
    <w:rsid w:val="18BE60D7"/>
    <w:rsid w:val="18C323F8"/>
    <w:rsid w:val="18F71595"/>
    <w:rsid w:val="228D3037"/>
    <w:rsid w:val="25F13F66"/>
    <w:rsid w:val="2BEB1A2A"/>
    <w:rsid w:val="3213102A"/>
    <w:rsid w:val="39CC349D"/>
    <w:rsid w:val="44645661"/>
    <w:rsid w:val="58420DF1"/>
    <w:rsid w:val="5BEB5BC3"/>
    <w:rsid w:val="5DA34F88"/>
    <w:rsid w:val="5ECF66F3"/>
    <w:rsid w:val="6987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2025-01-23T02:42:00Z</dcterms:created>
  <dc:creator>Administrator</dc:creator>
  <cp:lastModifiedBy>135139-霍隆屏</cp:lastModifiedBy>
  <cp:lastPrinted>2025-04-25T01:00:00Z</cp:lastPrinted>
  <dcterms:modified xsi:type="dcterms:W3CDTF">2026-04-30T03:48:47Z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