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C4B03" w14:textId="77777777" w:rsidR="00D35D58" w:rsidRPr="00CF7529" w:rsidRDefault="002F4154" w:rsidP="00CF7529">
      <w:pPr>
        <w:spacing w:line="560" w:lineRule="exact"/>
        <w:jc w:val="center"/>
        <w:rPr>
          <w:rFonts w:ascii="方正小标宋简体" w:eastAsia="方正小标宋简体" w:hint="eastAsia"/>
          <w:bCs/>
          <w:sz w:val="44"/>
          <w:szCs w:val="44"/>
        </w:rPr>
      </w:pPr>
      <w:r w:rsidRPr="00CF7529">
        <w:rPr>
          <w:rFonts w:ascii="方正小标宋简体" w:eastAsia="方正小标宋简体" w:hint="eastAsia"/>
          <w:bCs/>
          <w:sz w:val="44"/>
          <w:szCs w:val="44"/>
        </w:rPr>
        <w:t>贵州桐梓农村商业银行股份有限公司关于</w:t>
      </w:r>
      <w:r w:rsidRPr="00CF7529">
        <w:rPr>
          <w:rFonts w:ascii="方正小标宋简体" w:eastAsia="方正小标宋简体" w:hint="eastAsia"/>
          <w:bCs/>
          <w:sz w:val="44"/>
          <w:szCs w:val="44"/>
        </w:rPr>
        <w:t>2026</w:t>
      </w:r>
      <w:r w:rsidRPr="00CF7529">
        <w:rPr>
          <w:rFonts w:ascii="方正小标宋简体" w:eastAsia="方正小标宋简体" w:hint="eastAsia"/>
          <w:bCs/>
          <w:sz w:val="44"/>
          <w:szCs w:val="44"/>
        </w:rPr>
        <w:t>年</w:t>
      </w:r>
      <w:r w:rsidRPr="00CF7529">
        <w:rPr>
          <w:rFonts w:ascii="方正小标宋简体" w:eastAsia="方正小标宋简体" w:hint="eastAsia"/>
          <w:bCs/>
          <w:sz w:val="44"/>
          <w:szCs w:val="44"/>
        </w:rPr>
        <w:t>第</w:t>
      </w:r>
      <w:r w:rsidRPr="00CF7529">
        <w:rPr>
          <w:rFonts w:ascii="方正小标宋简体" w:eastAsia="方正小标宋简体" w:hint="eastAsia"/>
          <w:bCs/>
          <w:sz w:val="44"/>
          <w:szCs w:val="44"/>
        </w:rPr>
        <w:t>一</w:t>
      </w:r>
      <w:r w:rsidRPr="00CF7529">
        <w:rPr>
          <w:rFonts w:ascii="方正小标宋简体" w:eastAsia="方正小标宋简体" w:hint="eastAsia"/>
          <w:bCs/>
          <w:sz w:val="44"/>
          <w:szCs w:val="44"/>
        </w:rPr>
        <w:t>季度</w:t>
      </w:r>
      <w:r w:rsidRPr="00CF7529">
        <w:rPr>
          <w:rFonts w:ascii="方正小标宋简体" w:eastAsia="方正小标宋简体" w:hint="eastAsia"/>
          <w:bCs/>
          <w:sz w:val="44"/>
          <w:szCs w:val="44"/>
        </w:rPr>
        <w:t>关联交易情况</w:t>
      </w:r>
      <w:r w:rsidRPr="00CF7529">
        <w:rPr>
          <w:rFonts w:ascii="方正小标宋简体" w:eastAsia="方正小标宋简体" w:hint="eastAsia"/>
          <w:bCs/>
          <w:sz w:val="44"/>
          <w:szCs w:val="44"/>
        </w:rPr>
        <w:t>信息</w:t>
      </w:r>
    </w:p>
    <w:p w14:paraId="5C2698AA" w14:textId="77777777" w:rsidR="00D35D58" w:rsidRPr="00CF7529" w:rsidRDefault="002F4154" w:rsidP="00CF7529">
      <w:pPr>
        <w:spacing w:line="560" w:lineRule="exact"/>
        <w:jc w:val="center"/>
        <w:rPr>
          <w:rFonts w:ascii="方正小标宋简体" w:eastAsia="方正小标宋简体" w:hint="eastAsia"/>
          <w:bCs/>
          <w:sz w:val="44"/>
          <w:szCs w:val="44"/>
        </w:rPr>
      </w:pPr>
      <w:r w:rsidRPr="00CF7529">
        <w:rPr>
          <w:rFonts w:ascii="方正小标宋简体" w:eastAsia="方正小标宋简体" w:hint="eastAsia"/>
          <w:bCs/>
          <w:sz w:val="44"/>
          <w:szCs w:val="44"/>
        </w:rPr>
        <w:t>披露</w:t>
      </w:r>
      <w:r w:rsidRPr="00CF7529">
        <w:rPr>
          <w:rFonts w:ascii="方正小标宋简体" w:eastAsia="方正小标宋简体" w:hint="eastAsia"/>
          <w:bCs/>
          <w:sz w:val="44"/>
          <w:szCs w:val="44"/>
        </w:rPr>
        <w:t>报告</w:t>
      </w:r>
    </w:p>
    <w:p w14:paraId="4FBBA539" w14:textId="77777777" w:rsidR="00D35D58" w:rsidRPr="00CF7529" w:rsidRDefault="00D35D58" w:rsidP="00CF7529">
      <w:pPr>
        <w:spacing w:line="560" w:lineRule="exact"/>
        <w:rPr>
          <w:rFonts w:ascii="仿宋_GB2312" w:hint="eastAsia"/>
          <w:bCs/>
          <w:szCs w:val="32"/>
        </w:rPr>
      </w:pPr>
    </w:p>
    <w:p w14:paraId="6CBE5206" w14:textId="77777777" w:rsidR="00D35D58" w:rsidRPr="00CF7529" w:rsidRDefault="002F4154" w:rsidP="00CF7529">
      <w:pPr>
        <w:spacing w:line="560" w:lineRule="exact"/>
        <w:ind w:firstLineChars="200" w:firstLine="640"/>
        <w:rPr>
          <w:bCs/>
          <w:szCs w:val="32"/>
        </w:rPr>
      </w:pPr>
      <w:r w:rsidRPr="00CF7529">
        <w:rPr>
          <w:bCs/>
          <w:szCs w:val="32"/>
        </w:rPr>
        <w:t>根据《中华人民共和国银行业监督管理法》《中华人民共和国商业银行法》《银行保险机构关联交易管理办法》等国家金融监管法律法规，以及本行《公司章程》《关联交易管理办法》等内部管理制度，全面、真实、准确反映报告期内本行关联交易管理及发生情况。</w:t>
      </w:r>
    </w:p>
    <w:p w14:paraId="5C5D939C" w14:textId="77777777" w:rsidR="00D35D58" w:rsidRPr="00CF7529" w:rsidRDefault="002F4154" w:rsidP="00CF7529">
      <w:pPr>
        <w:spacing w:line="560" w:lineRule="exact"/>
        <w:ind w:firstLineChars="200" w:firstLine="640"/>
        <w:rPr>
          <w:rFonts w:ascii="黑体" w:eastAsia="黑体" w:hAnsi="黑体"/>
          <w:bCs/>
          <w:szCs w:val="32"/>
        </w:rPr>
      </w:pPr>
      <w:r w:rsidRPr="00CF7529">
        <w:rPr>
          <w:rFonts w:ascii="黑体" w:eastAsia="黑体" w:hAnsi="黑体"/>
          <w:bCs/>
          <w:szCs w:val="32"/>
        </w:rPr>
        <w:t>一、关联方认定与管理</w:t>
      </w:r>
    </w:p>
    <w:p w14:paraId="0CF4A303" w14:textId="77777777" w:rsidR="00D35D58" w:rsidRPr="00CF7529" w:rsidRDefault="002F4154" w:rsidP="00CF7529">
      <w:pPr>
        <w:spacing w:line="560" w:lineRule="exact"/>
        <w:ind w:firstLineChars="200" w:firstLine="640"/>
        <w:rPr>
          <w:bCs/>
          <w:szCs w:val="32"/>
        </w:rPr>
      </w:pPr>
      <w:r w:rsidRPr="00CF7529">
        <w:rPr>
          <w:bCs/>
          <w:szCs w:val="32"/>
        </w:rPr>
        <w:t>本行严格按照监管规定执行关联方穿透识别、动态更新、名单备案管理，关联方范围全面覆盖以下类别：</w:t>
      </w:r>
    </w:p>
    <w:p w14:paraId="201E6DAD" w14:textId="77777777" w:rsidR="00D35D58" w:rsidRPr="00CF7529" w:rsidRDefault="002F4154" w:rsidP="00CF7529">
      <w:pPr>
        <w:spacing w:line="560" w:lineRule="exact"/>
        <w:ind w:firstLineChars="200" w:firstLine="640"/>
        <w:rPr>
          <w:bCs/>
          <w:szCs w:val="32"/>
        </w:rPr>
      </w:pPr>
      <w:r w:rsidRPr="00CF7529">
        <w:rPr>
          <w:bCs/>
          <w:szCs w:val="32"/>
        </w:rPr>
        <w:t>本行董事、监事、高级管理人员、</w:t>
      </w:r>
      <w:r w:rsidRPr="00CF7529">
        <w:rPr>
          <w:bCs/>
          <w:szCs w:val="32"/>
        </w:rPr>
        <w:t>营业网点负责人及具有大额授信、资产转移、资金使用、采购等核心业务审批或决策权的人员、</w:t>
      </w:r>
      <w:r w:rsidRPr="00CF7529">
        <w:rPr>
          <w:bCs/>
          <w:szCs w:val="32"/>
        </w:rPr>
        <w:t>持有本行</w:t>
      </w:r>
      <w:r w:rsidRPr="00CF7529">
        <w:rPr>
          <w:bCs/>
          <w:szCs w:val="32"/>
        </w:rPr>
        <w:t>5%</w:t>
      </w:r>
      <w:r w:rsidRPr="00CF7529">
        <w:rPr>
          <w:bCs/>
          <w:szCs w:val="32"/>
        </w:rPr>
        <w:t>以上股份的自然人股东、</w:t>
      </w:r>
      <w:r w:rsidRPr="00CF7529">
        <w:rPr>
          <w:bCs/>
          <w:szCs w:val="32"/>
        </w:rPr>
        <w:t>持股不足</w:t>
      </w:r>
      <w:r w:rsidRPr="00CF7529">
        <w:rPr>
          <w:bCs/>
          <w:szCs w:val="32"/>
        </w:rPr>
        <w:t>5%</w:t>
      </w:r>
      <w:r w:rsidRPr="00CF7529">
        <w:rPr>
          <w:bCs/>
          <w:szCs w:val="32"/>
        </w:rPr>
        <w:t>但对本行经营管理有重大影响的</w:t>
      </w:r>
      <w:r w:rsidRPr="00CF7529">
        <w:rPr>
          <w:bCs/>
          <w:szCs w:val="32"/>
        </w:rPr>
        <w:t>人员及其近亲属；</w:t>
      </w:r>
      <w:r w:rsidRPr="00CF7529">
        <w:rPr>
          <w:bCs/>
          <w:szCs w:val="32"/>
        </w:rPr>
        <w:t>本行的法人控股股东、实际控制人，及其一致行动人、最终受益人；</w:t>
      </w:r>
      <w:r w:rsidRPr="00CF7529">
        <w:rPr>
          <w:bCs/>
          <w:szCs w:val="32"/>
        </w:rPr>
        <w:t>持有本行</w:t>
      </w:r>
      <w:r w:rsidRPr="00CF7529">
        <w:rPr>
          <w:bCs/>
          <w:szCs w:val="32"/>
        </w:rPr>
        <w:t>5%</w:t>
      </w:r>
      <w:r w:rsidRPr="00CF7529">
        <w:rPr>
          <w:bCs/>
          <w:szCs w:val="32"/>
        </w:rPr>
        <w:t>以上股份的</w:t>
      </w:r>
      <w:r w:rsidRPr="00CF7529">
        <w:rPr>
          <w:bCs/>
          <w:szCs w:val="32"/>
        </w:rPr>
        <w:t>法人或非法人组织，及其法人控股股东、实际控制人，及其一致行动人、最终受益人</w:t>
      </w:r>
      <w:r w:rsidRPr="00CF7529">
        <w:rPr>
          <w:bCs/>
          <w:szCs w:val="32"/>
        </w:rPr>
        <w:t>。报告期内，本行关联方名单均经关联交易控制委员会审核确认。</w:t>
      </w:r>
    </w:p>
    <w:p w14:paraId="4A62598B" w14:textId="77777777" w:rsidR="00D35D58" w:rsidRPr="00CF7529" w:rsidRDefault="002F4154" w:rsidP="00CF7529">
      <w:pPr>
        <w:spacing w:line="560" w:lineRule="exact"/>
        <w:ind w:leftChars="200" w:left="640"/>
        <w:rPr>
          <w:rFonts w:ascii="黑体" w:eastAsia="黑体" w:hAnsi="黑体"/>
          <w:bCs/>
          <w:szCs w:val="32"/>
        </w:rPr>
      </w:pPr>
      <w:r w:rsidRPr="00CF7529">
        <w:rPr>
          <w:rFonts w:ascii="黑体" w:eastAsia="黑体" w:hAnsi="黑体"/>
          <w:bCs/>
          <w:szCs w:val="32"/>
        </w:rPr>
        <w:t>二、报告期内</w:t>
      </w:r>
      <w:r w:rsidRPr="00CF7529">
        <w:rPr>
          <w:rFonts w:ascii="黑体" w:eastAsia="黑体" w:hAnsi="黑体"/>
          <w:bCs/>
          <w:szCs w:val="32"/>
        </w:rPr>
        <w:t>关联交易总体情况</w:t>
      </w:r>
    </w:p>
    <w:p w14:paraId="3A11FF37" w14:textId="77777777" w:rsidR="00D35D58" w:rsidRPr="00CF7529" w:rsidRDefault="002F4154" w:rsidP="00CF7529">
      <w:pPr>
        <w:spacing w:line="560" w:lineRule="exact"/>
        <w:ind w:firstLineChars="200" w:firstLine="640"/>
        <w:rPr>
          <w:bCs/>
          <w:szCs w:val="32"/>
        </w:rPr>
      </w:pPr>
      <w:r w:rsidRPr="00CF7529">
        <w:rPr>
          <w:bCs/>
          <w:szCs w:val="32"/>
        </w:rPr>
        <w:t>截至</w:t>
      </w:r>
      <w:r w:rsidRPr="00CF7529">
        <w:rPr>
          <w:bCs/>
          <w:szCs w:val="32"/>
        </w:rPr>
        <w:t>2026</w:t>
      </w:r>
      <w:r w:rsidRPr="00CF7529">
        <w:rPr>
          <w:bCs/>
          <w:szCs w:val="32"/>
        </w:rPr>
        <w:t>年</w:t>
      </w:r>
      <w:r w:rsidRPr="00CF7529">
        <w:rPr>
          <w:bCs/>
          <w:szCs w:val="32"/>
        </w:rPr>
        <w:t>3</w:t>
      </w:r>
      <w:r w:rsidRPr="00CF7529">
        <w:rPr>
          <w:bCs/>
          <w:szCs w:val="32"/>
        </w:rPr>
        <w:t>月末，本行关联</w:t>
      </w:r>
      <w:r w:rsidRPr="00CF7529">
        <w:rPr>
          <w:bCs/>
          <w:szCs w:val="32"/>
        </w:rPr>
        <w:t>方</w:t>
      </w:r>
      <w:r w:rsidRPr="00CF7529">
        <w:rPr>
          <w:bCs/>
          <w:szCs w:val="32"/>
        </w:rPr>
        <w:t>授信客户数</w:t>
      </w:r>
      <w:r w:rsidRPr="00CF7529">
        <w:rPr>
          <w:bCs/>
          <w:szCs w:val="32"/>
        </w:rPr>
        <w:t>55</w:t>
      </w:r>
      <w:r w:rsidRPr="00CF7529">
        <w:rPr>
          <w:bCs/>
          <w:szCs w:val="32"/>
        </w:rPr>
        <w:t>户，授信</w:t>
      </w:r>
      <w:r w:rsidRPr="00CF7529">
        <w:rPr>
          <w:bCs/>
          <w:szCs w:val="32"/>
        </w:rPr>
        <w:t>类关联交易</w:t>
      </w:r>
      <w:r w:rsidRPr="00CF7529">
        <w:rPr>
          <w:bCs/>
          <w:szCs w:val="32"/>
        </w:rPr>
        <w:t>额度为</w:t>
      </w:r>
      <w:r w:rsidRPr="00CF7529">
        <w:rPr>
          <w:bCs/>
          <w:szCs w:val="32"/>
        </w:rPr>
        <w:t>7528.16</w:t>
      </w:r>
      <w:r w:rsidRPr="00CF7529">
        <w:rPr>
          <w:bCs/>
          <w:szCs w:val="32"/>
        </w:rPr>
        <w:t>万元，占上季度末资本净额</w:t>
      </w:r>
      <w:r w:rsidRPr="00CF7529">
        <w:rPr>
          <w:bCs/>
          <w:szCs w:val="32"/>
        </w:rPr>
        <w:lastRenderedPageBreak/>
        <w:t>（</w:t>
      </w:r>
      <w:r w:rsidRPr="00CF7529">
        <w:rPr>
          <w:bCs/>
          <w:szCs w:val="32"/>
        </w:rPr>
        <w:t>134168.28</w:t>
      </w:r>
      <w:r w:rsidRPr="00CF7529">
        <w:rPr>
          <w:bCs/>
          <w:szCs w:val="32"/>
        </w:rPr>
        <w:t>万元</w:t>
      </w:r>
      <w:r w:rsidRPr="00CF7529">
        <w:rPr>
          <w:bCs/>
          <w:szCs w:val="32"/>
        </w:rPr>
        <w:t>）</w:t>
      </w:r>
      <w:r w:rsidRPr="00CF7529">
        <w:rPr>
          <w:bCs/>
          <w:szCs w:val="32"/>
        </w:rPr>
        <w:t>的</w:t>
      </w:r>
      <w:r w:rsidRPr="00CF7529">
        <w:rPr>
          <w:bCs/>
          <w:szCs w:val="32"/>
        </w:rPr>
        <w:t>5.61</w:t>
      </w:r>
      <w:r w:rsidRPr="00CF7529">
        <w:rPr>
          <w:bCs/>
          <w:szCs w:val="32"/>
        </w:rPr>
        <w:t>%</w:t>
      </w:r>
      <w:r w:rsidRPr="00CF7529">
        <w:rPr>
          <w:bCs/>
          <w:szCs w:val="32"/>
        </w:rPr>
        <w:t>，</w:t>
      </w:r>
      <w:r w:rsidRPr="00CF7529">
        <w:rPr>
          <w:bCs/>
          <w:szCs w:val="32"/>
        </w:rPr>
        <w:t>关联方非授信客户数</w:t>
      </w:r>
      <w:r w:rsidRPr="00CF7529">
        <w:rPr>
          <w:bCs/>
          <w:szCs w:val="32"/>
        </w:rPr>
        <w:t>80</w:t>
      </w:r>
      <w:r w:rsidRPr="00CF7529">
        <w:rPr>
          <w:bCs/>
          <w:szCs w:val="32"/>
        </w:rPr>
        <w:t>户，非授信类关联交易额度为</w:t>
      </w:r>
      <w:r w:rsidRPr="00CF7529">
        <w:rPr>
          <w:bCs/>
          <w:szCs w:val="32"/>
        </w:rPr>
        <w:t>2334.07</w:t>
      </w:r>
      <w:r w:rsidRPr="00CF7529">
        <w:rPr>
          <w:bCs/>
          <w:szCs w:val="32"/>
        </w:rPr>
        <w:t>万元，占上季度末资本净额</w:t>
      </w:r>
      <w:r w:rsidRPr="00CF7529">
        <w:rPr>
          <w:bCs/>
          <w:szCs w:val="32"/>
        </w:rPr>
        <w:t>（</w:t>
      </w:r>
      <w:r w:rsidRPr="00CF7529">
        <w:rPr>
          <w:bCs/>
          <w:szCs w:val="32"/>
        </w:rPr>
        <w:t>134168.28</w:t>
      </w:r>
      <w:r w:rsidRPr="00CF7529">
        <w:rPr>
          <w:bCs/>
          <w:szCs w:val="32"/>
        </w:rPr>
        <w:t>万元</w:t>
      </w:r>
      <w:r w:rsidRPr="00CF7529">
        <w:rPr>
          <w:bCs/>
          <w:szCs w:val="32"/>
        </w:rPr>
        <w:t>）</w:t>
      </w:r>
      <w:r w:rsidRPr="00CF7529">
        <w:rPr>
          <w:bCs/>
          <w:szCs w:val="32"/>
        </w:rPr>
        <w:t>的</w:t>
      </w:r>
      <w:r w:rsidRPr="00CF7529">
        <w:rPr>
          <w:bCs/>
          <w:szCs w:val="32"/>
        </w:rPr>
        <w:t>1.74%</w:t>
      </w:r>
      <w:r w:rsidRPr="00CF7529">
        <w:rPr>
          <w:bCs/>
          <w:szCs w:val="32"/>
        </w:rPr>
        <w:t>。</w:t>
      </w:r>
      <w:r w:rsidRPr="00CF7529">
        <w:rPr>
          <w:bCs/>
          <w:szCs w:val="32"/>
        </w:rPr>
        <w:t>全部关联度未超过资本净额的</w:t>
      </w:r>
      <w:r w:rsidRPr="00CF7529">
        <w:rPr>
          <w:bCs/>
          <w:szCs w:val="32"/>
        </w:rPr>
        <w:t>50%</w:t>
      </w:r>
      <w:r w:rsidRPr="00CF7529">
        <w:rPr>
          <w:bCs/>
          <w:szCs w:val="32"/>
        </w:rPr>
        <w:t>。</w:t>
      </w:r>
    </w:p>
    <w:p w14:paraId="5F78B306" w14:textId="77777777" w:rsidR="00D35D58" w:rsidRPr="00CF7529" w:rsidRDefault="002F4154" w:rsidP="00CF7529">
      <w:pPr>
        <w:spacing w:line="560" w:lineRule="exact"/>
        <w:ind w:firstLineChars="200" w:firstLine="640"/>
        <w:rPr>
          <w:bCs/>
          <w:szCs w:val="32"/>
        </w:rPr>
      </w:pPr>
      <w:r w:rsidRPr="00CF7529">
        <w:rPr>
          <w:bCs/>
          <w:szCs w:val="32"/>
        </w:rPr>
        <w:t>其中：</w:t>
      </w:r>
      <w:r w:rsidRPr="00CF7529">
        <w:rPr>
          <w:bCs/>
          <w:szCs w:val="32"/>
        </w:rPr>
        <w:t>授信类</w:t>
      </w:r>
      <w:r w:rsidRPr="00CF7529">
        <w:rPr>
          <w:bCs/>
          <w:szCs w:val="32"/>
        </w:rPr>
        <w:t>关联自然人客户</w:t>
      </w:r>
      <w:r w:rsidRPr="00CF7529">
        <w:rPr>
          <w:bCs/>
          <w:szCs w:val="32"/>
        </w:rPr>
        <w:t>52</w:t>
      </w:r>
      <w:r w:rsidRPr="00CF7529">
        <w:rPr>
          <w:bCs/>
          <w:szCs w:val="32"/>
        </w:rPr>
        <w:t>户，授信</w:t>
      </w:r>
      <w:r w:rsidRPr="00CF7529">
        <w:rPr>
          <w:bCs/>
          <w:szCs w:val="32"/>
        </w:rPr>
        <w:t>类</w:t>
      </w:r>
      <w:r w:rsidRPr="00CF7529">
        <w:rPr>
          <w:bCs/>
          <w:szCs w:val="32"/>
        </w:rPr>
        <w:t>总额</w:t>
      </w:r>
      <w:r w:rsidRPr="00CF7529">
        <w:rPr>
          <w:bCs/>
          <w:szCs w:val="32"/>
        </w:rPr>
        <w:t>1328.16</w:t>
      </w:r>
      <w:r w:rsidRPr="00CF7529">
        <w:rPr>
          <w:bCs/>
          <w:szCs w:val="32"/>
        </w:rPr>
        <w:t>万元，占上季度末资本净额的</w:t>
      </w:r>
      <w:r w:rsidRPr="00CF7529">
        <w:rPr>
          <w:bCs/>
          <w:szCs w:val="32"/>
        </w:rPr>
        <w:t>0.99</w:t>
      </w:r>
      <w:r w:rsidRPr="00CF7529">
        <w:rPr>
          <w:bCs/>
          <w:szCs w:val="32"/>
        </w:rPr>
        <w:t>%</w:t>
      </w:r>
      <w:r w:rsidRPr="00CF7529">
        <w:rPr>
          <w:bCs/>
          <w:szCs w:val="32"/>
        </w:rPr>
        <w:t>；</w:t>
      </w:r>
      <w:r w:rsidRPr="00CF7529">
        <w:rPr>
          <w:bCs/>
          <w:szCs w:val="32"/>
        </w:rPr>
        <w:t>非授信类关联自然人客户</w:t>
      </w:r>
      <w:r w:rsidRPr="00CF7529">
        <w:rPr>
          <w:bCs/>
          <w:szCs w:val="32"/>
        </w:rPr>
        <w:t>80</w:t>
      </w:r>
      <w:r w:rsidRPr="00CF7529">
        <w:rPr>
          <w:bCs/>
          <w:szCs w:val="32"/>
        </w:rPr>
        <w:t>户，非授信类总额</w:t>
      </w:r>
      <w:r w:rsidRPr="00CF7529">
        <w:rPr>
          <w:bCs/>
          <w:szCs w:val="32"/>
        </w:rPr>
        <w:t>2334.07</w:t>
      </w:r>
      <w:r w:rsidRPr="00CF7529">
        <w:rPr>
          <w:bCs/>
          <w:szCs w:val="32"/>
        </w:rPr>
        <w:t>万元，</w:t>
      </w:r>
      <w:r w:rsidRPr="00CF7529">
        <w:rPr>
          <w:bCs/>
          <w:szCs w:val="32"/>
        </w:rPr>
        <w:t>占上季度末资本净额的</w:t>
      </w:r>
      <w:r w:rsidRPr="00CF7529">
        <w:rPr>
          <w:bCs/>
          <w:szCs w:val="32"/>
        </w:rPr>
        <w:t>1.74</w:t>
      </w:r>
      <w:r w:rsidRPr="00CF7529">
        <w:rPr>
          <w:bCs/>
          <w:szCs w:val="32"/>
        </w:rPr>
        <w:t>%</w:t>
      </w:r>
      <w:r w:rsidRPr="00CF7529">
        <w:rPr>
          <w:bCs/>
          <w:szCs w:val="32"/>
        </w:rPr>
        <w:t>；法人关联客户</w:t>
      </w:r>
      <w:r w:rsidRPr="00CF7529">
        <w:rPr>
          <w:bCs/>
          <w:szCs w:val="32"/>
        </w:rPr>
        <w:t>3</w:t>
      </w:r>
      <w:r w:rsidRPr="00CF7529">
        <w:rPr>
          <w:bCs/>
          <w:szCs w:val="32"/>
        </w:rPr>
        <w:t>户，授信</w:t>
      </w:r>
      <w:r w:rsidRPr="00CF7529">
        <w:rPr>
          <w:bCs/>
          <w:szCs w:val="32"/>
        </w:rPr>
        <w:t>类</w:t>
      </w:r>
      <w:r w:rsidRPr="00CF7529">
        <w:rPr>
          <w:bCs/>
          <w:szCs w:val="32"/>
        </w:rPr>
        <w:t>总额</w:t>
      </w:r>
      <w:r w:rsidRPr="00CF7529">
        <w:rPr>
          <w:bCs/>
          <w:szCs w:val="32"/>
        </w:rPr>
        <w:t>6200</w:t>
      </w:r>
      <w:r w:rsidRPr="00CF7529">
        <w:rPr>
          <w:bCs/>
          <w:szCs w:val="32"/>
        </w:rPr>
        <w:t>万元，占上季度末资本净额的</w:t>
      </w:r>
      <w:r w:rsidRPr="00CF7529">
        <w:rPr>
          <w:bCs/>
          <w:szCs w:val="32"/>
        </w:rPr>
        <w:t>4.62</w:t>
      </w:r>
      <w:r w:rsidRPr="00CF7529">
        <w:rPr>
          <w:bCs/>
          <w:szCs w:val="32"/>
        </w:rPr>
        <w:t>%</w:t>
      </w:r>
      <w:r w:rsidRPr="00CF7529">
        <w:rPr>
          <w:bCs/>
          <w:szCs w:val="32"/>
        </w:rPr>
        <w:t>。最大单个关联方授信余额为</w:t>
      </w:r>
      <w:r w:rsidRPr="00CF7529">
        <w:rPr>
          <w:bCs/>
          <w:szCs w:val="32"/>
        </w:rPr>
        <w:t>2750</w:t>
      </w:r>
      <w:r w:rsidRPr="00CF7529">
        <w:rPr>
          <w:bCs/>
          <w:szCs w:val="32"/>
        </w:rPr>
        <w:t>万元，占上季度末资本净额的</w:t>
      </w:r>
      <w:r w:rsidRPr="00CF7529">
        <w:rPr>
          <w:bCs/>
          <w:szCs w:val="32"/>
        </w:rPr>
        <w:t>2.05</w:t>
      </w:r>
      <w:r w:rsidRPr="00CF7529">
        <w:rPr>
          <w:bCs/>
          <w:szCs w:val="32"/>
        </w:rPr>
        <w:t>%</w:t>
      </w:r>
      <w:r w:rsidRPr="00CF7529">
        <w:rPr>
          <w:bCs/>
          <w:szCs w:val="32"/>
        </w:rPr>
        <w:t>，未超过资本净额的</w:t>
      </w:r>
      <w:r w:rsidRPr="00CF7529">
        <w:rPr>
          <w:bCs/>
          <w:szCs w:val="32"/>
        </w:rPr>
        <w:t>10%</w:t>
      </w:r>
      <w:r w:rsidRPr="00CF7529">
        <w:rPr>
          <w:bCs/>
          <w:szCs w:val="32"/>
        </w:rPr>
        <w:t>；最大单个关联方集团客户授信余额为</w:t>
      </w:r>
      <w:r w:rsidRPr="00CF7529">
        <w:rPr>
          <w:bCs/>
          <w:szCs w:val="32"/>
        </w:rPr>
        <w:t>6200</w:t>
      </w:r>
      <w:r w:rsidRPr="00CF7529">
        <w:rPr>
          <w:bCs/>
          <w:szCs w:val="32"/>
        </w:rPr>
        <w:t>万元，占上季度末资本净额的</w:t>
      </w:r>
      <w:r w:rsidRPr="00CF7529">
        <w:rPr>
          <w:bCs/>
          <w:szCs w:val="32"/>
        </w:rPr>
        <w:t>4.62</w:t>
      </w:r>
      <w:r w:rsidRPr="00CF7529">
        <w:rPr>
          <w:bCs/>
          <w:szCs w:val="32"/>
        </w:rPr>
        <w:t>%</w:t>
      </w:r>
      <w:r w:rsidRPr="00CF7529">
        <w:rPr>
          <w:bCs/>
          <w:szCs w:val="32"/>
        </w:rPr>
        <w:t>，未超过资本净额的</w:t>
      </w:r>
      <w:r w:rsidRPr="00CF7529">
        <w:rPr>
          <w:bCs/>
          <w:szCs w:val="32"/>
        </w:rPr>
        <w:t>15%</w:t>
      </w:r>
      <w:r w:rsidRPr="00CF7529">
        <w:rPr>
          <w:bCs/>
          <w:szCs w:val="32"/>
        </w:rPr>
        <w:t>，均符合监管要求。</w:t>
      </w:r>
    </w:p>
    <w:p w14:paraId="3478E969" w14:textId="77777777" w:rsidR="00D35D58" w:rsidRPr="00CF7529" w:rsidRDefault="002F4154" w:rsidP="00CF7529">
      <w:pPr>
        <w:pStyle w:val="a0"/>
        <w:spacing w:line="560" w:lineRule="exact"/>
        <w:ind w:left="640"/>
        <w:rPr>
          <w:rFonts w:ascii="黑体" w:eastAsia="黑体" w:hAnsi="黑体"/>
          <w:bCs/>
          <w:szCs w:val="32"/>
        </w:rPr>
      </w:pPr>
      <w:r w:rsidRPr="00CF7529">
        <w:rPr>
          <w:rFonts w:ascii="黑体" w:eastAsia="黑体" w:hAnsi="黑体"/>
          <w:bCs/>
          <w:szCs w:val="32"/>
        </w:rPr>
        <w:t>三</w:t>
      </w:r>
      <w:r w:rsidRPr="00CF7529">
        <w:rPr>
          <w:rFonts w:ascii="黑体" w:eastAsia="黑体" w:hAnsi="黑体"/>
          <w:bCs/>
          <w:szCs w:val="32"/>
        </w:rPr>
        <w:t>、一般关联交易情况</w:t>
      </w:r>
    </w:p>
    <w:p w14:paraId="1D9F4121" w14:textId="77777777" w:rsidR="00D35D58" w:rsidRPr="00CF7529" w:rsidRDefault="002F4154" w:rsidP="00CF7529">
      <w:pPr>
        <w:pStyle w:val="a0"/>
        <w:spacing w:line="560" w:lineRule="exact"/>
        <w:ind w:leftChars="0" w:left="0" w:firstLineChars="200" w:firstLine="640"/>
        <w:rPr>
          <w:bCs/>
          <w:szCs w:val="32"/>
        </w:rPr>
      </w:pPr>
      <w:r w:rsidRPr="00CF7529">
        <w:rPr>
          <w:bCs/>
          <w:szCs w:val="32"/>
        </w:rPr>
        <w:t>2026</w:t>
      </w:r>
      <w:r w:rsidRPr="00CF7529">
        <w:rPr>
          <w:bCs/>
          <w:szCs w:val="32"/>
        </w:rPr>
        <w:t>年</w:t>
      </w:r>
      <w:r w:rsidRPr="00CF7529">
        <w:rPr>
          <w:bCs/>
          <w:szCs w:val="32"/>
        </w:rPr>
        <w:t>第</w:t>
      </w:r>
      <w:r w:rsidRPr="00CF7529">
        <w:rPr>
          <w:bCs/>
          <w:szCs w:val="32"/>
        </w:rPr>
        <w:t>一</w:t>
      </w:r>
      <w:r w:rsidRPr="00CF7529">
        <w:rPr>
          <w:bCs/>
          <w:szCs w:val="32"/>
        </w:rPr>
        <w:t>季度</w:t>
      </w:r>
      <w:r w:rsidRPr="00CF7529">
        <w:rPr>
          <w:bCs/>
          <w:szCs w:val="32"/>
        </w:rPr>
        <w:t>，</w:t>
      </w:r>
      <w:r w:rsidRPr="00CF7529">
        <w:rPr>
          <w:bCs/>
          <w:szCs w:val="32"/>
        </w:rPr>
        <w:t>本行</w:t>
      </w:r>
      <w:r w:rsidRPr="00CF7529">
        <w:rPr>
          <w:bCs/>
          <w:szCs w:val="32"/>
        </w:rPr>
        <w:t>一般关联交易均按照内部制度分级审批，流程合规，</w:t>
      </w:r>
      <w:r w:rsidRPr="00CF7529">
        <w:rPr>
          <w:bCs/>
          <w:szCs w:val="32"/>
        </w:rPr>
        <w:t>关联交易价格公允，交易条件</w:t>
      </w:r>
      <w:r w:rsidRPr="00CF7529">
        <w:rPr>
          <w:bCs/>
          <w:szCs w:val="32"/>
        </w:rPr>
        <w:t>未</w:t>
      </w:r>
      <w:r w:rsidRPr="00CF7529">
        <w:rPr>
          <w:bCs/>
          <w:szCs w:val="32"/>
        </w:rPr>
        <w:t>优于非关联方</w:t>
      </w:r>
      <w:r w:rsidRPr="00CF7529">
        <w:rPr>
          <w:bCs/>
          <w:szCs w:val="32"/>
        </w:rPr>
        <w:t>同类交易条件</w:t>
      </w:r>
      <w:r w:rsidRPr="00CF7529">
        <w:rPr>
          <w:bCs/>
          <w:szCs w:val="32"/>
        </w:rPr>
        <w:t>，</w:t>
      </w:r>
      <w:r w:rsidRPr="00CF7529">
        <w:rPr>
          <w:bCs/>
          <w:szCs w:val="32"/>
        </w:rPr>
        <w:t>合并披露情况如下：</w:t>
      </w:r>
    </w:p>
    <w:p w14:paraId="01925C9E" w14:textId="5B0CB12D" w:rsidR="00D35D58" w:rsidRPr="00EF4EED" w:rsidRDefault="002F4154" w:rsidP="00EF4EED">
      <w:pPr>
        <w:spacing w:line="560" w:lineRule="exact"/>
        <w:ind w:right="320" w:firstLineChars="200" w:firstLine="420"/>
        <w:jc w:val="right"/>
        <w:rPr>
          <w:bCs/>
          <w:sz w:val="21"/>
          <w:szCs w:val="21"/>
        </w:rPr>
      </w:pPr>
      <w:r w:rsidRPr="00EF4EED">
        <w:rPr>
          <w:bCs/>
          <w:sz w:val="21"/>
          <w:szCs w:val="21"/>
        </w:rPr>
        <w:t>单位：人民币</w:t>
      </w:r>
      <w:r w:rsidR="00EF4EED" w:rsidRPr="00EF4EED">
        <w:rPr>
          <w:rFonts w:hint="eastAsia"/>
          <w:bCs/>
          <w:sz w:val="21"/>
          <w:szCs w:val="21"/>
        </w:rPr>
        <w:t xml:space="preserve"> </w:t>
      </w:r>
      <w:r w:rsidRPr="00EF4EED">
        <w:rPr>
          <w:bCs/>
          <w:sz w:val="21"/>
          <w:szCs w:val="21"/>
        </w:rPr>
        <w:t>万元</w:t>
      </w:r>
    </w:p>
    <w:tbl>
      <w:tblPr>
        <w:tblStyle w:val="a5"/>
        <w:tblW w:w="8364" w:type="dxa"/>
        <w:tblInd w:w="-5" w:type="dxa"/>
        <w:tblLook w:val="04A0" w:firstRow="1" w:lastRow="0" w:firstColumn="1" w:lastColumn="0" w:noHBand="0" w:noVBand="1"/>
      </w:tblPr>
      <w:tblGrid>
        <w:gridCol w:w="4962"/>
        <w:gridCol w:w="3402"/>
      </w:tblGrid>
      <w:tr w:rsidR="00D35D58" w:rsidRPr="00EF4EED" w14:paraId="7D13E227" w14:textId="77777777" w:rsidTr="00932F01">
        <w:trPr>
          <w:trHeight w:val="590"/>
        </w:trPr>
        <w:tc>
          <w:tcPr>
            <w:tcW w:w="4962" w:type="dxa"/>
            <w:vAlign w:val="center"/>
          </w:tcPr>
          <w:p w14:paraId="66F7D3C4" w14:textId="77777777" w:rsidR="00D35D58" w:rsidRPr="00EF4EED" w:rsidRDefault="002F4154" w:rsidP="00CF7529">
            <w:pPr>
              <w:widowControl/>
              <w:spacing w:line="560" w:lineRule="exact"/>
              <w:jc w:val="center"/>
              <w:rPr>
                <w:bCs/>
                <w:sz w:val="21"/>
                <w:szCs w:val="21"/>
              </w:rPr>
            </w:pPr>
            <w:r w:rsidRPr="00EF4EED">
              <w:rPr>
                <w:bCs/>
                <w:sz w:val="21"/>
                <w:szCs w:val="21"/>
              </w:rPr>
              <w:t>关联交易类型</w:t>
            </w:r>
          </w:p>
        </w:tc>
        <w:tc>
          <w:tcPr>
            <w:tcW w:w="3402" w:type="dxa"/>
            <w:vAlign w:val="center"/>
          </w:tcPr>
          <w:p w14:paraId="4C83F326" w14:textId="77777777" w:rsidR="00D35D58" w:rsidRPr="00EF4EED" w:rsidRDefault="002F4154" w:rsidP="00CF7529">
            <w:pPr>
              <w:widowControl/>
              <w:spacing w:line="560" w:lineRule="exact"/>
              <w:jc w:val="center"/>
              <w:rPr>
                <w:bCs/>
                <w:sz w:val="21"/>
                <w:szCs w:val="21"/>
              </w:rPr>
            </w:pPr>
            <w:r w:rsidRPr="00EF4EED">
              <w:rPr>
                <w:bCs/>
                <w:sz w:val="21"/>
                <w:szCs w:val="21"/>
              </w:rPr>
              <w:t>交易金额</w:t>
            </w:r>
          </w:p>
        </w:tc>
      </w:tr>
      <w:tr w:rsidR="00D35D58" w:rsidRPr="00EF4EED" w14:paraId="48D7FABE" w14:textId="77777777">
        <w:trPr>
          <w:trHeight w:val="615"/>
        </w:trPr>
        <w:tc>
          <w:tcPr>
            <w:tcW w:w="4962" w:type="dxa"/>
            <w:vAlign w:val="center"/>
          </w:tcPr>
          <w:p w14:paraId="7ED7DAD7" w14:textId="77777777" w:rsidR="00D35D58" w:rsidRPr="00EF4EED" w:rsidRDefault="002F4154" w:rsidP="00CF7529">
            <w:pPr>
              <w:widowControl/>
              <w:spacing w:line="560" w:lineRule="exact"/>
              <w:jc w:val="center"/>
              <w:rPr>
                <w:bCs/>
                <w:sz w:val="21"/>
                <w:szCs w:val="21"/>
              </w:rPr>
            </w:pPr>
            <w:r w:rsidRPr="00EF4EED">
              <w:rPr>
                <w:bCs/>
                <w:sz w:val="21"/>
                <w:szCs w:val="21"/>
              </w:rPr>
              <w:t>授信类关联交易</w:t>
            </w:r>
          </w:p>
        </w:tc>
        <w:tc>
          <w:tcPr>
            <w:tcW w:w="3402" w:type="dxa"/>
            <w:vAlign w:val="center"/>
          </w:tcPr>
          <w:p w14:paraId="39F360DE" w14:textId="77777777" w:rsidR="00D35D58" w:rsidRPr="00EF4EED" w:rsidRDefault="002F4154" w:rsidP="00CF7529">
            <w:pPr>
              <w:widowControl/>
              <w:spacing w:line="560" w:lineRule="exact"/>
              <w:jc w:val="center"/>
              <w:rPr>
                <w:bCs/>
                <w:sz w:val="21"/>
                <w:szCs w:val="21"/>
              </w:rPr>
            </w:pPr>
            <w:r w:rsidRPr="00EF4EED">
              <w:rPr>
                <w:bCs/>
                <w:sz w:val="21"/>
                <w:szCs w:val="21"/>
              </w:rPr>
              <w:t>243.3</w:t>
            </w:r>
          </w:p>
        </w:tc>
      </w:tr>
      <w:tr w:rsidR="00D35D58" w:rsidRPr="00EF4EED" w14:paraId="795631E6" w14:textId="77777777">
        <w:trPr>
          <w:trHeight w:val="633"/>
        </w:trPr>
        <w:tc>
          <w:tcPr>
            <w:tcW w:w="4962" w:type="dxa"/>
            <w:vAlign w:val="center"/>
          </w:tcPr>
          <w:p w14:paraId="20BB198D" w14:textId="77777777" w:rsidR="00D35D58" w:rsidRPr="00EF4EED" w:rsidRDefault="002F4154" w:rsidP="00CF7529">
            <w:pPr>
              <w:widowControl/>
              <w:spacing w:line="560" w:lineRule="exact"/>
              <w:jc w:val="center"/>
              <w:rPr>
                <w:bCs/>
                <w:sz w:val="21"/>
                <w:szCs w:val="21"/>
              </w:rPr>
            </w:pPr>
            <w:r w:rsidRPr="00EF4EED">
              <w:rPr>
                <w:bCs/>
                <w:sz w:val="21"/>
                <w:szCs w:val="21"/>
              </w:rPr>
              <w:t>资产转移类关联交易</w:t>
            </w:r>
          </w:p>
        </w:tc>
        <w:tc>
          <w:tcPr>
            <w:tcW w:w="3402" w:type="dxa"/>
            <w:vAlign w:val="center"/>
          </w:tcPr>
          <w:p w14:paraId="44CFF77C" w14:textId="77777777" w:rsidR="00D35D58" w:rsidRPr="00EF4EED" w:rsidRDefault="002F4154" w:rsidP="00CF7529">
            <w:pPr>
              <w:widowControl/>
              <w:spacing w:line="560" w:lineRule="exact"/>
              <w:jc w:val="center"/>
              <w:rPr>
                <w:bCs/>
                <w:sz w:val="21"/>
                <w:szCs w:val="21"/>
              </w:rPr>
            </w:pPr>
            <w:r w:rsidRPr="00EF4EED">
              <w:rPr>
                <w:bCs/>
                <w:sz w:val="21"/>
                <w:szCs w:val="21"/>
              </w:rPr>
              <w:t>0</w:t>
            </w:r>
          </w:p>
        </w:tc>
      </w:tr>
      <w:tr w:rsidR="00D35D58" w:rsidRPr="00EF4EED" w14:paraId="1096CAAE" w14:textId="77777777">
        <w:trPr>
          <w:trHeight w:val="615"/>
        </w:trPr>
        <w:tc>
          <w:tcPr>
            <w:tcW w:w="4962" w:type="dxa"/>
            <w:vAlign w:val="center"/>
          </w:tcPr>
          <w:p w14:paraId="7AC54D4C" w14:textId="77777777" w:rsidR="00D35D58" w:rsidRPr="00EF4EED" w:rsidRDefault="002F4154" w:rsidP="00CF7529">
            <w:pPr>
              <w:widowControl/>
              <w:spacing w:line="560" w:lineRule="exact"/>
              <w:jc w:val="center"/>
              <w:rPr>
                <w:bCs/>
                <w:sz w:val="21"/>
                <w:szCs w:val="21"/>
              </w:rPr>
            </w:pPr>
            <w:r w:rsidRPr="00EF4EED">
              <w:rPr>
                <w:bCs/>
                <w:sz w:val="21"/>
                <w:szCs w:val="21"/>
              </w:rPr>
              <w:t>服务类关联交易</w:t>
            </w:r>
          </w:p>
        </w:tc>
        <w:tc>
          <w:tcPr>
            <w:tcW w:w="3402" w:type="dxa"/>
            <w:vAlign w:val="center"/>
          </w:tcPr>
          <w:p w14:paraId="7E33497A" w14:textId="77777777" w:rsidR="00D35D58" w:rsidRPr="00EF4EED" w:rsidRDefault="002F4154" w:rsidP="00CF7529">
            <w:pPr>
              <w:widowControl/>
              <w:spacing w:line="560" w:lineRule="exact"/>
              <w:jc w:val="center"/>
              <w:rPr>
                <w:bCs/>
                <w:sz w:val="21"/>
                <w:szCs w:val="21"/>
              </w:rPr>
            </w:pPr>
            <w:r w:rsidRPr="00EF4EED">
              <w:rPr>
                <w:bCs/>
                <w:sz w:val="21"/>
                <w:szCs w:val="21"/>
              </w:rPr>
              <w:t>0</w:t>
            </w:r>
          </w:p>
        </w:tc>
      </w:tr>
      <w:tr w:rsidR="00D35D58" w:rsidRPr="00EF4EED" w14:paraId="18147168" w14:textId="77777777">
        <w:trPr>
          <w:trHeight w:val="615"/>
        </w:trPr>
        <w:tc>
          <w:tcPr>
            <w:tcW w:w="4962" w:type="dxa"/>
            <w:vAlign w:val="center"/>
          </w:tcPr>
          <w:p w14:paraId="03EA2458" w14:textId="77777777" w:rsidR="00D35D58" w:rsidRPr="00EF4EED" w:rsidRDefault="002F4154" w:rsidP="00CF7529">
            <w:pPr>
              <w:widowControl/>
              <w:spacing w:line="560" w:lineRule="exact"/>
              <w:jc w:val="center"/>
              <w:rPr>
                <w:bCs/>
                <w:sz w:val="21"/>
                <w:szCs w:val="21"/>
              </w:rPr>
            </w:pPr>
            <w:r w:rsidRPr="00EF4EED">
              <w:rPr>
                <w:bCs/>
                <w:sz w:val="21"/>
                <w:szCs w:val="21"/>
              </w:rPr>
              <w:t>存款和其他类型关联交易</w:t>
            </w:r>
          </w:p>
        </w:tc>
        <w:tc>
          <w:tcPr>
            <w:tcW w:w="3402" w:type="dxa"/>
            <w:vAlign w:val="center"/>
          </w:tcPr>
          <w:p w14:paraId="4881011C" w14:textId="77777777" w:rsidR="00D35D58" w:rsidRPr="00EF4EED" w:rsidRDefault="002F4154" w:rsidP="00CF7529">
            <w:pPr>
              <w:widowControl/>
              <w:spacing w:line="560" w:lineRule="exact"/>
              <w:jc w:val="center"/>
              <w:rPr>
                <w:bCs/>
                <w:sz w:val="21"/>
                <w:szCs w:val="21"/>
              </w:rPr>
            </w:pPr>
            <w:r w:rsidRPr="00EF4EED">
              <w:rPr>
                <w:bCs/>
                <w:sz w:val="21"/>
                <w:szCs w:val="21"/>
              </w:rPr>
              <w:t>1624.26</w:t>
            </w:r>
          </w:p>
        </w:tc>
      </w:tr>
    </w:tbl>
    <w:p w14:paraId="634F5B46" w14:textId="77777777" w:rsidR="00D35D58" w:rsidRPr="00CF7529" w:rsidRDefault="00D35D58" w:rsidP="00CF7529">
      <w:pPr>
        <w:spacing w:line="560" w:lineRule="exact"/>
        <w:rPr>
          <w:bCs/>
          <w:szCs w:val="32"/>
        </w:rPr>
      </w:pPr>
    </w:p>
    <w:p w14:paraId="766D8AFB" w14:textId="77777777" w:rsidR="00D35D58" w:rsidRPr="00CF7529" w:rsidRDefault="002F4154" w:rsidP="00CF7529">
      <w:pPr>
        <w:spacing w:line="560" w:lineRule="exact"/>
        <w:ind w:firstLineChars="200" w:firstLine="640"/>
        <w:rPr>
          <w:bCs/>
          <w:szCs w:val="32"/>
        </w:rPr>
      </w:pPr>
      <w:r w:rsidRPr="00CF7529">
        <w:rPr>
          <w:bCs/>
          <w:szCs w:val="32"/>
        </w:rPr>
        <w:t>备注</w:t>
      </w:r>
      <w:r w:rsidRPr="00CF7529">
        <w:rPr>
          <w:bCs/>
          <w:szCs w:val="32"/>
        </w:rPr>
        <w:t>：</w:t>
      </w:r>
      <w:r w:rsidRPr="00CF7529">
        <w:rPr>
          <w:bCs/>
          <w:szCs w:val="32"/>
        </w:rPr>
        <w:t>协议存款、协定存款、定期存款业务原则上以签订协议时的存入本金及利息计算关联交易金额。授信类关联交易的金额数据为当季发生额。资产转移类、服务类、其他的关联交易金额为交易发生额。</w:t>
      </w:r>
    </w:p>
    <w:p w14:paraId="19AAAA62" w14:textId="77777777" w:rsidR="00CF7529" w:rsidRPr="00CF7529" w:rsidRDefault="002F4154" w:rsidP="00CF7529">
      <w:pPr>
        <w:pStyle w:val="a0"/>
        <w:spacing w:line="560" w:lineRule="exact"/>
        <w:ind w:leftChars="0" w:left="640"/>
        <w:rPr>
          <w:rFonts w:ascii="黑体" w:eastAsia="黑体" w:hAnsi="黑体"/>
          <w:bCs/>
          <w:szCs w:val="32"/>
        </w:rPr>
      </w:pPr>
      <w:r w:rsidRPr="00CF7529">
        <w:rPr>
          <w:rFonts w:ascii="黑体" w:eastAsia="黑体" w:hAnsi="黑体"/>
          <w:bCs/>
          <w:szCs w:val="32"/>
        </w:rPr>
        <w:t>四</w:t>
      </w:r>
      <w:r w:rsidRPr="00CF7529">
        <w:rPr>
          <w:rFonts w:ascii="黑体" w:eastAsia="黑体" w:hAnsi="黑体"/>
          <w:bCs/>
          <w:szCs w:val="32"/>
        </w:rPr>
        <w:t>、重大关联交易情况</w:t>
      </w:r>
    </w:p>
    <w:p w14:paraId="4F7C7879" w14:textId="15AFF084" w:rsidR="00D35D58" w:rsidRPr="00CF7529" w:rsidRDefault="002F4154" w:rsidP="00CF7529">
      <w:pPr>
        <w:pStyle w:val="a0"/>
        <w:spacing w:line="560" w:lineRule="exact"/>
        <w:ind w:leftChars="0" w:left="640"/>
        <w:rPr>
          <w:bCs/>
          <w:szCs w:val="32"/>
        </w:rPr>
      </w:pPr>
      <w:r w:rsidRPr="00CF7529">
        <w:rPr>
          <w:bCs/>
          <w:szCs w:val="32"/>
        </w:rPr>
        <w:t>本季度无重大关联交易。</w:t>
      </w:r>
      <w:bookmarkStart w:id="0" w:name="heading_13"/>
    </w:p>
    <w:p w14:paraId="7526A64D" w14:textId="77777777" w:rsidR="00D35D58" w:rsidRPr="00CF7529" w:rsidRDefault="002F4154" w:rsidP="00780050">
      <w:pPr>
        <w:shd w:val="clear" w:color="auto" w:fill="FFFFFF"/>
        <w:spacing w:line="560" w:lineRule="exact"/>
        <w:ind w:firstLineChars="200" w:firstLine="640"/>
        <w:rPr>
          <w:rFonts w:ascii="黑体" w:eastAsia="黑体" w:hAnsi="黑体"/>
          <w:bCs/>
          <w:szCs w:val="32"/>
        </w:rPr>
      </w:pPr>
      <w:r w:rsidRPr="00CF7529">
        <w:rPr>
          <w:rFonts w:ascii="黑体" w:eastAsia="黑体" w:hAnsi="黑体"/>
          <w:bCs/>
          <w:szCs w:val="32"/>
        </w:rPr>
        <w:t>五、</w:t>
      </w:r>
      <w:r w:rsidRPr="00CF7529">
        <w:rPr>
          <w:rFonts w:ascii="黑体" w:eastAsia="黑体" w:hAnsi="黑体"/>
          <w:bCs/>
          <w:szCs w:val="32"/>
        </w:rPr>
        <w:t>其他重要事项说明</w:t>
      </w:r>
      <w:bookmarkEnd w:id="0"/>
    </w:p>
    <w:p w14:paraId="4F4CB21C" w14:textId="77777777" w:rsidR="00CF7529" w:rsidRDefault="002F4154" w:rsidP="00CF7529">
      <w:pPr>
        <w:spacing w:line="560" w:lineRule="exact"/>
        <w:ind w:firstLineChars="200" w:firstLine="640"/>
        <w:rPr>
          <w:bCs/>
          <w:szCs w:val="32"/>
        </w:rPr>
      </w:pPr>
      <w:r w:rsidRPr="00CF7529">
        <w:rPr>
          <w:bCs/>
          <w:szCs w:val="32"/>
        </w:rPr>
        <w:t>报告期内本行未发生关联交易违约、关联方风险暴露、关联交易纠纷等事项；本行未因关联交易管理问题受到监管部门处罚、监管提示、监管问询；关联方名单、交易档案、审批文件</w:t>
      </w:r>
      <w:r w:rsidRPr="00CF7529">
        <w:rPr>
          <w:bCs/>
          <w:szCs w:val="32"/>
        </w:rPr>
        <w:t>等资料</w:t>
      </w:r>
      <w:r w:rsidRPr="00CF7529">
        <w:rPr>
          <w:bCs/>
          <w:szCs w:val="32"/>
        </w:rPr>
        <w:t>全部完整归档；无其他应披露未披露的重大关联交易及重要事项。</w:t>
      </w:r>
    </w:p>
    <w:p w14:paraId="532DC08A" w14:textId="20469847" w:rsidR="00D35D58" w:rsidRPr="00CF7529" w:rsidRDefault="002F4154" w:rsidP="00CF7529">
      <w:pPr>
        <w:spacing w:line="560" w:lineRule="exact"/>
        <w:ind w:firstLineChars="200" w:firstLine="640"/>
        <w:rPr>
          <w:bCs/>
          <w:szCs w:val="32"/>
        </w:rPr>
      </w:pPr>
      <w:r w:rsidRPr="00CF7529">
        <w:rPr>
          <w:bCs/>
          <w:szCs w:val="32"/>
        </w:rPr>
        <w:t>特此公告</w:t>
      </w:r>
    </w:p>
    <w:p w14:paraId="1D404248" w14:textId="77777777" w:rsidR="00D35D58" w:rsidRPr="00CF7529" w:rsidRDefault="00D35D58" w:rsidP="00CF7529">
      <w:pPr>
        <w:shd w:val="clear" w:color="auto" w:fill="FFFFFF"/>
        <w:spacing w:line="560" w:lineRule="exact"/>
        <w:ind w:firstLine="560"/>
        <w:rPr>
          <w:bCs/>
          <w:szCs w:val="32"/>
        </w:rPr>
      </w:pPr>
    </w:p>
    <w:p w14:paraId="453B76F5" w14:textId="77777777" w:rsidR="00D35D58" w:rsidRPr="00CF7529" w:rsidRDefault="00D35D58" w:rsidP="00CF7529">
      <w:pPr>
        <w:pStyle w:val="a0"/>
        <w:spacing w:line="560" w:lineRule="exact"/>
        <w:ind w:left="640"/>
        <w:rPr>
          <w:bCs/>
          <w:szCs w:val="32"/>
        </w:rPr>
      </w:pPr>
    </w:p>
    <w:p w14:paraId="154F74B1" w14:textId="77777777" w:rsidR="00D35D58" w:rsidRPr="00CF7529" w:rsidRDefault="00D35D58" w:rsidP="00CF7529">
      <w:pPr>
        <w:pStyle w:val="a4"/>
        <w:spacing w:line="560" w:lineRule="exact"/>
        <w:rPr>
          <w:rFonts w:ascii="Times New Roman" w:hAnsi="Times New Roman"/>
          <w:bCs/>
          <w:szCs w:val="32"/>
        </w:rPr>
      </w:pPr>
    </w:p>
    <w:p w14:paraId="3AA44FF1" w14:textId="77777777" w:rsidR="00D35D58" w:rsidRPr="00CF7529" w:rsidRDefault="002F4154" w:rsidP="00CF7529">
      <w:pPr>
        <w:shd w:val="clear" w:color="auto" w:fill="FFFFFF"/>
        <w:spacing w:line="560" w:lineRule="exact"/>
        <w:ind w:firstLine="560"/>
        <w:jc w:val="right"/>
        <w:rPr>
          <w:bCs/>
          <w:szCs w:val="32"/>
        </w:rPr>
      </w:pPr>
      <w:r w:rsidRPr="00CF7529">
        <w:rPr>
          <w:bCs/>
          <w:szCs w:val="32"/>
        </w:rPr>
        <w:t>        </w:t>
      </w:r>
      <w:r w:rsidRPr="00CF7529">
        <w:rPr>
          <w:bCs/>
          <w:szCs w:val="32"/>
        </w:rPr>
        <w:t>2026</w:t>
      </w:r>
      <w:r w:rsidRPr="00CF7529">
        <w:rPr>
          <w:bCs/>
          <w:szCs w:val="32"/>
        </w:rPr>
        <w:t>年</w:t>
      </w:r>
      <w:r w:rsidRPr="00CF7529">
        <w:rPr>
          <w:bCs/>
          <w:szCs w:val="32"/>
        </w:rPr>
        <w:t>4</w:t>
      </w:r>
      <w:r w:rsidRPr="00CF7529">
        <w:rPr>
          <w:bCs/>
          <w:szCs w:val="32"/>
        </w:rPr>
        <w:t>月</w:t>
      </w:r>
      <w:r w:rsidRPr="00CF7529">
        <w:rPr>
          <w:bCs/>
          <w:szCs w:val="32"/>
        </w:rPr>
        <w:t>30</w:t>
      </w:r>
      <w:r w:rsidRPr="00CF7529">
        <w:rPr>
          <w:bCs/>
          <w:szCs w:val="32"/>
        </w:rPr>
        <w:t>日</w:t>
      </w:r>
    </w:p>
    <w:p w14:paraId="4C9B95A2" w14:textId="77777777" w:rsidR="00D35D58" w:rsidRDefault="00D35D58" w:rsidP="00CF7529">
      <w:pPr>
        <w:pStyle w:val="a4"/>
        <w:spacing w:line="560" w:lineRule="exact"/>
        <w:rPr>
          <w:rFonts w:ascii="Times New Roman" w:hAnsi="Times New Roman"/>
        </w:rPr>
      </w:pPr>
    </w:p>
    <w:sectPr w:rsidR="00D35D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6911E" w14:textId="77777777" w:rsidR="002F4154" w:rsidRDefault="002F4154" w:rsidP="00CF7529">
      <w:r>
        <w:separator/>
      </w:r>
    </w:p>
  </w:endnote>
  <w:endnote w:type="continuationSeparator" w:id="0">
    <w:p w14:paraId="04DEFDBA" w14:textId="77777777" w:rsidR="002F4154" w:rsidRDefault="002F4154" w:rsidP="00CF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D8F1B" w14:textId="77777777" w:rsidR="002F4154" w:rsidRDefault="002F4154" w:rsidP="00CF7529">
      <w:r>
        <w:separator/>
      </w:r>
    </w:p>
  </w:footnote>
  <w:footnote w:type="continuationSeparator" w:id="0">
    <w:p w14:paraId="07A76C7F" w14:textId="77777777" w:rsidR="002F4154" w:rsidRDefault="002F4154" w:rsidP="00CF75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cumentProtection w:edit="readOnly" w:formatting="1" w:enforcement="1" w:cryptProviderType="rsaAES" w:cryptAlgorithmClass="hash" w:cryptAlgorithmType="typeAny" w:cryptAlgorithmSid="14" w:cryptSpinCount="100000" w:hash="IqkbnqETJbnaR97qpF7439xiSilaG2xcZES7UAPJfcN+gImBwNOxfAW3rFBWWK6dZ+waQBfdMBAHevGUCOK8+g==" w:salt="rf8poDXRTTNdO9AsoBDOmw=="/>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7187AF0"/>
    <w:rsid w:val="002F4154"/>
    <w:rsid w:val="00780050"/>
    <w:rsid w:val="00932F01"/>
    <w:rsid w:val="00B32228"/>
    <w:rsid w:val="00CF7529"/>
    <w:rsid w:val="00D35D58"/>
    <w:rsid w:val="00E7621F"/>
    <w:rsid w:val="00EF4EED"/>
    <w:rsid w:val="021C0973"/>
    <w:rsid w:val="02936A01"/>
    <w:rsid w:val="0A1B6A73"/>
    <w:rsid w:val="10586666"/>
    <w:rsid w:val="14F110E9"/>
    <w:rsid w:val="19415893"/>
    <w:rsid w:val="1CA31503"/>
    <w:rsid w:val="1DD71A40"/>
    <w:rsid w:val="2A810710"/>
    <w:rsid w:val="2FCF344C"/>
    <w:rsid w:val="330E785B"/>
    <w:rsid w:val="33EE2714"/>
    <w:rsid w:val="34805420"/>
    <w:rsid w:val="35CA6CA9"/>
    <w:rsid w:val="37536B9D"/>
    <w:rsid w:val="3D0737F4"/>
    <w:rsid w:val="3E517240"/>
    <w:rsid w:val="44443099"/>
    <w:rsid w:val="44463CD2"/>
    <w:rsid w:val="44546F36"/>
    <w:rsid w:val="44820F3F"/>
    <w:rsid w:val="44F47F82"/>
    <w:rsid w:val="49CE561B"/>
    <w:rsid w:val="4A8B1C60"/>
    <w:rsid w:val="541B1A1F"/>
    <w:rsid w:val="592D2FB9"/>
    <w:rsid w:val="5AB25C74"/>
    <w:rsid w:val="5D6D727C"/>
    <w:rsid w:val="62A11239"/>
    <w:rsid w:val="64371CD5"/>
    <w:rsid w:val="6485628E"/>
    <w:rsid w:val="6685696B"/>
    <w:rsid w:val="67187AF0"/>
    <w:rsid w:val="683E7CBF"/>
    <w:rsid w:val="6844781F"/>
    <w:rsid w:val="6BFB1E48"/>
    <w:rsid w:val="6CFB035A"/>
    <w:rsid w:val="6E551244"/>
    <w:rsid w:val="6ED24EED"/>
    <w:rsid w:val="726B0089"/>
    <w:rsid w:val="735123A4"/>
    <w:rsid w:val="76B04026"/>
    <w:rsid w:val="77E90C1D"/>
    <w:rsid w:val="7A3F1A81"/>
    <w:rsid w:val="7B7F441F"/>
    <w:rsid w:val="7BBA78AE"/>
    <w:rsid w:val="7CD40DEA"/>
    <w:rsid w:val="7E543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4495AD"/>
  <w15:docId w15:val="{1D87EE33-D4BE-4B79-B55A-3D768BB89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velope return" w:qFormat="1"/>
    <w:lsdException w:name="Title" w:qFormat="1"/>
    <w:lsdException w:name="Default Paragraph Font" w:semiHidden="1" w:qFormat="1"/>
    <w:lsdException w:name="Body Text Indent" w:uiPriority="99"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next w:val="a4"/>
    <w:uiPriority w:val="99"/>
    <w:qFormat/>
    <w:pPr>
      <w:spacing w:after="120"/>
      <w:ind w:leftChars="200" w:left="420"/>
    </w:pPr>
  </w:style>
  <w:style w:type="paragraph" w:styleId="a4">
    <w:name w:val="envelope return"/>
    <w:basedOn w:val="a"/>
    <w:qFormat/>
    <w:pPr>
      <w:snapToGrid w:val="0"/>
    </w:pPr>
    <w:rPr>
      <w:rFonts w:ascii="Arial" w:hAnsi="Arial"/>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kern w:val="0"/>
      <w:sz w:val="24"/>
      <w:szCs w:val="24"/>
    </w:rPr>
  </w:style>
  <w:style w:type="paragraph" w:styleId="2">
    <w:name w:val="Body Text First Indent 2"/>
    <w:basedOn w:val="a0"/>
    <w:uiPriority w:val="99"/>
    <w:qFormat/>
    <w:pPr>
      <w:ind w:firstLineChars="200" w:firstLine="420"/>
    </w:pPr>
    <w:rPr>
      <w:rFonts w:ascii="Calibri" w:hAnsi="Calibri" w:cs="Calibri"/>
      <w:szCs w:val="32"/>
    </w:rPr>
  </w:style>
  <w:style w:type="table" w:styleId="a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F752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rsid w:val="00CF7529"/>
    <w:rPr>
      <w:rFonts w:eastAsia="仿宋_GB2312"/>
      <w:kern w:val="2"/>
      <w:sz w:val="18"/>
      <w:szCs w:val="18"/>
    </w:rPr>
  </w:style>
  <w:style w:type="paragraph" w:styleId="a8">
    <w:name w:val="footer"/>
    <w:basedOn w:val="a"/>
    <w:link w:val="a9"/>
    <w:rsid w:val="00CF7529"/>
    <w:pPr>
      <w:tabs>
        <w:tab w:val="center" w:pos="4153"/>
        <w:tab w:val="right" w:pos="8306"/>
      </w:tabs>
      <w:snapToGrid w:val="0"/>
      <w:jc w:val="left"/>
    </w:pPr>
    <w:rPr>
      <w:sz w:val="18"/>
      <w:szCs w:val="18"/>
    </w:rPr>
  </w:style>
  <w:style w:type="character" w:customStyle="1" w:styleId="a9">
    <w:name w:val="页脚 字符"/>
    <w:basedOn w:val="a1"/>
    <w:link w:val="a8"/>
    <w:rsid w:val="00CF7529"/>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189</Words>
  <Characters>1081</Characters>
  <Application>Microsoft Office Word</Application>
  <DocSecurity>8</DocSecurity>
  <Lines>9</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116767-罗鸿英</cp:lastModifiedBy>
  <cp:revision>6</cp:revision>
  <dcterms:created xsi:type="dcterms:W3CDTF">2025-01-10T06:53:00Z</dcterms:created>
  <dcterms:modified xsi:type="dcterms:W3CDTF">2026-04-30T08:53:00Z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7B66CEC2A5C84040ABC5F8A161991223</vt:lpwstr>
  </property>
</Properties>
</file>