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jc w:val="center"/>
        <w:rPr>
          <w:rFonts w:ascii="宋体"/>
          <w:b/>
          <w:sz w:val="84"/>
          <w:szCs w:val="84"/>
        </w:rPr>
      </w:pPr>
    </w:p>
    <w:p>
      <w:pPr>
        <w:keepNext w:val="0"/>
        <w:keepLines w:val="0"/>
        <w:pageBreakBefore w:val="0"/>
        <w:widowControl w:val="0"/>
        <w:kinsoku/>
        <w:wordWrap/>
        <w:overflowPunct/>
        <w:topLinePunct w:val="0"/>
        <w:bidi w:val="0"/>
        <w:spacing w:line="1000" w:lineRule="exact"/>
        <w:jc w:val="center"/>
        <w:textAlignment w:val="auto"/>
        <w:rPr>
          <w:rFonts w:hint="eastAsia" w:ascii="宋体" w:hAnsi="宋体"/>
          <w:b/>
          <w:bCs/>
          <w:spacing w:val="-20"/>
          <w:sz w:val="56"/>
          <w:szCs w:val="48"/>
          <w:lang w:val="en-US" w:eastAsia="zh-CN"/>
        </w:rPr>
      </w:pPr>
      <w:r>
        <w:rPr>
          <w:rFonts w:hint="eastAsia" w:ascii="宋体"/>
          <w:b/>
          <w:bCs/>
          <w:sz w:val="56"/>
          <w:szCs w:val="48"/>
          <w:lang w:val="en-US" w:eastAsia="zh-CN"/>
        </w:rPr>
        <w:t>贵州普定农村商业银行股份有限公司2026年新媒体运营维护服务</w:t>
      </w:r>
    </w:p>
    <w:p>
      <w:pPr>
        <w:keepNext w:val="0"/>
        <w:keepLines w:val="0"/>
        <w:pageBreakBefore w:val="0"/>
        <w:widowControl w:val="0"/>
        <w:kinsoku/>
        <w:wordWrap/>
        <w:overflowPunct/>
        <w:topLinePunct w:val="0"/>
        <w:bidi w:val="0"/>
        <w:spacing w:line="1000" w:lineRule="exact"/>
        <w:jc w:val="center"/>
        <w:textAlignment w:val="auto"/>
        <w:rPr>
          <w:rFonts w:hint="eastAsia" w:ascii="宋体" w:hAnsi="宋体"/>
          <w:b/>
          <w:bCs/>
          <w:spacing w:val="-20"/>
          <w:sz w:val="72"/>
          <w:lang w:val="en-US" w:eastAsia="zh-CN"/>
        </w:rPr>
      </w:pPr>
    </w:p>
    <w:p>
      <w:pPr>
        <w:pStyle w:val="13"/>
        <w:keepNext w:val="0"/>
        <w:keepLines w:val="0"/>
        <w:pageBreakBefore w:val="0"/>
        <w:widowControl w:val="0"/>
        <w:kinsoku/>
        <w:wordWrap/>
        <w:overflowPunct/>
        <w:topLinePunct w:val="0"/>
        <w:bidi w:val="0"/>
        <w:rPr>
          <w:rFonts w:hint="eastAsia"/>
          <w:lang w:val="en-US" w:eastAsia="zh-CN"/>
        </w:rPr>
      </w:pPr>
    </w:p>
    <w:p>
      <w:pPr>
        <w:keepNext w:val="0"/>
        <w:keepLines w:val="0"/>
        <w:pageBreakBefore w:val="0"/>
        <w:widowControl w:val="0"/>
        <w:kinsoku/>
        <w:wordWrap/>
        <w:overflowPunct/>
        <w:topLinePunct w:val="0"/>
        <w:bidi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pPr>
        <w:keepNext w:val="0"/>
        <w:keepLines w:val="0"/>
        <w:pageBreakBefore w:val="0"/>
        <w:widowControl w:val="0"/>
        <w:kinsoku/>
        <w:wordWrap/>
        <w:overflowPunct/>
        <w:topLinePunct w:val="0"/>
        <w:bidi w:val="0"/>
        <w:ind w:firstLine="3753" w:firstLineChars="445"/>
        <w:textAlignment w:val="auto"/>
        <w:rPr>
          <w:rFonts w:ascii="宋体"/>
          <w:b/>
          <w:bCs/>
          <w:sz w:val="84"/>
        </w:rPr>
      </w:pPr>
    </w:p>
    <w:p>
      <w:pPr>
        <w:keepNext w:val="0"/>
        <w:keepLines w:val="0"/>
        <w:pageBreakBefore w:val="0"/>
        <w:widowControl w:val="0"/>
        <w:kinsoku/>
        <w:wordWrap/>
        <w:overflowPunct/>
        <w:topLinePunct w:val="0"/>
        <w:bidi w:val="0"/>
        <w:jc w:val="center"/>
        <w:textAlignment w:val="auto"/>
        <w:rPr>
          <w:rFonts w:ascii="宋体"/>
          <w:b/>
          <w:bCs/>
          <w:sz w:val="32"/>
        </w:rPr>
      </w:pPr>
    </w:p>
    <w:p>
      <w:pPr>
        <w:keepNext w:val="0"/>
        <w:keepLines w:val="0"/>
        <w:pageBreakBefore w:val="0"/>
        <w:widowControl w:val="0"/>
        <w:kinsoku/>
        <w:wordWrap/>
        <w:overflowPunct/>
        <w:topLinePunct w:val="0"/>
        <w:bidi w:val="0"/>
        <w:textAlignment w:val="auto"/>
        <w:rPr>
          <w:rFonts w:ascii="宋体"/>
          <w:b/>
          <w:bCs/>
          <w:sz w:val="32"/>
        </w:rPr>
      </w:pPr>
    </w:p>
    <w:p>
      <w:pPr>
        <w:keepNext w:val="0"/>
        <w:keepLines w:val="0"/>
        <w:pageBreakBefore w:val="0"/>
        <w:widowControl w:val="0"/>
        <w:kinsoku/>
        <w:wordWrap/>
        <w:overflowPunct/>
        <w:topLinePunct w:val="0"/>
        <w:bidi w:val="0"/>
        <w:textAlignment w:val="auto"/>
        <w:rPr>
          <w:rFonts w:ascii="宋体"/>
          <w:b/>
          <w:bCs/>
          <w:sz w:val="32"/>
        </w:rPr>
      </w:pPr>
    </w:p>
    <w:p>
      <w:pPr>
        <w:keepNext w:val="0"/>
        <w:keepLines w:val="0"/>
        <w:pageBreakBefore w:val="0"/>
        <w:widowControl w:val="0"/>
        <w:kinsoku/>
        <w:wordWrap/>
        <w:overflowPunct/>
        <w:topLinePunct w:val="0"/>
        <w:bidi w:val="0"/>
        <w:ind w:firstLine="964" w:firstLineChars="300"/>
        <w:textAlignment w:val="auto"/>
        <w:rPr>
          <w:rFonts w:ascii="宋体"/>
          <w:b/>
          <w:bCs/>
          <w:sz w:val="32"/>
        </w:rPr>
      </w:pPr>
    </w:p>
    <w:p>
      <w:pPr>
        <w:keepNext w:val="0"/>
        <w:keepLines w:val="0"/>
        <w:pageBreakBefore w:val="0"/>
        <w:widowControl w:val="0"/>
        <w:kinsoku/>
        <w:wordWrap/>
        <w:overflowPunct/>
        <w:topLinePunct w:val="0"/>
        <w:bidi w:val="0"/>
        <w:ind w:firstLine="964" w:firstLineChars="300"/>
        <w:textAlignment w:val="auto"/>
        <w:rPr>
          <w:rFonts w:ascii="宋体"/>
          <w:b/>
          <w:bCs/>
          <w:sz w:val="32"/>
        </w:rPr>
      </w:pPr>
    </w:p>
    <w:p>
      <w:pPr>
        <w:keepNext w:val="0"/>
        <w:keepLines w:val="0"/>
        <w:pageBreakBefore w:val="0"/>
        <w:widowControl w:val="0"/>
        <w:kinsoku/>
        <w:wordWrap/>
        <w:overflowPunct/>
        <w:topLinePunct w:val="0"/>
        <w:bidi w:val="0"/>
        <w:ind w:firstLine="964" w:firstLineChars="300"/>
        <w:textAlignment w:val="auto"/>
        <w:rPr>
          <w:rFonts w:ascii="宋体"/>
          <w:b/>
          <w:bCs/>
          <w:sz w:val="32"/>
        </w:rPr>
      </w:pPr>
    </w:p>
    <w:p>
      <w:pPr>
        <w:keepNext w:val="0"/>
        <w:keepLines w:val="0"/>
        <w:pageBreakBefore w:val="0"/>
        <w:widowControl w:val="0"/>
        <w:kinsoku/>
        <w:wordWrap/>
        <w:overflowPunct/>
        <w:topLinePunct w:val="0"/>
        <w:bidi w:val="0"/>
        <w:ind w:firstLine="964" w:firstLineChars="300"/>
        <w:textAlignment w:val="auto"/>
        <w:rPr>
          <w:rFonts w:ascii="宋体"/>
          <w:b/>
          <w:bCs/>
          <w:sz w:val="32"/>
        </w:rPr>
      </w:pPr>
    </w:p>
    <w:p>
      <w:pPr>
        <w:keepNext w:val="0"/>
        <w:keepLines w:val="0"/>
        <w:pageBreakBefore w:val="0"/>
        <w:widowControl w:val="0"/>
        <w:kinsoku/>
        <w:wordWrap/>
        <w:overflowPunct/>
        <w:topLinePunct w:val="0"/>
        <w:bidi w:val="0"/>
        <w:spacing w:line="500" w:lineRule="atLeast"/>
        <w:ind w:firstLine="1262" w:firstLineChars="419"/>
        <w:textAlignment w:val="auto"/>
        <w:rPr>
          <w:rFonts w:ascii="宋体"/>
          <w:b/>
          <w:bCs/>
          <w:sz w:val="30"/>
          <w:szCs w:val="30"/>
        </w:rPr>
      </w:pPr>
    </w:p>
    <w:p>
      <w:pPr>
        <w:keepNext w:val="0"/>
        <w:keepLines w:val="0"/>
        <w:pageBreakBefore w:val="0"/>
        <w:widowControl w:val="0"/>
        <w:kinsoku/>
        <w:wordWrap/>
        <w:overflowPunct/>
        <w:topLinePunct w:val="0"/>
        <w:bidi w:val="0"/>
        <w:spacing w:line="500" w:lineRule="atLeast"/>
        <w:ind w:firstLine="1262" w:firstLineChars="419"/>
        <w:textAlignment w:val="auto"/>
        <w:rPr>
          <w:rFonts w:ascii="宋体"/>
          <w:b/>
          <w:bCs/>
          <w:sz w:val="30"/>
          <w:szCs w:val="30"/>
        </w:rPr>
      </w:pPr>
    </w:p>
    <w:p>
      <w:pPr>
        <w:keepNext w:val="0"/>
        <w:keepLines w:val="0"/>
        <w:pageBreakBefore w:val="0"/>
        <w:widowControl w:val="0"/>
        <w:tabs>
          <w:tab w:val="left" w:pos="8105"/>
        </w:tabs>
        <w:kinsoku/>
        <w:wordWrap/>
        <w:overflowPunct/>
        <w:topLinePunct w:val="0"/>
        <w:bidi w:val="0"/>
        <w:spacing w:line="500" w:lineRule="atLeast"/>
        <w:textAlignment w:val="auto"/>
        <w:rPr>
          <w:rFonts w:ascii="宋体"/>
          <w:b/>
          <w:bCs/>
          <w:sz w:val="30"/>
          <w:szCs w:val="30"/>
        </w:rPr>
      </w:pPr>
      <w:r>
        <w:rPr>
          <w:rFonts w:hint="eastAsia" w:ascii="宋体" w:hAnsi="宋体"/>
          <w:b/>
          <w:bCs/>
          <w:sz w:val="30"/>
          <w:szCs w:val="30"/>
          <w:lang w:val="en-US" w:eastAsia="zh-CN"/>
        </w:rPr>
        <w:t>业主单位</w:t>
      </w:r>
      <w:r>
        <w:rPr>
          <w:rFonts w:hint="eastAsia" w:ascii="宋体" w:hAnsi="宋体"/>
          <w:b/>
          <w:bCs/>
          <w:sz w:val="30"/>
          <w:szCs w:val="30"/>
        </w:rPr>
        <w:t>：</w:t>
      </w:r>
      <w:r>
        <w:rPr>
          <w:rFonts w:hint="eastAsia" w:ascii="宋体" w:hAnsi="宋体"/>
          <w:b/>
          <w:bCs/>
          <w:sz w:val="30"/>
          <w:szCs w:val="30"/>
          <w:u w:val="single"/>
          <w:lang w:val="en-US" w:eastAsia="zh-CN"/>
        </w:rPr>
        <w:t>贵州普定农村商业银行股份有限公司</w:t>
      </w:r>
      <w:r>
        <w:rPr>
          <w:rFonts w:ascii="宋体"/>
          <w:b/>
          <w:bCs/>
          <w:sz w:val="30"/>
          <w:szCs w:val="30"/>
        </w:rPr>
        <w:tab/>
      </w:r>
    </w:p>
    <w:p>
      <w:pPr>
        <w:keepNext w:val="0"/>
        <w:keepLines w:val="0"/>
        <w:pageBreakBefore w:val="0"/>
        <w:widowControl w:val="0"/>
        <w:kinsoku/>
        <w:wordWrap/>
        <w:overflowPunct/>
        <w:topLinePunct w:val="0"/>
        <w:bidi w:val="0"/>
        <w:textAlignment w:val="auto"/>
        <w:rPr>
          <w:rFonts w:ascii="Calibri" w:hAnsi="Calibri"/>
        </w:rPr>
      </w:pPr>
    </w:p>
    <w:p>
      <w:pPr>
        <w:keepNext w:val="0"/>
        <w:keepLines w:val="0"/>
        <w:pageBreakBefore w:val="0"/>
        <w:widowControl w:val="0"/>
        <w:kinsoku/>
        <w:wordWrap/>
        <w:overflowPunct/>
        <w:topLinePunct w:val="0"/>
        <w:bidi w:val="0"/>
        <w:spacing w:line="600" w:lineRule="atLeast"/>
        <w:rPr>
          <w:rStyle w:val="14"/>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4"/>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2026年3月</w:t>
      </w:r>
    </w:p>
    <w:p>
      <w:pPr>
        <w:keepNext w:val="0"/>
        <w:keepLines w:val="0"/>
        <w:pageBreakBefore w:val="0"/>
        <w:widowControl w:val="0"/>
        <w:tabs>
          <w:tab w:val="left" w:pos="1245"/>
          <w:tab w:val="center" w:pos="4535"/>
        </w:tabs>
        <w:kinsoku/>
        <w:wordWrap/>
        <w:overflowPunct/>
        <w:topLinePunct w:val="0"/>
        <w:bidi w:val="0"/>
        <w:spacing w:line="600" w:lineRule="exact"/>
        <w:jc w:val="center"/>
        <w:rPr>
          <w:rStyle w:val="14"/>
          <w:rFonts w:ascii="宋体"/>
          <w:b/>
          <w:bCs/>
          <w:sz w:val="44"/>
          <w:szCs w:val="44"/>
        </w:rPr>
      </w:pPr>
      <w:r>
        <w:rPr>
          <w:rStyle w:val="14"/>
          <w:rFonts w:hint="eastAsia" w:ascii="宋体" w:hAnsi="宋体"/>
          <w:b/>
          <w:bCs/>
          <w:sz w:val="44"/>
          <w:szCs w:val="44"/>
        </w:rPr>
        <w:t>目</w:t>
      </w:r>
      <w:r>
        <w:rPr>
          <w:rStyle w:val="14"/>
          <w:rFonts w:ascii="宋体" w:hAnsi="宋体"/>
          <w:b/>
          <w:bCs/>
          <w:sz w:val="44"/>
          <w:szCs w:val="44"/>
        </w:rPr>
        <w:t xml:space="preserve">   </w:t>
      </w:r>
      <w:r>
        <w:rPr>
          <w:rStyle w:val="14"/>
          <w:rFonts w:hint="eastAsia" w:ascii="宋体" w:hAnsi="宋体"/>
          <w:b/>
          <w:bCs/>
          <w:sz w:val="44"/>
          <w:szCs w:val="44"/>
        </w:rPr>
        <w:t>录</w:t>
      </w:r>
    </w:p>
    <w:p>
      <w:pPr>
        <w:keepNext w:val="0"/>
        <w:keepLines w:val="0"/>
        <w:pageBreakBefore w:val="0"/>
        <w:widowControl w:val="0"/>
        <w:tabs>
          <w:tab w:val="left" w:pos="1245"/>
          <w:tab w:val="center" w:pos="4535"/>
        </w:tabs>
        <w:kinsoku/>
        <w:wordWrap/>
        <w:overflowPunct/>
        <w:topLinePunct w:val="0"/>
        <w:bidi w:val="0"/>
        <w:spacing w:line="600" w:lineRule="exact"/>
        <w:jc w:val="center"/>
        <w:rPr>
          <w:rStyle w:val="14"/>
          <w:rFonts w:ascii="宋体"/>
          <w:b/>
          <w:bCs/>
          <w:sz w:val="44"/>
          <w:szCs w:val="44"/>
        </w:rPr>
      </w:pPr>
    </w:p>
    <w:p>
      <w:pPr>
        <w:keepNext w:val="0"/>
        <w:keepLines w:val="0"/>
        <w:pageBreakBefore w:val="0"/>
        <w:widowControl w:val="0"/>
        <w:tabs>
          <w:tab w:val="left" w:pos="1245"/>
          <w:tab w:val="center" w:pos="4535"/>
        </w:tabs>
        <w:kinsoku/>
        <w:wordWrap/>
        <w:overflowPunct/>
        <w:topLinePunct w:val="0"/>
        <w:bidi w:val="0"/>
        <w:spacing w:line="520" w:lineRule="exact"/>
        <w:jc w:val="distribute"/>
        <w:rPr>
          <w:rStyle w:val="14"/>
          <w:rFonts w:hint="default" w:ascii="宋体"/>
          <w:bCs/>
          <w:spacing w:val="24"/>
          <w:sz w:val="24"/>
          <w:lang w:val="en-US"/>
        </w:rPr>
      </w:pPr>
      <w:r>
        <w:rPr>
          <w:rStyle w:val="14"/>
          <w:rFonts w:hint="eastAsia" w:ascii="宋体" w:hAnsi="宋体"/>
          <w:bCs/>
          <w:sz w:val="24"/>
        </w:rPr>
        <w:t>第一章</w:t>
      </w:r>
      <w:r>
        <w:rPr>
          <w:rStyle w:val="14"/>
          <w:rFonts w:ascii="宋体" w:hAnsi="宋体"/>
          <w:bCs/>
          <w:sz w:val="24"/>
        </w:rPr>
        <w:t xml:space="preserve">  </w:t>
      </w:r>
      <w:r>
        <w:rPr>
          <w:rStyle w:val="14"/>
          <w:rFonts w:hint="eastAsia" w:ascii="宋体" w:hAnsi="宋体"/>
          <w:bCs/>
          <w:spacing w:val="24"/>
          <w:sz w:val="24"/>
          <w:lang w:val="en-US"/>
        </w:rPr>
        <w:t>磋商</w:t>
      </w:r>
      <w:r>
        <w:rPr>
          <w:rStyle w:val="14"/>
          <w:rFonts w:hint="eastAsia" w:ascii="宋体" w:hAnsi="宋体"/>
          <w:bCs/>
          <w:spacing w:val="24"/>
          <w:sz w:val="24"/>
        </w:rPr>
        <w:t>公告…</w:t>
      </w:r>
      <w:r>
        <w:rPr>
          <w:rStyle w:val="14"/>
          <w:rFonts w:hint="eastAsia" w:ascii="宋体"/>
          <w:bCs/>
          <w:sz w:val="24"/>
        </w:rPr>
        <w:t>…………………………</w:t>
      </w:r>
      <w:r>
        <w:rPr>
          <w:rStyle w:val="14"/>
          <w:rFonts w:hint="eastAsia" w:ascii="宋体" w:hAnsi="宋体"/>
          <w:bCs/>
          <w:sz w:val="24"/>
        </w:rPr>
        <w:t>…</w:t>
      </w:r>
      <w:r>
        <w:rPr>
          <w:rStyle w:val="14"/>
          <w:rFonts w:hint="eastAsia" w:ascii="宋体"/>
          <w:bCs/>
          <w:sz w:val="24"/>
        </w:rPr>
        <w:t>……………………………………</w:t>
      </w:r>
      <w:r>
        <w:rPr>
          <w:rStyle w:val="14"/>
          <w:rFonts w:hint="eastAsia" w:ascii="宋体" w:hAnsi="宋体"/>
          <w:bCs/>
          <w:sz w:val="24"/>
        </w:rPr>
        <w:t>………</w:t>
      </w:r>
      <w:r>
        <w:rPr>
          <w:rStyle w:val="14"/>
          <w:rFonts w:hint="eastAsia" w:ascii="宋体" w:hAnsi="宋体"/>
          <w:bCs/>
          <w:sz w:val="24"/>
          <w:lang w:val="en-US"/>
        </w:rPr>
        <w:t>3</w:t>
      </w:r>
    </w:p>
    <w:p>
      <w:pPr>
        <w:keepNext w:val="0"/>
        <w:keepLines w:val="0"/>
        <w:pageBreakBefore w:val="0"/>
        <w:widowControl w:val="0"/>
        <w:tabs>
          <w:tab w:val="left" w:pos="1245"/>
          <w:tab w:val="center" w:pos="4535"/>
        </w:tabs>
        <w:kinsoku/>
        <w:wordWrap/>
        <w:overflowPunct/>
        <w:topLinePunct w:val="0"/>
        <w:bidi w:val="0"/>
        <w:spacing w:line="520" w:lineRule="exact"/>
        <w:jc w:val="distribute"/>
        <w:rPr>
          <w:rStyle w:val="14"/>
          <w:rFonts w:hint="default" w:ascii="宋体"/>
          <w:bCs/>
          <w:sz w:val="24"/>
          <w:lang w:val="en-US"/>
        </w:rPr>
      </w:pPr>
      <w:r>
        <w:rPr>
          <w:rStyle w:val="14"/>
          <w:rFonts w:hint="eastAsia" w:ascii="宋体" w:hAnsi="宋体"/>
          <w:bCs/>
          <w:sz w:val="24"/>
        </w:rPr>
        <w:t>第二章</w:t>
      </w:r>
      <w:r>
        <w:rPr>
          <w:rStyle w:val="14"/>
          <w:rFonts w:ascii="宋体" w:hAnsi="宋体"/>
          <w:bCs/>
          <w:sz w:val="24"/>
        </w:rPr>
        <w:t xml:space="preserve">  </w:t>
      </w:r>
      <w:r>
        <w:rPr>
          <w:rStyle w:val="14"/>
          <w:rFonts w:hint="eastAsia" w:ascii="宋体" w:hAnsi="宋体"/>
          <w:bCs/>
          <w:sz w:val="24"/>
          <w:lang w:val="en-US"/>
        </w:rPr>
        <w:t>磋商</w:t>
      </w:r>
      <w:r>
        <w:rPr>
          <w:rStyle w:val="14"/>
          <w:rFonts w:hint="eastAsia" w:ascii="宋体" w:hAnsi="宋体"/>
          <w:bCs/>
          <w:sz w:val="24"/>
        </w:rPr>
        <w:t>须知</w:t>
      </w:r>
      <w:r>
        <w:rPr>
          <w:rStyle w:val="14"/>
          <w:rFonts w:hint="eastAsia" w:ascii="宋体" w:hAnsi="宋体"/>
          <w:bCs/>
          <w:spacing w:val="24"/>
          <w:sz w:val="24"/>
        </w:rPr>
        <w:t>…</w:t>
      </w:r>
      <w:r>
        <w:rPr>
          <w:rStyle w:val="14"/>
          <w:rFonts w:hint="eastAsia" w:ascii="宋体"/>
          <w:bCs/>
          <w:sz w:val="24"/>
        </w:rPr>
        <w:t>…………………………</w:t>
      </w:r>
      <w:r>
        <w:rPr>
          <w:rStyle w:val="14"/>
          <w:rFonts w:hint="eastAsia" w:ascii="宋体" w:hAnsi="宋体"/>
          <w:bCs/>
          <w:sz w:val="24"/>
        </w:rPr>
        <w:t>…</w:t>
      </w:r>
      <w:r>
        <w:rPr>
          <w:rStyle w:val="14"/>
          <w:rFonts w:hint="eastAsia" w:ascii="宋体"/>
          <w:bCs/>
          <w:sz w:val="24"/>
        </w:rPr>
        <w:t>……………………………………</w:t>
      </w:r>
      <w:r>
        <w:rPr>
          <w:rStyle w:val="14"/>
          <w:rFonts w:hint="eastAsia" w:ascii="宋体" w:hAnsi="宋体"/>
          <w:bCs/>
          <w:sz w:val="24"/>
        </w:rPr>
        <w:t>………</w:t>
      </w:r>
      <w:r>
        <w:rPr>
          <w:rStyle w:val="14"/>
          <w:rFonts w:hint="eastAsia" w:ascii="宋体" w:hAnsi="宋体"/>
          <w:bCs/>
          <w:sz w:val="24"/>
          <w:lang w:val="en-US"/>
        </w:rPr>
        <w:t>5</w:t>
      </w:r>
    </w:p>
    <w:p>
      <w:pPr>
        <w:keepNext w:val="0"/>
        <w:keepLines w:val="0"/>
        <w:pageBreakBefore w:val="0"/>
        <w:widowControl w:val="0"/>
        <w:tabs>
          <w:tab w:val="left" w:pos="1245"/>
          <w:tab w:val="center" w:pos="4535"/>
        </w:tabs>
        <w:kinsoku/>
        <w:wordWrap/>
        <w:overflowPunct/>
        <w:topLinePunct w:val="0"/>
        <w:bidi w:val="0"/>
        <w:spacing w:line="520" w:lineRule="exact"/>
        <w:jc w:val="distribute"/>
        <w:rPr>
          <w:rStyle w:val="14"/>
          <w:rFonts w:hint="default" w:ascii="宋体"/>
          <w:bCs/>
          <w:sz w:val="24"/>
          <w:lang w:val="en-US"/>
        </w:rPr>
      </w:pPr>
      <w:r>
        <w:rPr>
          <w:rStyle w:val="14"/>
          <w:rFonts w:hint="eastAsia" w:ascii="宋体" w:hAnsi="宋体"/>
          <w:bCs/>
          <w:sz w:val="24"/>
        </w:rPr>
        <w:t>第三章</w:t>
      </w:r>
      <w:r>
        <w:rPr>
          <w:rStyle w:val="14"/>
          <w:rFonts w:ascii="宋体" w:hAnsi="宋体"/>
          <w:bCs/>
          <w:sz w:val="24"/>
        </w:rPr>
        <w:t xml:space="preserve">  </w:t>
      </w:r>
      <w:r>
        <w:rPr>
          <w:rStyle w:val="14"/>
          <w:rFonts w:hint="eastAsia" w:ascii="宋体" w:hAnsi="宋体"/>
          <w:bCs/>
          <w:sz w:val="24"/>
          <w:lang w:val="en-US" w:eastAsia="zh-CN"/>
        </w:rPr>
        <w:t>评审工作程序</w:t>
      </w:r>
      <w:r>
        <w:rPr>
          <w:rStyle w:val="14"/>
          <w:rFonts w:ascii="宋体" w:hAnsi="宋体"/>
          <w:bCs/>
          <w:sz w:val="24"/>
        </w:rPr>
        <w:t xml:space="preserve">  </w:t>
      </w:r>
      <w:r>
        <w:rPr>
          <w:rStyle w:val="14"/>
          <w:rFonts w:hint="eastAsia" w:ascii="宋体" w:hAnsi="宋体"/>
          <w:bCs/>
          <w:sz w:val="24"/>
        </w:rPr>
        <w:t>……………………………………………………………</w:t>
      </w:r>
      <w:r>
        <w:rPr>
          <w:rStyle w:val="14"/>
          <w:rFonts w:hint="eastAsia" w:ascii="宋体"/>
          <w:bCs/>
          <w:sz w:val="24"/>
        </w:rPr>
        <w:t>…………</w:t>
      </w:r>
      <w:r>
        <w:rPr>
          <w:rStyle w:val="14"/>
          <w:rFonts w:hint="eastAsia" w:ascii="宋体" w:hAnsi="宋体"/>
          <w:bCs/>
          <w:sz w:val="24"/>
          <w:lang w:val="en-US"/>
        </w:rPr>
        <w:t>9</w:t>
      </w:r>
    </w:p>
    <w:p>
      <w:pPr>
        <w:keepNext w:val="0"/>
        <w:keepLines w:val="0"/>
        <w:pageBreakBefore w:val="0"/>
        <w:widowControl w:val="0"/>
        <w:tabs>
          <w:tab w:val="left" w:pos="1245"/>
          <w:tab w:val="center" w:pos="4535"/>
        </w:tabs>
        <w:kinsoku/>
        <w:wordWrap/>
        <w:overflowPunct/>
        <w:topLinePunct w:val="0"/>
        <w:bidi w:val="0"/>
        <w:spacing w:line="520" w:lineRule="exact"/>
        <w:jc w:val="distribute"/>
        <w:rPr>
          <w:rStyle w:val="14"/>
          <w:rFonts w:hint="default" w:ascii="宋体"/>
          <w:bCs/>
          <w:sz w:val="24"/>
          <w:lang w:val="en-US"/>
        </w:rPr>
      </w:pPr>
      <w:r>
        <w:rPr>
          <w:rStyle w:val="14"/>
          <w:rFonts w:hint="eastAsia" w:ascii="宋体" w:hAnsi="宋体"/>
          <w:bCs/>
          <w:sz w:val="24"/>
        </w:rPr>
        <w:t>第四章</w:t>
      </w:r>
      <w:r>
        <w:rPr>
          <w:rStyle w:val="14"/>
          <w:rFonts w:ascii="宋体" w:hAnsi="宋体"/>
          <w:bCs/>
          <w:sz w:val="24"/>
        </w:rPr>
        <w:t xml:space="preserve"> </w:t>
      </w:r>
      <w:r>
        <w:rPr>
          <w:rStyle w:val="14"/>
          <w:rFonts w:hint="eastAsia" w:ascii="宋体" w:hAnsi="宋体"/>
          <w:bCs/>
          <w:sz w:val="24"/>
        </w:rPr>
        <w:t>竞选文件格式</w:t>
      </w:r>
      <w:r>
        <w:rPr>
          <w:rStyle w:val="14"/>
          <w:rFonts w:hint="eastAsia" w:ascii="宋体"/>
          <w:bCs/>
          <w:sz w:val="24"/>
        </w:rPr>
        <w:t>……………………………………………………………</w:t>
      </w:r>
      <w:r>
        <w:rPr>
          <w:rStyle w:val="14"/>
          <w:rFonts w:hint="eastAsia" w:ascii="宋体" w:hAnsi="宋体"/>
          <w:bCs/>
          <w:sz w:val="24"/>
        </w:rPr>
        <w:t>…</w:t>
      </w:r>
      <w:r>
        <w:rPr>
          <w:rStyle w:val="14"/>
          <w:rFonts w:hint="eastAsia" w:ascii="宋体"/>
          <w:bCs/>
          <w:sz w:val="24"/>
        </w:rPr>
        <w:t>…………</w:t>
      </w:r>
      <w:r>
        <w:rPr>
          <w:rStyle w:val="14"/>
          <w:rFonts w:hint="eastAsia" w:ascii="宋体" w:hAnsi="宋体"/>
          <w:bCs/>
          <w:sz w:val="24"/>
          <w:lang w:val="en-US"/>
        </w:rPr>
        <w:t>11</w:t>
      </w: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p>
    <w:p>
      <w:pPr>
        <w:keepNext w:val="0"/>
        <w:keepLines w:val="0"/>
        <w:pageBreakBefore w:val="0"/>
        <w:widowControl w:val="0"/>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eastAsia" w:ascii="宋体" w:hAnsi="宋体" w:eastAsia="宋体" w:cs="宋体"/>
          <w:b/>
          <w:sz w:val="36"/>
        </w:rPr>
      </w:pPr>
      <w:r>
        <w:rPr>
          <w:rFonts w:hint="eastAsia" w:ascii="宋体" w:hAnsi="宋体" w:eastAsia="宋体" w:cs="宋体"/>
          <w:b/>
          <w:sz w:val="36"/>
        </w:rPr>
        <w:t xml:space="preserve">第一章  </w:t>
      </w:r>
      <w:r>
        <w:rPr>
          <w:rFonts w:hint="eastAsia" w:ascii="宋体" w:hAnsi="宋体" w:cs="宋体"/>
          <w:b/>
          <w:sz w:val="36"/>
          <w:lang w:val="en-US" w:eastAsia="zh-CN"/>
        </w:rPr>
        <w:t>磋商</w:t>
      </w:r>
      <w:r>
        <w:rPr>
          <w:rFonts w:hint="eastAsia" w:ascii="宋体" w:hAnsi="宋体" w:eastAsia="宋体" w:cs="宋体"/>
          <w:b/>
          <w:sz w:val="36"/>
        </w:rPr>
        <w:t>公告</w:t>
      </w:r>
    </w:p>
    <w:p>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baseline"/>
        <w:rPr>
          <w:rStyle w:val="12"/>
          <w:rFonts w:hint="eastAsia" w:asciiTheme="minorEastAsia" w:hAnsiTheme="minorEastAsia" w:eastAsiaTheme="minorEastAsia" w:cstheme="minorEastAsia"/>
          <w:b/>
          <w:bCs/>
          <w:i w:val="0"/>
          <w:iCs w:val="0"/>
          <w:caps w:val="0"/>
          <w:color w:val="333333"/>
          <w:spacing w:val="0"/>
          <w:sz w:val="24"/>
          <w:szCs w:val="24"/>
          <w:shd w:val="clear" w:fill="FFFFFF"/>
        </w:rPr>
      </w:pPr>
    </w:p>
    <w:p>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一、项目概况</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1.项目名称：</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贵州普定农村商业银行股份有限公司2026年新媒体运营维护服务</w:t>
      </w:r>
    </w:p>
    <w:p>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555"/>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项目预算</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highlight w:val="none"/>
          <w:shd w:val="clear" w:fill="FFFFFF"/>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rPr>
        <w:t>万元</w:t>
      </w:r>
    </w:p>
    <w:p>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二、</w:t>
      </w:r>
      <w:r>
        <w:rPr>
          <w:rStyle w:val="12"/>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竞选人</w:t>
      </w:r>
      <w:r>
        <w:rPr>
          <w:rStyle w:val="12"/>
          <w:rFonts w:hint="eastAsia" w:asciiTheme="minorEastAsia" w:hAnsiTheme="minorEastAsia" w:eastAsiaTheme="minorEastAsia" w:cstheme="minorEastAsia"/>
          <w:b/>
          <w:bCs/>
          <w:i w:val="0"/>
          <w:iCs w:val="0"/>
          <w:caps w:val="0"/>
          <w:color w:val="333333"/>
          <w:spacing w:val="0"/>
          <w:sz w:val="24"/>
          <w:szCs w:val="24"/>
          <w:shd w:val="clear" w:fill="FFFFFF"/>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1.在中华人民共和国境内依法设立、持合法有效的营业执照，能够独立承担民事责任的企业法人。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2.具有依法缴纳税收的良好记录：提供相关证明材料或承诺书；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3.参加活动前3年内在经营活动中没有重大违法记录的书面声明：提供书面声明函；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4.竞选人应具备应具备承担经营范围的资格条件、能力和信誉。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5.未被“信用中国”网站（www.creditchina.gov.cn）中列入失信被执行人和/或重大税收违法案件当事人名单的供应商、未被中国政府采购网（www.ccgp.gov.cn）列入政府采购严重违法失信行为记录名单。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6.竞选机构不得与贵州普定农村商业银行股份有限公司具有法律上的利害关系会影响委托工作进行的，不得存在3年内因违规执业被行政处罚或者行业处分的情形，且不得进入国家信息系统公示的失信人名单。</w:t>
      </w:r>
    </w:p>
    <w:p>
      <w:pPr>
        <w:pStyle w:val="7"/>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240" w:leftChars="0" w:right="0" w:rightChars="0" w:firstLine="241" w:firstLineChars="100"/>
        <w:textAlignment w:val="baseline"/>
        <w:rPr>
          <w:rFonts w:hint="eastAsia" w:asciiTheme="minorEastAsia" w:hAnsiTheme="minorEastAsia" w:eastAsiaTheme="minorEastAsia" w:cstheme="minorEastAsia"/>
          <w:i w:val="0"/>
          <w:iCs w:val="0"/>
          <w:caps w:val="0"/>
          <w:color w:val="333333"/>
          <w:spacing w:val="0"/>
          <w:sz w:val="24"/>
          <w:szCs w:val="24"/>
          <w:shd w:val="clear" w:fill="FFFFFF"/>
        </w:rPr>
      </w:pPr>
      <w:r>
        <w:rPr>
          <w:rStyle w:val="12"/>
          <w:rFonts w:hint="eastAsia" w:asciiTheme="minorEastAsia" w:hAnsiTheme="minorEastAsia" w:eastAsiaTheme="minorEastAsia" w:cstheme="minorEastAsia"/>
          <w:b/>
          <w:bCs/>
          <w:i w:val="0"/>
          <w:iCs w:val="0"/>
          <w:caps w:val="0"/>
          <w:color w:val="000000"/>
          <w:spacing w:val="0"/>
          <w:sz w:val="24"/>
          <w:szCs w:val="24"/>
          <w:shd w:val="clear" w:fill="FFFFFF"/>
          <w:lang w:eastAsia="zh-CN"/>
        </w:rPr>
        <w:t>报名时，</w:t>
      </w:r>
      <w:r>
        <w:rPr>
          <w:rStyle w:val="12"/>
          <w:rFonts w:hint="eastAsia" w:asciiTheme="minorEastAsia" w:hAnsiTheme="minorEastAsia" w:eastAsiaTheme="minorEastAsia" w:cstheme="minorEastAsia"/>
          <w:b/>
          <w:bCs/>
          <w:i w:val="0"/>
          <w:iCs w:val="0"/>
          <w:caps w:val="0"/>
          <w:color w:val="000000"/>
          <w:spacing w:val="0"/>
          <w:sz w:val="24"/>
          <w:szCs w:val="24"/>
          <w:shd w:val="clear" w:fill="FFFFFF"/>
        </w:rPr>
        <w:t>须提供以上资料复印件加盖公章一套</w:t>
      </w:r>
      <w:r>
        <w:rPr>
          <w:rStyle w:val="12"/>
          <w:rFonts w:hint="eastAsia" w:asciiTheme="minorEastAsia" w:hAnsiTheme="minorEastAsia" w:eastAsiaTheme="minorEastAsia" w:cstheme="minorEastAsia"/>
          <w:b/>
          <w:bCs/>
          <w:i w:val="0"/>
          <w:iCs w:val="0"/>
          <w:caps w:val="0"/>
          <w:color w:val="000000"/>
          <w:spacing w:val="0"/>
          <w:sz w:val="24"/>
          <w:szCs w:val="24"/>
          <w:shd w:val="clear" w:fill="FFFFFF"/>
          <w:lang w:eastAsia="zh-CN"/>
        </w:rPr>
        <w:t>，不提供或提供不齐全不予报名</w:t>
      </w:r>
      <w:r>
        <w:rPr>
          <w:rStyle w:val="12"/>
          <w:rFonts w:hint="eastAsia" w:asciiTheme="minorEastAsia" w:hAnsiTheme="minorEastAsia" w:eastAsiaTheme="minorEastAsia" w:cstheme="minorEastAsia"/>
          <w:b/>
          <w:bCs/>
          <w:i w:val="0"/>
          <w:iCs w:val="0"/>
          <w:caps w:val="0"/>
          <w:color w:val="000000"/>
          <w:spacing w:val="0"/>
          <w:sz w:val="24"/>
          <w:szCs w:val="24"/>
          <w:shd w:val="clear" w:fill="FFFFFF"/>
        </w:rPr>
        <w:t>。</w:t>
      </w:r>
    </w:p>
    <w:p>
      <w:pPr>
        <w:pStyle w:val="7"/>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2" w:firstLineChars="200"/>
        <w:jc w:val="left"/>
        <w:textAlignment w:val="baseline"/>
        <w:rPr>
          <w:rFonts w:hint="eastAsia" w:asciiTheme="minorEastAsia" w:hAnsiTheme="minorEastAsia" w:eastAsiaTheme="minorEastAsia" w:cstheme="minorEastAsia"/>
          <w:b/>
          <w:bCs/>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三、</w:t>
      </w:r>
      <w:r>
        <w:rPr>
          <w:rFonts w:hint="eastAsia" w:asciiTheme="minorEastAsia" w:hAnsiTheme="minorEastAsia" w:eastAsiaTheme="minorEastAsia" w:cstheme="minorEastAsia"/>
          <w:b/>
          <w:bCs/>
          <w:i w:val="0"/>
          <w:iCs w:val="0"/>
          <w:caps w:val="0"/>
          <w:color w:val="333333"/>
          <w:spacing w:val="0"/>
          <w:sz w:val="24"/>
          <w:szCs w:val="24"/>
          <w:shd w:val="clear" w:fill="FFFFFF"/>
        </w:rPr>
        <w:t>获取</w:t>
      </w:r>
      <w:r>
        <w:rPr>
          <w:rStyle w:val="12"/>
          <w:rFonts w:hint="eastAsia" w:asciiTheme="minorEastAsia" w:hAnsiTheme="minorEastAsia" w:eastAsiaTheme="minorEastAsia" w:cstheme="minorEastAsia"/>
          <w:b/>
          <w:bCs/>
          <w:i w:val="0"/>
          <w:iCs w:val="0"/>
          <w:caps w:val="0"/>
          <w:color w:val="000000"/>
          <w:spacing w:val="0"/>
          <w:sz w:val="24"/>
          <w:szCs w:val="24"/>
          <w:shd w:val="clear" w:fill="FFFFFF"/>
          <w:lang w:val="en-US" w:eastAsia="zh-CN"/>
        </w:rPr>
        <w:t>磋商</w:t>
      </w:r>
      <w:r>
        <w:rPr>
          <w:rFonts w:hint="eastAsia" w:asciiTheme="minorEastAsia" w:hAnsiTheme="minorEastAsia" w:eastAsiaTheme="minorEastAsia" w:cstheme="minorEastAsia"/>
          <w:b/>
          <w:bCs/>
          <w:i w:val="0"/>
          <w:iCs w:val="0"/>
          <w:caps w:val="0"/>
          <w:color w:val="333333"/>
          <w:spacing w:val="0"/>
          <w:sz w:val="24"/>
          <w:szCs w:val="24"/>
          <w:shd w:val="clear" w:fill="FFFFFF"/>
        </w:rPr>
        <w:t>文件信息:</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磋商文件获取方式：贵州普定农村商业银行股份有限公司官方网站</w:t>
      </w:r>
    </w:p>
    <w:p>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四、响应文件的递交</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1.响应文件递交的截止时间：2026年4月1日17:00</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2.开标时间：2026年4月2日15 : 00</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3.开标地点：贵州普定农村商业银行股份有限公司6楼602会议室；</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【逾期送达的、未送达指定地点的或者不按照磋商文件要求密封的响应文件，将予以拒收。】</w:t>
      </w:r>
    </w:p>
    <w:p>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五、联系方式</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采购单位：贵州普定农村商业银行股份有限公司</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地    址：普定县穿洞街道中心大道（新县委大楼旁）</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联 系 人：龙先生</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default"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电    话：18685396556</w:t>
      </w: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pStyle w:val="2"/>
        <w:keepNext w:val="0"/>
        <w:keepLines w:val="0"/>
        <w:pageBreakBefore w:val="0"/>
        <w:widowControl w:val="0"/>
        <w:kinsoku/>
        <w:wordWrap/>
        <w:overflowPunct/>
        <w:topLinePunct w:val="0"/>
        <w:bidi w:val="0"/>
        <w:rPr>
          <w:rFonts w:hint="eastAsia" w:ascii="宋体" w:hAnsi="宋体" w:eastAsia="宋体" w:cs="宋体"/>
          <w:b/>
          <w:sz w:val="36"/>
          <w:lang w:val="en-US" w:eastAsia="zh-CN"/>
        </w:rPr>
      </w:pPr>
    </w:p>
    <w:p>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r>
        <w:rPr>
          <w:rFonts w:hint="eastAsia" w:ascii="宋体" w:hAnsi="宋体" w:eastAsia="宋体" w:cs="宋体"/>
          <w:b/>
          <w:sz w:val="36"/>
          <w:lang w:val="en-US" w:eastAsia="zh-CN"/>
        </w:rPr>
        <w:t xml:space="preserve">第二章  </w:t>
      </w:r>
      <w:r>
        <w:rPr>
          <w:rFonts w:hint="eastAsia" w:ascii="宋体" w:hAnsi="宋体" w:cs="宋体"/>
          <w:b/>
          <w:sz w:val="36"/>
          <w:lang w:val="en-US" w:eastAsia="zh-CN"/>
        </w:rPr>
        <w:t>磋商</w:t>
      </w:r>
      <w:r>
        <w:rPr>
          <w:rFonts w:hint="eastAsia" w:ascii="宋体" w:hAnsi="宋体" w:eastAsia="宋体" w:cs="宋体"/>
          <w:b/>
          <w:sz w:val="36"/>
        </w:rPr>
        <w:t>须知</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562" w:firstLineChars="200"/>
        <w:jc w:val="both"/>
        <w:outlineLvl w:val="0"/>
        <w:rPr>
          <w:rFonts w:hint="eastAsia" w:ascii="宋体" w:hAnsi="宋体" w:eastAsia="宋体" w:cs="宋体"/>
          <w:b/>
          <w:sz w:val="28"/>
          <w:szCs w:val="21"/>
        </w:rPr>
      </w:pPr>
      <w:r>
        <w:rPr>
          <w:rFonts w:hint="eastAsia" w:ascii="宋体" w:hAnsi="宋体" w:eastAsia="宋体" w:cs="宋体"/>
          <w:b/>
          <w:sz w:val="28"/>
          <w:szCs w:val="21"/>
          <w:lang w:val="en-US" w:eastAsia="zh-CN"/>
        </w:rPr>
        <w:t>一、项目</w:t>
      </w:r>
      <w:r>
        <w:rPr>
          <w:rFonts w:hint="eastAsia" w:ascii="宋体" w:hAnsi="宋体" w:eastAsia="宋体" w:cs="宋体"/>
          <w:b/>
          <w:sz w:val="28"/>
          <w:szCs w:val="21"/>
        </w:rPr>
        <w:t>内容及要求</w:t>
      </w:r>
    </w:p>
    <w:p>
      <w:pPr>
        <w:pStyle w:val="7"/>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1、项目名称：贵州普定农村商业银行股份有限公司2026年新媒体运营维护服务</w:t>
      </w:r>
    </w:p>
    <w:p>
      <w:pPr>
        <w:pStyle w:val="7"/>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2、项目预算：10万元</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562" w:firstLineChars="200"/>
        <w:jc w:val="both"/>
        <w:outlineLvl w:val="0"/>
        <w:rPr>
          <w:rFonts w:hint="eastAsia" w:ascii="宋体" w:hAnsi="宋体" w:eastAsia="宋体" w:cs="宋体"/>
          <w:b/>
          <w:sz w:val="28"/>
          <w:szCs w:val="21"/>
          <w:lang w:val="en-US" w:eastAsia="zh-CN"/>
        </w:rPr>
      </w:pPr>
      <w:r>
        <w:rPr>
          <w:rFonts w:hint="eastAsia" w:ascii="宋体" w:hAnsi="宋体" w:eastAsia="宋体" w:cs="宋体"/>
          <w:b/>
          <w:sz w:val="28"/>
          <w:szCs w:val="21"/>
          <w:lang w:val="en-US" w:eastAsia="zh-CN"/>
        </w:rPr>
        <w:t>二、服务范围及工作要求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bookmarkStart w:id="0" w:name="_Toc257724565"/>
      <w:bookmarkStart w:id="1" w:name="_Toc138581182"/>
      <w:bookmarkStart w:id="2" w:name="_Toc132254106"/>
      <w:bookmarkStart w:id="3" w:name="_Toc132254458"/>
      <w:bookmarkStart w:id="4" w:name="_Toc132253940"/>
      <w:bookmarkStart w:id="5" w:name="_Toc140467269"/>
      <w:bookmarkStart w:id="6" w:name="_Toc134953364"/>
      <w:bookmarkStart w:id="7" w:name="_Toc138581101"/>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服务范围</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账号基础运营</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负责抖音视频号账号日常维护，包括账号定位优化、头像/简介/背景图更新、蓝V认证及年审、功能模块配置。</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每日监测账号数据，处理评论、私信、@提及等用户互动，及时响应咨询、投诉，维护账号口碑。</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账号安全管理，定期排查风险，防范违规内容、恶意评论及账号安全隐患。</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内容策划与制作</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结合银行品牌定位、金融产品（存款、贷款、理财、普惠金融等）、节日节点、行业热点，制定月度/季度内容规划。</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原创短视频拍摄与制作，涵盖口播、剧情、科普、访谈、活动纪实等形式，含脚本撰写、拍摄、剪辑、配音、字幕、封面设计。</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海报、图文、短视频封面等配套视觉物料设计，适配抖音、视频号传播规范。</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热点内容快速响应，结合政策、节日、社会热点产出应景内容，提升传播效率。</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推广与流量运营</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制定短视频投放策略，包括DOU+投放、信息流推广、达人合作等，精准触达目标客群。</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账号矩阵联动、异业合作推广，拓展传播渠道，提升账号曝光量、粉丝量、互动量。</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话题运营，打造银行专属话题，引导用户参与，提升话题热度与品牌影响力。</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活动策划与执行</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配合银行营销活动，策划线上新媒体活动（如抽奖、打卡、挑战赛、直播福利等），制定活动方案、执行细则。</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直播运营，包括直播策划、脚本、场景布置、主播配合、直播执行、互动引导、数据复盘。</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活动全流程跟进，确保活动合规、高效落地，达成引流、获客、转化目标。</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数据监测与复盘</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每日/每周/每月出具数据报告，涵盖播放量、点赞、评论、转发、粉丝增长、转化率、投放效果等。</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数据分析与复盘，优化内容方向、运营策略、推广方式，提升运营效率。</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定期提交运营总结报告，提出改进建议，配合银行调整运营方向。</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合规与风控</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严格遵守金融监管政策、广告法及平台规则，所有内容发布前经银行审核通过。</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杜绝虚假宣传、违规承诺、敏感信息泄露，确保内容合规、安全、正向。</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建立内容审核机制，多层级把关，防范合规风险。</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ascii="宋体" w:hAnsi="宋体" w:eastAsia="宋体" w:cs="宋体"/>
          <w:sz w:val="24"/>
          <w:szCs w:val="24"/>
        </w:rPr>
        <w:t>工作要求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资质要求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具备独立法人资格，持有合法营业执照，经营范围含新媒体运营、广告设计、影视制作等相关业务。</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拥有金融行业（银行、保险、证券）新媒体运营成功案例，提供近2年相关业绩证明。</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团队配置完整，含策划、编剧、拍摄、剪辑、运营、设计等专职人员，人员稳定。</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无违法违规记录，信誉良好，未被列入失信被执行人名单。</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服务质量要求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内容质量：短视频画质清晰、剪辑流畅、文案专业易懂，符合银行品牌调性，兼具专业性与传播性。</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响应时效：日常咨询24小时内响应，紧急需求</w:t>
      </w:r>
      <w:r>
        <w:rPr>
          <w:rFonts w:hint="eastAsia" w:ascii="宋体" w:hAnsi="宋体" w:eastAsia="宋体" w:cs="宋体"/>
          <w:sz w:val="24"/>
          <w:szCs w:val="24"/>
          <w:lang w:val="en-US" w:eastAsia="zh-CN"/>
        </w:rPr>
        <w:t>2</w:t>
      </w:r>
      <w:r>
        <w:rPr>
          <w:rFonts w:ascii="宋体" w:hAnsi="宋体" w:eastAsia="宋体" w:cs="宋体"/>
          <w:sz w:val="24"/>
          <w:szCs w:val="24"/>
        </w:rPr>
        <w:t>小时内响应，内容修改按约定时效完成。</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原创要求：所有内容为原创，无版权纠纷，不抄袭、不搬运，确保知识产权合规。</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合规要求：严格执行金融宣传合规要求，不夸大收益、不误导用户，所有内容经银行审核后方可发布。</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交付成果要求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按月</w:t>
      </w:r>
      <w:r>
        <w:rPr>
          <w:rFonts w:ascii="宋体" w:hAnsi="宋体" w:eastAsia="宋体" w:cs="宋体"/>
          <w:sz w:val="24"/>
          <w:szCs w:val="24"/>
        </w:rPr>
        <w:t>提交内容计划表、拍摄脚本、成品视频、物料设计稿、数据报告、运营总结</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活动结束后3个工作日内提交活动复盘报告，含数据、效果、问题、改进建议</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按银行要求及时交付所有源文件、素材、账号操作权限等资料。</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4.成效要求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（1）提升视频质量和宣传效应，年末粉丝增长不得低于0.8万人。</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（2）全年拍摄宣传视频不得低于50条，50条视频播放量不得低于100万次。</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保密要求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对银行客户信息、业务数据、未公开政策、运营策略等严格保密，不得泄露给第三方。</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合作终止后，删除所有涉密资料，不得留存、使用或传播。</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其他要求</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配合银行开展各类营销活动、品牌宣传，服从银行统筹安排。</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定期与银行对接沟通，汇报运营进展，听取意见并及时调整。</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left="239" w:leftChars="114" w:firstLine="240" w:firstLineChars="100"/>
        <w:jc w:val="both"/>
        <w:textAlignment w:val="baseline"/>
        <w:outlineLvl w:val="0"/>
        <w:rPr>
          <w:rFonts w:hint="eastAsia" w:ascii="宋体" w:hAnsi="宋体" w:cs="宋体"/>
          <w:b/>
          <w:sz w:val="28"/>
          <w:szCs w:val="21"/>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遵守银行各项管理制度，维护银行品牌形象。</w:t>
      </w:r>
    </w:p>
    <w:p>
      <w:pPr>
        <w:keepNext w:val="0"/>
        <w:keepLines w:val="0"/>
        <w:pageBreakBefore w:val="0"/>
        <w:widowControl w:val="0"/>
        <w:numPr>
          <w:ilvl w:val="0"/>
          <w:numId w:val="0"/>
        </w:numPr>
        <w:tabs>
          <w:tab w:val="left" w:pos="1426"/>
          <w:tab w:val="center" w:pos="4882"/>
        </w:tabs>
        <w:kinsoku/>
        <w:wordWrap/>
        <w:overflowPunct/>
        <w:topLinePunct w:val="0"/>
        <w:autoSpaceDE/>
        <w:autoSpaceDN/>
        <w:bidi w:val="0"/>
        <w:adjustRightInd/>
        <w:snapToGrid/>
        <w:spacing w:line="560" w:lineRule="exact"/>
        <w:ind w:firstLine="562" w:firstLineChars="200"/>
        <w:jc w:val="both"/>
        <w:outlineLvl w:val="0"/>
        <w:rPr>
          <w:rFonts w:hint="eastAsia" w:asciiTheme="minorEastAsia" w:hAnsiTheme="minorEastAsia" w:eastAsiaTheme="minorEastAsia" w:cstheme="minorEastAsia"/>
          <w:sz w:val="24"/>
          <w:szCs w:val="24"/>
        </w:rPr>
      </w:pPr>
      <w:r>
        <w:rPr>
          <w:rFonts w:hint="eastAsia" w:ascii="宋体" w:hAnsi="宋体" w:cs="宋体"/>
          <w:b/>
          <w:sz w:val="28"/>
          <w:szCs w:val="21"/>
          <w:lang w:val="en-US" w:eastAsia="zh-CN"/>
        </w:rPr>
        <w:t>三、磋商</w:t>
      </w:r>
      <w:r>
        <w:rPr>
          <w:rFonts w:hint="eastAsia" w:ascii="宋体" w:hAnsi="宋体" w:eastAsia="宋体" w:cs="宋体"/>
          <w:b/>
          <w:sz w:val="28"/>
          <w:szCs w:val="21"/>
          <w:lang w:val="en-US" w:eastAsia="zh-CN"/>
        </w:rPr>
        <w:t>文件（编制要求）</w:t>
      </w:r>
    </w:p>
    <w:p>
      <w:pPr>
        <w:pStyle w:val="15"/>
        <w:keepNext w:val="0"/>
        <w:keepLines w:val="0"/>
        <w:pageBreakBefore w:val="0"/>
        <w:widowControl w:val="0"/>
        <w:numPr>
          <w:ilvl w:val="0"/>
          <w:numId w:val="0"/>
        </w:numPr>
        <w:tabs>
          <w:tab w:val="left" w:pos="630"/>
          <w:tab w:val="clear" w:pos="420"/>
        </w:tabs>
        <w:kinsoku/>
        <w:wordWrap/>
        <w:overflowPunct/>
        <w:topLinePunct w:val="0"/>
        <w:autoSpaceDE/>
        <w:autoSpaceDN/>
        <w:bidi w:val="0"/>
        <w:adjustRightInd/>
        <w:snapToGrid/>
        <w:spacing w:line="560" w:lineRule="exact"/>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1.磋商</w:t>
      </w:r>
      <w:r>
        <w:rPr>
          <w:rFonts w:hint="eastAsia" w:asciiTheme="minorEastAsia" w:hAnsiTheme="minorEastAsia" w:eastAsiaTheme="minorEastAsia" w:cstheme="minorEastAsia"/>
          <w:sz w:val="24"/>
          <w:szCs w:val="24"/>
        </w:rPr>
        <w:t>文件的构成</w:t>
      </w:r>
      <w:bookmarkEnd w:id="0"/>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报价表</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 营业执照正副本复印件</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 法定代表人身份证明原件及身份证复印件</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授权委托书原件及受托人的身份证复印件，载明联系人、联系电话、通信地址</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 参与服务的人员名单、资格证书复印件</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 服务机构关于与</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w:t>
      </w:r>
      <w:r>
        <w:rPr>
          <w:rFonts w:hint="eastAsia" w:asciiTheme="minorEastAsia" w:hAnsiTheme="minorEastAsia" w:eastAsiaTheme="minorEastAsia" w:cstheme="minorEastAsia"/>
          <w:sz w:val="24"/>
          <w:szCs w:val="24"/>
          <w:lang w:val="en-US" w:eastAsia="zh-CN"/>
        </w:rPr>
        <w:t>无法律上的利害关系声明、3年内未因违规执业被行政处罚或者行业处分的声明</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1.7 </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“信用中国”、中国政府采购网（www.ccgp.gov.cn）查询截图</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1.8 服务方案，包括但不限于机构基本情况介绍、服务标准、服务流程、服务团队、服务保障、服务案例以及成效承诺函</w:t>
      </w:r>
    </w:p>
    <w:bookmarkEnd w:id="1"/>
    <w:bookmarkEnd w:id="2"/>
    <w:bookmarkEnd w:id="3"/>
    <w:bookmarkEnd w:id="4"/>
    <w:bookmarkEnd w:id="5"/>
    <w:bookmarkEnd w:id="6"/>
    <w:bookmarkEnd w:id="7"/>
    <w:p>
      <w:pPr>
        <w:pStyle w:val="15"/>
        <w:keepNext w:val="0"/>
        <w:keepLines w:val="0"/>
        <w:pageBreakBefore w:val="0"/>
        <w:widowControl w:val="0"/>
        <w:numPr>
          <w:ilvl w:val="0"/>
          <w:numId w:val="0"/>
        </w:numPr>
        <w:tabs>
          <w:tab w:val="left" w:pos="630"/>
          <w:tab w:val="clear" w:pos="420"/>
        </w:tabs>
        <w:kinsoku/>
        <w:wordWrap/>
        <w:overflowPunct/>
        <w:topLinePunct w:val="0"/>
        <w:autoSpaceDE/>
        <w:autoSpaceDN/>
        <w:bidi w:val="0"/>
        <w:adjustRightInd/>
        <w:snapToGrid/>
        <w:spacing w:line="560" w:lineRule="exact"/>
        <w:ind w:leftChars="0" w:firstLine="482" w:firstLineChars="200"/>
        <w:rPr>
          <w:rFonts w:hint="eastAsia" w:asciiTheme="minorEastAsia" w:hAnsiTheme="minorEastAsia" w:eastAsiaTheme="minorEastAsia" w:cstheme="minorEastAsia"/>
          <w:sz w:val="24"/>
          <w:szCs w:val="24"/>
          <w:lang w:val="en-US" w:eastAsia="zh-CN"/>
        </w:rPr>
      </w:pPr>
      <w:bookmarkStart w:id="8" w:name="_Toc134953365"/>
      <w:bookmarkStart w:id="9" w:name="_Toc132253941"/>
      <w:bookmarkStart w:id="10" w:name="_Toc140467270"/>
      <w:bookmarkStart w:id="11" w:name="_Toc138581183"/>
      <w:bookmarkStart w:id="12" w:name="_Toc138581102"/>
      <w:bookmarkStart w:id="13" w:name="_Toc132254107"/>
      <w:bookmarkStart w:id="14" w:name="_Toc132254459"/>
      <w:bookmarkStart w:id="15" w:name="_Toc257724566"/>
      <w:bookmarkStart w:id="16" w:name="_Toc211218925"/>
      <w:r>
        <w:rPr>
          <w:rFonts w:hint="eastAsia" w:asciiTheme="minorEastAsia" w:hAnsiTheme="minorEastAsia" w:eastAsiaTheme="minorEastAsia" w:cstheme="minorEastAsia"/>
          <w:sz w:val="24"/>
          <w:szCs w:val="24"/>
          <w:lang w:val="en-US" w:eastAsia="zh-CN"/>
        </w:rPr>
        <w:t>2.装订、密封、递交要求</w:t>
      </w:r>
    </w:p>
    <w:p>
      <w:pPr>
        <w:pStyle w:val="15"/>
        <w:keepNext w:val="0"/>
        <w:keepLines w:val="0"/>
        <w:pageBreakBefore w:val="0"/>
        <w:widowControl w:val="0"/>
        <w:numPr>
          <w:ilvl w:val="0"/>
          <w:numId w:val="0"/>
        </w:numPr>
        <w:tabs>
          <w:tab w:val="left" w:pos="630"/>
          <w:tab w:val="clear" w:pos="42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2.1 响应文件一式贰份，其中正本一份，副本一份，</w:t>
      </w:r>
      <w:r>
        <w:rPr>
          <w:rFonts w:hint="eastAsia" w:asciiTheme="minorEastAsia" w:hAnsiTheme="minorEastAsia" w:eastAsiaTheme="minorEastAsia" w:cstheme="minorEastAsia"/>
          <w:b w:val="0"/>
          <w:kern w:val="2"/>
          <w:sz w:val="24"/>
          <w:szCs w:val="24"/>
          <w:lang w:val="zh-CN" w:eastAsia="zh-CN" w:bidi="ar-SA"/>
        </w:rPr>
        <w:t>均应标明：项目名称、竞选人名称、年 月 日。</w:t>
      </w:r>
      <w:r>
        <w:rPr>
          <w:rFonts w:hint="eastAsia" w:asciiTheme="minorEastAsia" w:hAnsiTheme="minorEastAsia" w:eastAsiaTheme="minorEastAsia" w:cstheme="minorEastAsia"/>
          <w:b w:val="0"/>
          <w:kern w:val="2"/>
          <w:sz w:val="24"/>
          <w:szCs w:val="24"/>
          <w:lang w:val="en-US" w:eastAsia="zh-CN" w:bidi="ar-SA"/>
        </w:rPr>
        <w:t>所有外层密封袋的封口处应粘贴牢固，每一封口处均应贴密封条，并加盖公章。装订成册。外封套至少标明：竞选人名称、地址、及项目名称，并加盖公章。</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2.2 磋商</w:t>
      </w:r>
      <w:r>
        <w:rPr>
          <w:rFonts w:hint="eastAsia" w:asciiTheme="minorEastAsia" w:hAnsiTheme="minorEastAsia" w:eastAsiaTheme="minorEastAsia" w:cstheme="minorEastAsia"/>
          <w:sz w:val="24"/>
          <w:szCs w:val="24"/>
          <w:highlight w:val="none"/>
        </w:rPr>
        <w:t>文件必须加盖</w:t>
      </w:r>
      <w:r>
        <w:rPr>
          <w:rFonts w:hint="eastAsia" w:asciiTheme="minorEastAsia" w:hAnsiTheme="minorEastAsia" w:eastAsiaTheme="minorEastAsia" w:cstheme="minorEastAsia"/>
          <w:sz w:val="24"/>
          <w:szCs w:val="24"/>
          <w:highlight w:val="none"/>
          <w:lang w:eastAsia="zh-CN"/>
        </w:rPr>
        <w:t>竞选</w:t>
      </w:r>
      <w:r>
        <w:rPr>
          <w:rFonts w:hint="eastAsia" w:asciiTheme="minorEastAsia" w:hAnsiTheme="minorEastAsia" w:eastAsiaTheme="minorEastAsia" w:cstheme="minorEastAsia"/>
          <w:sz w:val="24"/>
          <w:szCs w:val="24"/>
          <w:highlight w:val="none"/>
        </w:rPr>
        <w:t>人公章和全权代表签字。</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 磋商单位未按上述规定提交，其将被拒收，并原封退还给竞选单位。</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 正、副本不一致时，以正本为准。</w:t>
      </w:r>
    </w:p>
    <w:p>
      <w:pPr>
        <w:pStyle w:val="16"/>
        <w:keepNext w:val="0"/>
        <w:keepLines w:val="0"/>
        <w:pageBreakBefore w:val="0"/>
        <w:widowControl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2.5 递交截止时间</w:t>
      </w:r>
      <w:r>
        <w:rPr>
          <w:rFonts w:hint="eastAsia" w:asciiTheme="minorEastAsia" w:hAnsiTheme="minorEastAsia" w:eastAsiaTheme="minorEastAsia" w:cstheme="minorEastAsia"/>
          <w:i w:val="0"/>
          <w:iCs w:val="0"/>
          <w:caps w:val="0"/>
          <w:color w:val="auto"/>
          <w:spacing w:val="0"/>
          <w:sz w:val="24"/>
          <w:szCs w:val="24"/>
          <w:highlight w:val="none"/>
          <w:shd w:val="clear" w:fill="FFFFFF"/>
        </w:rPr>
        <w:t>202</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年</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fill="FFFFFF"/>
        </w:rPr>
        <w:t>月</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17</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00</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bookmarkEnd w:id="8"/>
    <w:bookmarkEnd w:id="9"/>
    <w:bookmarkEnd w:id="10"/>
    <w:bookmarkEnd w:id="11"/>
    <w:bookmarkEnd w:id="12"/>
    <w:bookmarkEnd w:id="13"/>
    <w:bookmarkEnd w:id="14"/>
    <w:bookmarkEnd w:id="15"/>
    <w:bookmarkEnd w:id="16"/>
    <w:p>
      <w:pPr>
        <w:pStyle w:val="17"/>
        <w:keepNext w:val="0"/>
        <w:keepLines w:val="0"/>
        <w:pageBreakBefore w:val="0"/>
        <w:widowControl w:val="0"/>
        <w:kinsoku/>
        <w:wordWrap/>
        <w:overflowPunct/>
        <w:topLinePunct w:val="0"/>
        <w:bidi w:val="0"/>
        <w:spacing w:beforeLines="0" w:afterLines="0" w:line="360" w:lineRule="exact"/>
        <w:jc w:val="center"/>
      </w:pPr>
      <w:bookmarkStart w:id="17" w:name="_Toc132253942"/>
      <w:bookmarkStart w:id="18" w:name="_Toc140467271"/>
      <w:bookmarkStart w:id="19" w:name="_Toc257724568"/>
      <w:bookmarkStart w:id="20" w:name="_Toc211218926"/>
      <w:bookmarkStart w:id="21" w:name="_Toc138581103"/>
      <w:bookmarkStart w:id="22" w:name="_Toc132254108"/>
      <w:bookmarkStart w:id="23" w:name="_Toc138581184"/>
      <w:bookmarkStart w:id="24" w:name="_Toc132254460"/>
      <w:bookmarkStart w:id="25" w:name="_Toc134953366"/>
      <w:bookmarkStart w:id="38" w:name="_GoBack"/>
      <w:bookmarkEnd w:id="38"/>
      <w:r>
        <w:rPr>
          <w:rFonts w:hint="eastAsia" w:asciiTheme="minorEastAsia" w:hAnsiTheme="minorEastAsia" w:eastAsiaTheme="minorEastAsia" w:cstheme="minorEastAsia"/>
          <w:sz w:val="24"/>
          <w:szCs w:val="24"/>
        </w:rPr>
        <w:br w:type="page"/>
      </w:r>
      <w:bookmarkEnd w:id="17"/>
      <w:bookmarkEnd w:id="18"/>
      <w:bookmarkEnd w:id="19"/>
      <w:bookmarkEnd w:id="20"/>
      <w:bookmarkEnd w:id="21"/>
      <w:bookmarkEnd w:id="22"/>
      <w:bookmarkEnd w:id="23"/>
      <w:bookmarkEnd w:id="24"/>
      <w:bookmarkEnd w:id="25"/>
      <w:bookmarkStart w:id="26" w:name="_Toc385992353"/>
      <w:bookmarkStart w:id="27" w:name="_Toc389620192"/>
      <w:bookmarkStart w:id="28" w:name="_Toc132253951"/>
      <w:bookmarkStart w:id="29" w:name="_Toc132254117"/>
      <w:bookmarkStart w:id="30" w:name="_Toc138581112"/>
      <w:bookmarkStart w:id="31" w:name="_Toc140467280"/>
      <w:bookmarkStart w:id="32" w:name="_Toc138581193"/>
      <w:bookmarkStart w:id="33" w:name="_Toc134953375"/>
      <w:bookmarkStart w:id="34" w:name="_Toc132254469"/>
      <w:bookmarkStart w:id="35" w:name="_Toc182068833"/>
      <w:bookmarkStart w:id="36" w:name="_Toc173680909"/>
      <w:r>
        <w:rPr>
          <w:rFonts w:hint="eastAsia" w:ascii="宋体" w:hAnsi="宋体" w:eastAsia="宋体" w:cs="宋体"/>
          <w:b/>
          <w:kern w:val="2"/>
          <w:sz w:val="36"/>
          <w:szCs w:val="24"/>
          <w:lang w:val="en-US" w:eastAsia="zh-CN" w:bidi="ar-SA"/>
        </w:rPr>
        <w:t>第三章 评审工作程序</w:t>
      </w:r>
    </w:p>
    <w:bookmarkEnd w:id="26"/>
    <w:bookmarkEnd w:id="27"/>
    <w:p>
      <w:pPr>
        <w:pStyle w:val="15"/>
        <w:keepNext w:val="0"/>
        <w:keepLines w:val="0"/>
        <w:pageBreakBefore w:val="0"/>
        <w:widowControl w:val="0"/>
        <w:numPr>
          <w:ilvl w:val="0"/>
          <w:numId w:val="0"/>
        </w:numPr>
        <w:tabs>
          <w:tab w:val="clear" w:pos="420"/>
        </w:tabs>
        <w:kinsoku/>
        <w:wordWrap/>
        <w:overflowPunct/>
        <w:topLinePunct w:val="0"/>
        <w:bidi w:val="0"/>
        <w:spacing w:line="440" w:lineRule="exact"/>
        <w:rPr>
          <w:rFonts w:hint="eastAsia" w:asciiTheme="minorEastAsia" w:hAnsiTheme="minorEastAsia" w:eastAsiaTheme="minorEastAsia" w:cstheme="minorEastAsia"/>
          <w:b w:val="0"/>
          <w:bCs w:val="0"/>
          <w:kern w:val="2"/>
          <w:sz w:val="24"/>
          <w:szCs w:val="24"/>
          <w:lang w:val="en-US" w:eastAsia="zh-CN" w:bidi="ar-SA"/>
        </w:rPr>
      </w:pPr>
    </w:p>
    <w:p>
      <w:pPr>
        <w:pStyle w:val="15"/>
        <w:keepNext w:val="0"/>
        <w:keepLines w:val="0"/>
        <w:pageBreakBefore w:val="0"/>
        <w:widowControl w:val="0"/>
        <w:numPr>
          <w:ilvl w:val="0"/>
          <w:numId w:val="0"/>
        </w:numPr>
        <w:tabs>
          <w:tab w:val="clear" w:pos="420"/>
        </w:tabs>
        <w:kinsoku/>
        <w:wordWrap/>
        <w:overflowPunct/>
        <w:topLinePunct w:val="0"/>
        <w:bidi w:val="0"/>
        <w:spacing w:line="44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1.磋商程序</w:t>
      </w:r>
    </w:p>
    <w:p>
      <w:pPr>
        <w:pStyle w:val="16"/>
        <w:keepNext w:val="0"/>
        <w:keepLines w:val="0"/>
        <w:pageBreakBefore w:val="0"/>
        <w:widowControl w:val="0"/>
        <w:numPr>
          <w:ilvl w:val="0"/>
          <w:numId w:val="0"/>
        </w:numPr>
        <w:tabs>
          <w:tab w:val="left" w:pos="842"/>
          <w:tab w:val="clear" w:pos="700"/>
        </w:tabs>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1.1 竞选人全权代表向磋商小组递交响应文件</w:t>
      </w:r>
    </w:p>
    <w:p>
      <w:pPr>
        <w:pStyle w:val="16"/>
        <w:keepNext w:val="0"/>
        <w:keepLines w:val="0"/>
        <w:pageBreakBefore w:val="0"/>
        <w:widowControl w:val="0"/>
        <w:numPr>
          <w:ilvl w:val="0"/>
          <w:numId w:val="0"/>
        </w:numPr>
        <w:tabs>
          <w:tab w:val="left" w:pos="842"/>
          <w:tab w:val="clear" w:pos="700"/>
        </w:tabs>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1.2 磋商小组审阅响应文件</w:t>
      </w:r>
    </w:p>
    <w:p>
      <w:pPr>
        <w:pStyle w:val="16"/>
        <w:keepNext w:val="0"/>
        <w:keepLines w:val="0"/>
        <w:pageBreakBefore w:val="0"/>
        <w:widowControl w:val="0"/>
        <w:numPr>
          <w:ilvl w:val="0"/>
          <w:numId w:val="0"/>
        </w:numPr>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（1）磋商小组依据磋商文件的规定，对响应文件的有效性、完整性和对磋商文件的响应程度进行审查，</w:t>
      </w:r>
    </w:p>
    <w:p>
      <w:pPr>
        <w:pStyle w:val="16"/>
        <w:keepNext w:val="0"/>
        <w:keepLines w:val="0"/>
        <w:pageBreakBefore w:val="0"/>
        <w:widowControl w:val="0"/>
        <w:numPr>
          <w:ilvl w:val="0"/>
          <w:numId w:val="0"/>
        </w:numPr>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（2）在磋商文件及程序符合法律规定的前提下，未响应磋商文件的竞选将不进入综合评分环节。递交响应文件作出实质响应的竞选人不足3家的，终止磋商，重新组织采购。</w:t>
      </w:r>
    </w:p>
    <w:p>
      <w:pPr>
        <w:pStyle w:val="16"/>
        <w:keepNext w:val="0"/>
        <w:keepLines w:val="0"/>
        <w:pageBreakBefore w:val="0"/>
        <w:widowControl w:val="0"/>
        <w:numPr>
          <w:ilvl w:val="0"/>
          <w:numId w:val="0"/>
        </w:numPr>
        <w:tabs>
          <w:tab w:val="left" w:pos="842"/>
          <w:tab w:val="clear" w:pos="700"/>
        </w:tabs>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1.3 评标：</w:t>
      </w:r>
    </w:p>
    <w:p>
      <w:pPr>
        <w:pStyle w:val="16"/>
        <w:keepNext w:val="0"/>
        <w:keepLines w:val="0"/>
        <w:pageBreakBefore w:val="0"/>
        <w:widowControl w:val="0"/>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由磋商小组采用综合评分法对竞选人的响应文件进行综合评分。</w:t>
      </w:r>
      <w:bookmarkEnd w:id="28"/>
      <w:bookmarkEnd w:id="29"/>
      <w:bookmarkEnd w:id="30"/>
      <w:bookmarkEnd w:id="31"/>
      <w:bookmarkEnd w:id="32"/>
      <w:bookmarkEnd w:id="33"/>
      <w:bookmarkEnd w:id="34"/>
      <w:bookmarkEnd w:id="35"/>
      <w:bookmarkEnd w:id="36"/>
      <w:bookmarkStart w:id="37" w:name="_Toc257724579"/>
    </w:p>
    <w:p>
      <w:pPr>
        <w:pStyle w:val="16"/>
        <w:keepNext w:val="0"/>
        <w:keepLines w:val="0"/>
        <w:pageBreakBefore w:val="0"/>
        <w:widowControl w:val="0"/>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2.评审原则和评审方法</w:t>
      </w:r>
    </w:p>
    <w:p>
      <w:pPr>
        <w:pStyle w:val="16"/>
        <w:keepNext w:val="0"/>
        <w:keepLines w:val="0"/>
        <w:pageBreakBefore w:val="0"/>
        <w:widowControl w:val="0"/>
        <w:numPr>
          <w:ilvl w:val="0"/>
          <w:numId w:val="0"/>
        </w:numPr>
        <w:tabs>
          <w:tab w:val="left" w:pos="842"/>
          <w:tab w:val="clear" w:pos="700"/>
        </w:tabs>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2.1 评审原则</w:t>
      </w:r>
    </w:p>
    <w:p>
      <w:pPr>
        <w:pStyle w:val="16"/>
        <w:keepNext w:val="0"/>
        <w:keepLines w:val="0"/>
        <w:pageBreakBefore w:val="0"/>
        <w:widowControl w:val="0"/>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pPr>
        <w:pStyle w:val="16"/>
        <w:keepNext w:val="0"/>
        <w:keepLines w:val="0"/>
        <w:pageBreakBefore w:val="0"/>
        <w:widowControl w:val="0"/>
        <w:numPr>
          <w:ilvl w:val="0"/>
          <w:numId w:val="0"/>
        </w:numPr>
        <w:tabs>
          <w:tab w:val="left" w:pos="842"/>
          <w:tab w:val="clear" w:pos="700"/>
        </w:tabs>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2.2.评分标准 </w:t>
      </w:r>
    </w:p>
    <w:p>
      <w:pPr>
        <w:pStyle w:val="16"/>
        <w:keepNext w:val="0"/>
        <w:keepLines w:val="0"/>
        <w:pageBreakBefore w:val="0"/>
        <w:widowControl w:val="0"/>
        <w:kinsoku/>
        <w:wordWrap/>
        <w:overflowPunct/>
        <w:topLinePunct w:val="0"/>
        <w:bidi w:val="0"/>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根据有关规定，磋商小组成员按照客观、公正、谨慎的原则，根据磋商文件规定的评审程序、评审方法和评审标准进行独立评审。根据排名先后确定成交候选竞选人。</w:t>
      </w: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bookmarkEnd w:id="37"/>
    <w:p>
      <w:pPr>
        <w:pStyle w:val="16"/>
        <w:keepNext w:val="0"/>
        <w:keepLines w:val="0"/>
        <w:pageBreakBefore w:val="0"/>
        <w:widowControl w:val="0"/>
        <w:kinsoku/>
        <w:wordWrap/>
        <w:overflowPunct/>
        <w:topLinePunct w:val="0"/>
        <w:bidi w:val="0"/>
        <w:spacing w:line="440" w:lineRule="exact"/>
        <w:rPr>
          <w:rFonts w:hint="eastAsia" w:asciiTheme="minorEastAsia" w:hAnsiTheme="minorEastAsia" w:eastAsiaTheme="minorEastAsia" w:cstheme="minorEastAsia"/>
          <w:b w:val="0"/>
          <w:kern w:val="2"/>
          <w:sz w:val="24"/>
          <w:szCs w:val="24"/>
          <w:lang w:val="en-US" w:eastAsia="zh-CN" w:bidi="ar-SA"/>
        </w:rPr>
      </w:pPr>
    </w:p>
    <w:p>
      <w:pPr>
        <w:pStyle w:val="16"/>
        <w:keepNext w:val="0"/>
        <w:keepLines w:val="0"/>
        <w:pageBreakBefore w:val="0"/>
        <w:widowControl w:val="0"/>
        <w:kinsoku/>
        <w:wordWrap/>
        <w:overflowPunct/>
        <w:topLinePunct w:val="0"/>
        <w:bidi w:val="0"/>
        <w:spacing w:line="440" w:lineRule="exact"/>
        <w:rPr>
          <w:rFonts w:hint="eastAsia" w:asciiTheme="minorEastAsia" w:hAnsiTheme="minorEastAsia" w:eastAsiaTheme="minorEastAsia" w:cstheme="minorEastAsia"/>
          <w:b w:val="0"/>
          <w:kern w:val="2"/>
          <w:sz w:val="24"/>
          <w:szCs w:val="24"/>
          <w:lang w:val="en-US" w:eastAsia="zh-CN" w:bidi="ar-SA"/>
        </w:rPr>
      </w:pPr>
    </w:p>
    <w:tbl>
      <w:tblPr>
        <w:tblStyle w:val="9"/>
        <w:tblW w:w="10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774"/>
        <w:gridCol w:w="5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21" w:type="dxa"/>
            <w:gridSpan w:val="2"/>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评分项</w:t>
            </w:r>
          </w:p>
        </w:tc>
        <w:tc>
          <w:tcPr>
            <w:tcW w:w="5891" w:type="dxa"/>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评审标准</w:t>
            </w:r>
          </w:p>
        </w:tc>
        <w:tc>
          <w:tcPr>
            <w:tcW w:w="1276" w:type="dxa"/>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报价得分（20分）</w:t>
            </w:r>
          </w:p>
        </w:tc>
        <w:tc>
          <w:tcPr>
            <w:tcW w:w="1774"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报价得分</w:t>
            </w:r>
          </w:p>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（20分）</w:t>
            </w:r>
          </w:p>
        </w:tc>
        <w:tc>
          <w:tcPr>
            <w:tcW w:w="5891"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按申请单位所填报“报价表”的报价进行计算，有效单价总计报价的最低价作为评标基准价</w:t>
            </w:r>
          </w:p>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有效竞选人最低竞选报价÷有效竞选人竞选价×20</w:t>
            </w:r>
          </w:p>
        </w:tc>
        <w:tc>
          <w:tcPr>
            <w:tcW w:w="1276"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default" w:asciiTheme="minorEastAsia" w:hAnsiTheme="minorEastAsia" w:eastAsiaTheme="minorEastAsia" w:cstheme="minorEastAsia"/>
                <w:b w:val="0"/>
                <w:kern w:val="2"/>
                <w:sz w:val="24"/>
                <w:szCs w:val="24"/>
                <w:lang w:val="en-US" w:eastAsia="zh-CN" w:bidi="ar-SA"/>
              </w:rPr>
              <w:t>0-</w:t>
            </w:r>
            <w:r>
              <w:rPr>
                <w:rFonts w:hint="eastAsia" w:asciiTheme="minorEastAsia" w:hAnsiTheme="minorEastAsia" w:eastAsiaTheme="minorEastAsia" w:cstheme="minorEastAsia"/>
                <w:b w:val="0"/>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347"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业绩部分</w:t>
            </w:r>
          </w:p>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(20分)</w:t>
            </w:r>
          </w:p>
        </w:tc>
        <w:tc>
          <w:tcPr>
            <w:tcW w:w="1774"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leftChars="0" w:right="0" w:rightChars="0"/>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相关业绩</w:t>
            </w:r>
          </w:p>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（20分）</w:t>
            </w:r>
          </w:p>
        </w:tc>
        <w:tc>
          <w:tcPr>
            <w:tcW w:w="5891"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竞选机构自2022年以来为同业或者其他单位提供新媒体运营维护服务的得5分，本项最高得分20分。须提供合同或协议关键页扫描件佐证，未提供证明材料的不得分。</w:t>
            </w:r>
          </w:p>
        </w:tc>
        <w:tc>
          <w:tcPr>
            <w:tcW w:w="1276"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default" w:asciiTheme="minorEastAsia" w:hAnsiTheme="minorEastAsia" w:eastAsiaTheme="minorEastAsia" w:cstheme="minorEastAsia"/>
                <w:b w:val="0"/>
                <w:kern w:val="2"/>
                <w:sz w:val="24"/>
                <w:szCs w:val="24"/>
                <w:lang w:val="en-US" w:eastAsia="zh-CN" w:bidi="ar-SA"/>
              </w:rPr>
              <w:t>0-</w:t>
            </w:r>
            <w:r>
              <w:rPr>
                <w:rFonts w:hint="eastAsia" w:asciiTheme="minorEastAsia" w:hAnsiTheme="minorEastAsia" w:eastAsiaTheme="minorEastAsia" w:cstheme="minorEastAsia"/>
                <w:b w:val="0"/>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347"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人员配置（20分）</w:t>
            </w:r>
          </w:p>
        </w:tc>
        <w:tc>
          <w:tcPr>
            <w:tcW w:w="1774"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人员配置（20分）</w:t>
            </w:r>
          </w:p>
        </w:tc>
        <w:tc>
          <w:tcPr>
            <w:tcW w:w="5891"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both"/>
              <w:textAlignment w:val="auto"/>
              <w:rPr>
                <w:rFonts w:hint="eastAsia" w:eastAsia="宋体" w:asciiTheme="minorEastAsia" w:hAnsiTheme="minorEastAsia" w:cstheme="minorEastAsia"/>
                <w:b w:val="0"/>
                <w:kern w:val="2"/>
                <w:sz w:val="24"/>
                <w:szCs w:val="24"/>
                <w:lang w:val="en-US" w:eastAsia="zh-CN" w:bidi="ar-SA"/>
              </w:rPr>
            </w:pPr>
            <w:r>
              <w:rPr>
                <w:rFonts w:ascii="宋体" w:hAnsi="宋体" w:eastAsia="宋体" w:cs="宋体"/>
                <w:sz w:val="24"/>
                <w:szCs w:val="24"/>
              </w:rPr>
              <w:t>1.核心团队配置（8分）：配备策划、拍摄、剪辑、运营、设计专职人员，团队完整且稳定，得8分；缺岗或兼职酌情扣分。</w:t>
            </w:r>
            <w:r>
              <w:rPr>
                <w:rFonts w:ascii="宋体" w:hAnsi="宋体" w:eastAsia="宋体" w:cs="宋体"/>
                <w:sz w:val="24"/>
                <w:szCs w:val="24"/>
              </w:rPr>
              <w:br w:type="textWrapping"/>
            </w:r>
            <w:r>
              <w:rPr>
                <w:rFonts w:ascii="宋体" w:hAnsi="宋体" w:eastAsia="宋体" w:cs="宋体"/>
                <w:sz w:val="24"/>
                <w:szCs w:val="24"/>
              </w:rPr>
              <w:t>2.人员专业资质（7分）：核心人员有新媒体运营、影视制作、金融相关从业经验或资质证书，每人得2分，最高7分。</w:t>
            </w:r>
            <w:r>
              <w:rPr>
                <w:rFonts w:ascii="宋体" w:hAnsi="宋体" w:eastAsia="宋体" w:cs="宋体"/>
                <w:sz w:val="24"/>
                <w:szCs w:val="24"/>
              </w:rPr>
              <w:br w:type="textWrapping"/>
            </w:r>
            <w:r>
              <w:rPr>
                <w:rFonts w:ascii="宋体" w:hAnsi="宋体" w:eastAsia="宋体" w:cs="宋体"/>
                <w:sz w:val="24"/>
                <w:szCs w:val="24"/>
              </w:rPr>
              <w:t>3.本地服务能力（5分）：团队能提供本地化驻场或快速响应服务，得5分；无本地服务能力酌情扣分。</w:t>
            </w:r>
          </w:p>
        </w:tc>
        <w:tc>
          <w:tcPr>
            <w:tcW w:w="1276"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47"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服务方案（40分）</w:t>
            </w:r>
          </w:p>
        </w:tc>
        <w:tc>
          <w:tcPr>
            <w:tcW w:w="1774"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服务方案（40分）</w:t>
            </w:r>
          </w:p>
        </w:tc>
        <w:tc>
          <w:tcPr>
            <w:tcW w:w="5891"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ascii="宋体" w:hAnsi="宋体" w:eastAsia="宋体" w:cs="宋体"/>
                <w:sz w:val="24"/>
                <w:szCs w:val="24"/>
              </w:rPr>
              <w:t>1.整体运营思路（</w:t>
            </w:r>
            <w:r>
              <w:rPr>
                <w:rFonts w:hint="eastAsia" w:ascii="宋体" w:hAnsi="宋体" w:eastAsia="宋体" w:cs="宋体"/>
                <w:sz w:val="24"/>
                <w:szCs w:val="24"/>
                <w:lang w:val="en-US" w:eastAsia="zh-CN"/>
              </w:rPr>
              <w:t>10</w:t>
            </w:r>
            <w:r>
              <w:rPr>
                <w:rFonts w:ascii="宋体" w:hAnsi="宋体" w:eastAsia="宋体" w:cs="宋体"/>
                <w:sz w:val="24"/>
                <w:szCs w:val="24"/>
              </w:rPr>
              <w:t>分）：方案贴合银行品牌定位，思路清晰、策略明确，符合金融合规要求，得</w:t>
            </w:r>
            <w:r>
              <w:rPr>
                <w:rFonts w:hint="eastAsia" w:ascii="宋体" w:hAnsi="宋体" w:eastAsia="宋体" w:cs="宋体"/>
                <w:sz w:val="24"/>
                <w:szCs w:val="24"/>
                <w:lang w:val="en-US" w:eastAsia="zh-CN"/>
              </w:rPr>
              <w:t>10</w:t>
            </w:r>
            <w:r>
              <w:rPr>
                <w:rFonts w:ascii="宋体" w:hAnsi="宋体" w:eastAsia="宋体" w:cs="宋体"/>
                <w:sz w:val="24"/>
                <w:szCs w:val="24"/>
              </w:rPr>
              <w:t>分；思路模糊酌情扣分。</w:t>
            </w:r>
            <w:r>
              <w:rPr>
                <w:rFonts w:ascii="宋体" w:hAnsi="宋体" w:eastAsia="宋体" w:cs="宋体"/>
                <w:sz w:val="24"/>
                <w:szCs w:val="24"/>
              </w:rPr>
              <w:br w:type="textWrapping"/>
            </w:r>
            <w:r>
              <w:rPr>
                <w:rFonts w:ascii="宋体" w:hAnsi="宋体" w:eastAsia="宋体" w:cs="宋体"/>
                <w:sz w:val="24"/>
                <w:szCs w:val="24"/>
              </w:rPr>
              <w:t>2.内容策划能力（10分）：内容规划涵盖科普、业务、活动等多类型，原创性强、传播性优，得10分；内容单一、缺乏创意酌情扣分。</w:t>
            </w:r>
            <w:r>
              <w:rPr>
                <w:rFonts w:ascii="宋体" w:hAnsi="宋体" w:eastAsia="宋体" w:cs="宋体"/>
                <w:sz w:val="24"/>
                <w:szCs w:val="24"/>
              </w:rPr>
              <w:br w:type="textWrapping"/>
            </w:r>
            <w:r>
              <w:rPr>
                <w:rFonts w:ascii="宋体" w:hAnsi="宋体" w:eastAsia="宋体" w:cs="宋体"/>
                <w:sz w:val="24"/>
                <w:szCs w:val="24"/>
              </w:rPr>
              <w:t>3.活动与</w:t>
            </w:r>
            <w:r>
              <w:rPr>
                <w:rFonts w:hint="eastAsia" w:ascii="宋体" w:hAnsi="宋体" w:eastAsia="宋体" w:cs="宋体"/>
                <w:sz w:val="24"/>
                <w:szCs w:val="24"/>
                <w:lang w:val="en-US" w:eastAsia="zh-CN"/>
              </w:rPr>
              <w:t>运维</w:t>
            </w:r>
            <w:r>
              <w:rPr>
                <w:rFonts w:ascii="宋体" w:hAnsi="宋体" w:eastAsia="宋体" w:cs="宋体"/>
                <w:sz w:val="24"/>
                <w:szCs w:val="24"/>
              </w:rPr>
              <w:t>方案（8分）：活动</w:t>
            </w:r>
            <w:r>
              <w:rPr>
                <w:rFonts w:hint="eastAsia" w:ascii="宋体" w:hAnsi="宋体" w:eastAsia="宋体" w:cs="宋体"/>
                <w:sz w:val="24"/>
                <w:szCs w:val="24"/>
                <w:lang w:val="en-US" w:eastAsia="zh-CN"/>
              </w:rPr>
              <w:t>或运维</w:t>
            </w:r>
            <w:r>
              <w:rPr>
                <w:rFonts w:ascii="宋体" w:hAnsi="宋体" w:eastAsia="宋体" w:cs="宋体"/>
                <w:sz w:val="24"/>
                <w:szCs w:val="24"/>
              </w:rPr>
              <w:t>策划具体可行，能实现引流转化，得8分；方案空洞、无落地性酌情扣分。</w:t>
            </w:r>
            <w:r>
              <w:rPr>
                <w:rFonts w:ascii="宋体" w:hAnsi="宋体" w:eastAsia="宋体" w:cs="宋体"/>
                <w:sz w:val="24"/>
                <w:szCs w:val="24"/>
              </w:rPr>
              <w:br w:type="textWrapping"/>
            </w:r>
            <w:r>
              <w:rPr>
                <w:rFonts w:ascii="宋体" w:hAnsi="宋体" w:eastAsia="宋体" w:cs="宋体"/>
                <w:sz w:val="24"/>
                <w:szCs w:val="24"/>
              </w:rPr>
              <w:t>4.数据复盘与优化（7分）：数据监测体系完善，复盘逻辑清晰，优化措施具体，得7分；无复盘机制此项不得分。</w:t>
            </w:r>
            <w:r>
              <w:rPr>
                <w:rFonts w:ascii="宋体" w:hAnsi="宋体" w:eastAsia="宋体" w:cs="宋体"/>
                <w:sz w:val="24"/>
                <w:szCs w:val="24"/>
              </w:rPr>
              <w:br w:type="textWrapping"/>
            </w:r>
            <w:r>
              <w:rPr>
                <w:rFonts w:ascii="宋体" w:hAnsi="宋体" w:eastAsia="宋体" w:cs="宋体"/>
                <w:sz w:val="24"/>
                <w:szCs w:val="24"/>
              </w:rPr>
              <w:t>5.合规风控措施（5分）：建立多层级内容审核机制，合规风险防控措施到位，得5分；无合规方案此项不得分。</w:t>
            </w:r>
          </w:p>
        </w:tc>
        <w:tc>
          <w:tcPr>
            <w:tcW w:w="1276" w:type="dxa"/>
            <w:vAlign w:val="center"/>
          </w:tcPr>
          <w:p>
            <w:pPr>
              <w:keepNext w:val="0"/>
              <w:keepLines w:val="0"/>
              <w:pageBreakBefore w:val="0"/>
              <w:widowControl w:val="0"/>
              <w:suppressLineNumbers w:val="0"/>
              <w:tabs>
                <w:tab w:val="left" w:pos="630"/>
                <w:tab w:val="right" w:leader="dot" w:pos="8302"/>
              </w:tabs>
              <w:kinsoku/>
              <w:wordWrap/>
              <w:overflowPunct/>
              <w:topLinePunct w:val="0"/>
              <w:bidi w:val="0"/>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0-40</w:t>
            </w:r>
          </w:p>
        </w:tc>
      </w:tr>
    </w:tbl>
    <w:p>
      <w:pPr>
        <w:keepNext w:val="0"/>
        <w:keepLines w:val="0"/>
        <w:pageBreakBefore w:val="0"/>
        <w:widowControl w:val="0"/>
        <w:tabs>
          <w:tab w:val="left" w:pos="1426"/>
          <w:tab w:val="center" w:pos="4882"/>
        </w:tabs>
        <w:kinsoku/>
        <w:wordWrap/>
        <w:overflowPunct/>
        <w:topLinePunct w:val="0"/>
        <w:bidi w:val="0"/>
        <w:spacing w:line="360" w:lineRule="auto"/>
        <w:jc w:val="center"/>
        <w:outlineLvl w:val="0"/>
        <w:rPr>
          <w:rFonts w:hint="eastAsia" w:asciiTheme="minorEastAsia" w:hAnsiTheme="minorEastAsia" w:eastAsiaTheme="minorEastAsia" w:cstheme="minorEastAsia"/>
          <w:b w:val="0"/>
          <w:kern w:val="2"/>
          <w:sz w:val="24"/>
          <w:szCs w:val="24"/>
          <w:lang w:val="en-US" w:eastAsia="zh-CN" w:bidi="ar-SA"/>
        </w:rPr>
      </w:pPr>
    </w:p>
    <w:p>
      <w:pPr>
        <w:keepNext w:val="0"/>
        <w:keepLines w:val="0"/>
        <w:pageBreakBefore w:val="0"/>
        <w:widowControl w:val="0"/>
        <w:tabs>
          <w:tab w:val="left" w:pos="1426"/>
          <w:tab w:val="center" w:pos="4882"/>
        </w:tabs>
        <w:kinsoku/>
        <w:wordWrap/>
        <w:overflowPunct/>
        <w:topLinePunct w:val="0"/>
        <w:bidi w:val="0"/>
        <w:spacing w:line="360" w:lineRule="auto"/>
        <w:jc w:val="center"/>
        <w:outlineLvl w:val="0"/>
        <w:rPr>
          <w:rFonts w:hint="eastAsia" w:ascii="宋体" w:hAnsi="宋体" w:eastAsia="宋体" w:cs="宋体"/>
          <w:b/>
          <w:kern w:val="2"/>
          <w:sz w:val="36"/>
          <w:szCs w:val="24"/>
          <w:lang w:val="en-US" w:eastAsia="zh-CN" w:bidi="ar-SA"/>
        </w:rPr>
      </w:pPr>
    </w:p>
    <w:p>
      <w:pPr>
        <w:keepNext w:val="0"/>
        <w:keepLines w:val="0"/>
        <w:pageBreakBefore w:val="0"/>
        <w:widowControl w:val="0"/>
        <w:kinsoku/>
        <w:wordWrap/>
        <w:overflowPunct/>
        <w:topLinePunct w:val="0"/>
        <w:bidi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br w:type="page"/>
      </w:r>
    </w:p>
    <w:p>
      <w:pPr>
        <w:keepNext w:val="0"/>
        <w:keepLines w:val="0"/>
        <w:pageBreakBefore w:val="0"/>
        <w:widowControl w:val="0"/>
        <w:tabs>
          <w:tab w:val="left" w:pos="1426"/>
          <w:tab w:val="center" w:pos="4882"/>
        </w:tabs>
        <w:kinsoku/>
        <w:wordWrap/>
        <w:overflowPunct/>
        <w:topLinePunct w:val="0"/>
        <w:bidi w:val="0"/>
        <w:spacing w:line="360" w:lineRule="auto"/>
        <w:jc w:val="center"/>
        <w:outlineLvl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t>第</w:t>
      </w:r>
      <w:r>
        <w:rPr>
          <w:rFonts w:hint="eastAsia" w:ascii="宋体" w:hAnsi="宋体" w:cs="宋体"/>
          <w:b/>
          <w:kern w:val="2"/>
          <w:sz w:val="36"/>
          <w:szCs w:val="24"/>
          <w:lang w:val="en-US" w:eastAsia="zh-CN" w:bidi="ar-SA"/>
        </w:rPr>
        <w:t>四</w:t>
      </w:r>
      <w:r>
        <w:rPr>
          <w:rFonts w:hint="eastAsia" w:ascii="宋体" w:hAnsi="宋体" w:eastAsia="宋体" w:cs="宋体"/>
          <w:b/>
          <w:kern w:val="2"/>
          <w:sz w:val="36"/>
          <w:szCs w:val="24"/>
          <w:lang w:val="en-US" w:eastAsia="zh-CN" w:bidi="ar-SA"/>
        </w:rPr>
        <w:t xml:space="preserve">章  </w:t>
      </w:r>
      <w:r>
        <w:rPr>
          <w:rFonts w:hint="eastAsia" w:ascii="宋体" w:hAnsi="宋体" w:cs="宋体"/>
          <w:b/>
          <w:kern w:val="2"/>
          <w:sz w:val="36"/>
          <w:szCs w:val="24"/>
          <w:lang w:val="en-US" w:eastAsia="zh-CN" w:bidi="ar-SA"/>
        </w:rPr>
        <w:t>竞选</w:t>
      </w:r>
      <w:r>
        <w:rPr>
          <w:rFonts w:hint="eastAsia" w:ascii="宋体" w:hAnsi="宋体" w:eastAsia="宋体" w:cs="宋体"/>
          <w:b/>
          <w:kern w:val="2"/>
          <w:sz w:val="36"/>
          <w:szCs w:val="24"/>
          <w:lang w:val="en-US" w:eastAsia="zh-CN" w:bidi="ar-SA"/>
        </w:rPr>
        <w:t>文件格式</w:t>
      </w:r>
    </w:p>
    <w:p>
      <w:pPr>
        <w:pStyle w:val="6"/>
        <w:keepNext w:val="0"/>
        <w:keepLines w:val="0"/>
        <w:pageBreakBefore w:val="0"/>
        <w:widowControl w:val="0"/>
        <w:kinsoku/>
        <w:wordWrap/>
        <w:overflowPunct/>
        <w:topLinePunct w:val="0"/>
        <w:bidi w:val="0"/>
        <w:spacing w:beforeLines="100"/>
        <w:jc w:val="center"/>
        <w:rPr>
          <w:rFonts w:ascii="宋体"/>
          <w:sz w:val="24"/>
        </w:rPr>
      </w:pPr>
      <w:r>
        <w:rPr>
          <w:rFonts w:hint="eastAsia"/>
          <w:b/>
          <w:sz w:val="28"/>
          <w:szCs w:val="28"/>
        </w:rPr>
        <w:t>一、</w:t>
      </w:r>
      <w:r>
        <w:rPr>
          <w:rFonts w:hint="eastAsia"/>
          <w:b/>
          <w:sz w:val="28"/>
          <w:szCs w:val="22"/>
        </w:rPr>
        <w:t>法定代表人授权委托书</w:t>
      </w:r>
    </w:p>
    <w:p>
      <w:pPr>
        <w:keepNext w:val="0"/>
        <w:keepLines w:val="0"/>
        <w:pageBreakBefore w:val="0"/>
        <w:widowControl w:val="0"/>
        <w:kinsoku/>
        <w:wordWrap/>
        <w:overflowPunct/>
        <w:topLinePunct w:val="0"/>
        <w:bidi w:val="0"/>
        <w:spacing w:line="480" w:lineRule="exact"/>
        <w:rPr>
          <w:rFonts w:ascii="宋体"/>
        </w:rPr>
      </w:pPr>
      <w:r>
        <w:rPr>
          <w:rFonts w:hint="eastAsia" w:ascii="宋体" w:hAnsi="宋体"/>
          <w:lang w:eastAsia="zh-CN"/>
        </w:rPr>
        <w:t>贵州普定农村商业银行股份有限公司</w:t>
      </w:r>
      <w:r>
        <w:rPr>
          <w:rFonts w:hint="eastAsia" w:ascii="宋体" w:hAnsi="宋体"/>
        </w:rPr>
        <w:t>：</w:t>
      </w:r>
    </w:p>
    <w:p>
      <w:pPr>
        <w:keepNext w:val="0"/>
        <w:keepLines w:val="0"/>
        <w:pageBreakBefore w:val="0"/>
        <w:widowControl w:val="0"/>
        <w:kinsoku/>
        <w:wordWrap/>
        <w:overflowPunct/>
        <w:topLinePunct w:val="0"/>
        <w:bidi w:val="0"/>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pPr>
        <w:keepNext w:val="0"/>
        <w:keepLines w:val="0"/>
        <w:pageBreakBefore w:val="0"/>
        <w:widowControl w:val="0"/>
        <w:kinsoku/>
        <w:wordWrap/>
        <w:overflowPunct/>
        <w:topLinePunct w:val="0"/>
        <w:bidi w:val="0"/>
        <w:spacing w:line="440" w:lineRule="exact"/>
        <w:rPr>
          <w:rFonts w:ascii="宋体"/>
        </w:rPr>
      </w:pPr>
      <w:r>
        <w:rPr>
          <w:rFonts w:ascii="宋体" w:hAnsi="宋体"/>
        </w:rPr>
        <w:t xml:space="preserve">    </w:t>
      </w:r>
      <w:r>
        <w:rPr>
          <w:rFonts w:hint="eastAsia" w:ascii="宋体" w:hAnsi="宋体"/>
        </w:rPr>
        <w:t>被授权人无转委托权，特此委托。</w:t>
      </w:r>
    </w:p>
    <w:p>
      <w:pPr>
        <w:keepNext w:val="0"/>
        <w:keepLines w:val="0"/>
        <w:pageBreakBefore w:val="0"/>
        <w:widowControl w:val="0"/>
        <w:kinsoku/>
        <w:wordWrap/>
        <w:overflowPunct/>
        <w:topLinePunct w:val="0"/>
        <w:bidi w:val="0"/>
        <w:spacing w:line="440" w:lineRule="exact"/>
        <w:rPr>
          <w:rFonts w:ascii="宋体"/>
        </w:rPr>
      </w:pPr>
    </w:p>
    <w:p>
      <w:pPr>
        <w:keepNext w:val="0"/>
        <w:keepLines w:val="0"/>
        <w:pageBreakBefore w:val="0"/>
        <w:widowControl w:val="0"/>
        <w:kinsoku/>
        <w:wordWrap/>
        <w:overflowPunct/>
        <w:topLinePunct w:val="0"/>
        <w:bidi w:val="0"/>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pPr>
        <w:keepNext w:val="0"/>
        <w:keepLines w:val="0"/>
        <w:pageBreakBefore w:val="0"/>
        <w:widowControl w:val="0"/>
        <w:kinsoku/>
        <w:wordWrap/>
        <w:overflowPunct/>
        <w:topLinePunct w:val="0"/>
        <w:bidi w:val="0"/>
        <w:spacing w:line="440" w:lineRule="exact"/>
        <w:rPr>
          <w:rFonts w:ascii="宋体"/>
        </w:rPr>
      </w:pPr>
    </w:p>
    <w:p>
      <w:pPr>
        <w:keepNext w:val="0"/>
        <w:keepLines w:val="0"/>
        <w:pageBreakBefore w:val="0"/>
        <w:widowControl w:val="0"/>
        <w:kinsoku/>
        <w:wordWrap/>
        <w:overflowPunct/>
        <w:topLinePunct w:val="0"/>
        <w:bidi w:val="0"/>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pPr>
        <w:keepNext w:val="0"/>
        <w:keepLines w:val="0"/>
        <w:pageBreakBefore w:val="0"/>
        <w:widowControl w:val="0"/>
        <w:kinsoku/>
        <w:wordWrap/>
        <w:overflowPunct/>
        <w:topLinePunct w:val="0"/>
        <w:bidi w:val="0"/>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p>
    <w:p>
      <w:pPr>
        <w:keepNext w:val="0"/>
        <w:keepLines w:val="0"/>
        <w:pageBreakBefore w:val="0"/>
        <w:widowControl w:val="0"/>
        <w:kinsoku/>
        <w:wordWrap/>
        <w:overflowPunct/>
        <w:topLinePunct w:val="0"/>
        <w:bidi w:val="0"/>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pPr>
        <w:keepNext w:val="0"/>
        <w:keepLines w:val="0"/>
        <w:pageBreakBefore w:val="0"/>
        <w:widowControl w:val="0"/>
        <w:kinsoku/>
        <w:wordWrap/>
        <w:overflowPunct/>
        <w:topLinePunct w:val="0"/>
        <w:bidi w:val="0"/>
        <w:spacing w:line="440" w:lineRule="exact"/>
        <w:ind w:left="420" w:leftChars="200"/>
        <w:rPr>
          <w:rFonts w:ascii="宋体"/>
        </w:rPr>
      </w:pPr>
    </w:p>
    <w:p>
      <w:pPr>
        <w:keepNext w:val="0"/>
        <w:keepLines w:val="0"/>
        <w:pageBreakBefore w:val="0"/>
        <w:widowControl w:val="0"/>
        <w:kinsoku/>
        <w:wordWrap/>
        <w:overflowPunct/>
        <w:topLinePunct w:val="0"/>
        <w:bidi w:val="0"/>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pPr>
        <w:keepNext w:val="0"/>
        <w:keepLines w:val="0"/>
        <w:pageBreakBefore w:val="0"/>
        <w:widowControl w:val="0"/>
        <w:kinsoku/>
        <w:wordWrap/>
        <w:overflowPunct/>
        <w:topLinePunct w:val="0"/>
        <w:bidi w:val="0"/>
        <w:spacing w:line="440" w:lineRule="exact"/>
        <w:ind w:firstLine="420" w:firstLineChars="200"/>
        <w:rPr>
          <w:rFonts w:ascii="宋体" w:hAnsi="宋体"/>
          <w:u w:val="single"/>
        </w:rPr>
      </w:pPr>
      <w:r>
        <w:rPr>
          <w:rFonts w:hint="eastAsia" w:ascii="宋体" w:hAnsi="宋体"/>
        </w:rPr>
        <w:t>身份证号：</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p>
    <w:tbl>
      <w:tblPr>
        <w:tblStyle w:val="10"/>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pPr>
        <w:keepNext w:val="0"/>
        <w:keepLines w:val="0"/>
        <w:pageBreakBefore w:val="0"/>
        <w:widowControl w:val="0"/>
        <w:kinsoku/>
        <w:wordWrap/>
        <w:overflowPunct/>
        <w:topLinePunct w:val="0"/>
        <w:bidi w:val="0"/>
        <w:spacing w:line="440" w:lineRule="exact"/>
        <w:rPr>
          <w:rFonts w:ascii="宋体"/>
        </w:rPr>
      </w:pPr>
    </w:p>
    <w:p>
      <w:pPr>
        <w:keepNext w:val="0"/>
        <w:keepLines w:val="0"/>
        <w:pageBreakBefore w:val="0"/>
        <w:widowControl w:val="0"/>
        <w:kinsoku/>
        <w:wordWrap/>
        <w:overflowPunct/>
        <w:topLinePunct w:val="0"/>
        <w:bidi w:val="0"/>
        <w:spacing w:beforeLines="100" w:afterLines="100" w:line="300" w:lineRule="exact"/>
        <w:jc w:val="center"/>
        <w:rPr>
          <w:b/>
          <w:sz w:val="32"/>
        </w:rPr>
      </w:pPr>
      <w:r>
        <w:rPr>
          <w:b/>
          <w:sz w:val="24"/>
        </w:rPr>
        <w:br w:type="page"/>
      </w:r>
      <w:r>
        <w:rPr>
          <w:rFonts w:hint="eastAsia"/>
          <w:b/>
          <w:sz w:val="32"/>
          <w:lang w:val="en-US" w:eastAsia="zh-CN"/>
        </w:rPr>
        <w:t>二</w:t>
      </w:r>
      <w:r>
        <w:rPr>
          <w:rFonts w:hint="eastAsia"/>
          <w:b/>
          <w:sz w:val="32"/>
        </w:rPr>
        <w:t>、报价表</w:t>
      </w:r>
    </w:p>
    <w:p>
      <w:pPr>
        <w:keepNext w:val="0"/>
        <w:keepLines w:val="0"/>
        <w:pageBreakBefore w:val="0"/>
        <w:widowControl w:val="0"/>
        <w:kinsoku/>
        <w:wordWrap/>
        <w:overflowPunct/>
        <w:topLinePunct w:val="0"/>
        <w:bidi w:val="0"/>
        <w:snapToGrid w:val="0"/>
        <w:spacing w:before="0" w:beforeAutospacing="0" w:after="0" w:afterAutospacing="0" w:line="400" w:lineRule="exact"/>
        <w:ind w:left="210" w:leftChars="100"/>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竞选人名称</w:t>
      </w:r>
      <w:r>
        <w:rPr>
          <w:rFonts w:ascii="宋体" w:hAnsi="宋体"/>
          <w:b/>
          <w:i w:val="0"/>
          <w:caps w:val="0"/>
          <w:color w:val="auto"/>
          <w:spacing w:val="0"/>
          <w:w w:val="100"/>
          <w:kern w:val="2"/>
          <w:sz w:val="21"/>
          <w:szCs w:val="21"/>
          <w:highlight w:val="none"/>
          <w:lang w:val="en-US" w:eastAsia="zh-CN" w:bidi="ar-SA"/>
        </w:rPr>
        <w:t>：</w:t>
      </w:r>
    </w:p>
    <w:tbl>
      <w:tblPr>
        <w:tblStyle w:val="9"/>
        <w:tblpPr w:leftFromText="180" w:rightFromText="180" w:vertAnchor="text" w:horzAnchor="page" w:tblpXSpec="center" w:tblpY="205"/>
        <w:tblOverlap w:val="never"/>
        <w:tblW w:w="9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4251"/>
        <w:gridCol w:w="2303"/>
        <w:gridCol w:w="2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0"/>
                <w:sz w:val="24"/>
                <w:szCs w:val="24"/>
                <w:highlight w:val="none"/>
                <w:lang w:val="en-US" w:eastAsia="zh-CN" w:bidi="ar-SA"/>
              </w:rPr>
              <w:t>序号</w:t>
            </w:r>
          </w:p>
        </w:tc>
        <w:tc>
          <w:tcPr>
            <w:tcW w:w="4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项目名称</w:t>
            </w: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总报价（元）</w:t>
            </w:r>
          </w:p>
        </w:tc>
        <w:tc>
          <w:tcPr>
            <w:tcW w:w="24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0"/>
                <w:sz w:val="24"/>
                <w:szCs w:val="24"/>
                <w:highlight w:val="none"/>
                <w:lang w:val="en-US" w:eastAsia="zh-CN" w:bidi="ar-SA"/>
              </w:rPr>
            </w:pPr>
            <w:r>
              <w:rPr>
                <w:rFonts w:hint="default" w:ascii="宋体" w:hAnsi="宋体" w:cs="宋体"/>
                <w:b w:val="0"/>
                <w:bCs/>
                <w:i w:val="0"/>
                <w:caps w:val="0"/>
                <w:color w:val="auto"/>
                <w:spacing w:val="0"/>
                <w:w w:val="100"/>
                <w:kern w:val="0"/>
                <w:sz w:val="24"/>
                <w:szCs w:val="24"/>
                <w:highlight w:val="none"/>
                <w:lang w:val="en-US" w:eastAsia="zh-CN" w:bidi="ar-SA"/>
              </w:rPr>
              <w:t>1</w:t>
            </w:r>
          </w:p>
        </w:tc>
        <w:tc>
          <w:tcPr>
            <w:tcW w:w="4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0"/>
                <w:sz w:val="24"/>
                <w:szCs w:val="24"/>
                <w:highlight w:val="none"/>
                <w:lang w:val="en-US" w:eastAsia="zh-CN" w:bidi="ar-SA"/>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2"/>
                <w:sz w:val="24"/>
                <w:szCs w:val="24"/>
                <w:highlight w:val="none"/>
                <w:lang w:val="en-US" w:eastAsia="zh-CN" w:bidi="ar-SA"/>
              </w:rPr>
            </w:pPr>
          </w:p>
        </w:tc>
        <w:tc>
          <w:tcPr>
            <w:tcW w:w="24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96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both"/>
              <w:textAlignment w:val="baseline"/>
              <w:rPr>
                <w:rFonts w:hint="default" w:cs="Times New Roman"/>
                <w:b w:val="0"/>
                <w:bCs/>
                <w:i w:val="0"/>
                <w:caps w:val="0"/>
                <w:color w:val="auto"/>
                <w:spacing w:val="0"/>
                <w:w w:val="100"/>
                <w:kern w:val="2"/>
                <w:sz w:val="24"/>
                <w:szCs w:val="24"/>
                <w:highlight w:val="none"/>
                <w:lang w:val="en-US" w:eastAsia="zh-CN" w:bidi="ar-SA"/>
              </w:rPr>
            </w:pPr>
            <w:r>
              <w:rPr>
                <w:rFonts w:hint="eastAsia" w:cs="Times New Roman"/>
                <w:b w:val="0"/>
                <w:bCs/>
                <w:i w:val="0"/>
                <w:caps w:val="0"/>
                <w:color w:val="auto"/>
                <w:spacing w:val="0"/>
                <w:w w:val="100"/>
                <w:kern w:val="2"/>
                <w:sz w:val="24"/>
                <w:szCs w:val="24"/>
                <w:highlight w:val="none"/>
                <w:lang w:val="en-US" w:eastAsia="zh-CN" w:bidi="ar-SA"/>
              </w:rPr>
              <w:t xml:space="preserve">  </w:t>
            </w:r>
          </w:p>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both"/>
              <w:textAlignment w:val="baseline"/>
              <w:rPr>
                <w:rFonts w:hint="default" w:cs="Times New Roman"/>
                <w:b w:val="0"/>
                <w:bCs/>
                <w:i w:val="0"/>
                <w:caps w:val="0"/>
                <w:color w:val="auto"/>
                <w:spacing w:val="0"/>
                <w:w w:val="100"/>
                <w:kern w:val="2"/>
                <w:sz w:val="24"/>
                <w:szCs w:val="24"/>
                <w:highlight w:val="none"/>
                <w:lang w:val="en-US" w:eastAsia="zh-CN" w:bidi="ar-SA"/>
              </w:rPr>
            </w:pPr>
            <w:r>
              <w:rPr>
                <w:rFonts w:hint="default" w:cs="Times New Roman"/>
                <w:b w:val="0"/>
                <w:bCs/>
                <w:i w:val="0"/>
                <w:caps w:val="0"/>
                <w:color w:val="auto"/>
                <w:spacing w:val="0"/>
                <w:w w:val="100"/>
                <w:kern w:val="2"/>
                <w:sz w:val="24"/>
                <w:szCs w:val="24"/>
                <w:highlight w:val="none"/>
                <w:lang w:val="en-US" w:eastAsia="zh-CN" w:bidi="ar-SA"/>
              </w:rPr>
              <w:t>总报价：（大写）</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r>
              <w:rPr>
                <w:rFonts w:hint="eastAsia" w:cs="Times New Roman"/>
                <w:b w:val="0"/>
                <w:bCs/>
                <w:i w:val="0"/>
                <w:caps w:val="0"/>
                <w:color w:val="auto"/>
                <w:spacing w:val="0"/>
                <w:w w:val="100"/>
                <w:kern w:val="2"/>
                <w:sz w:val="24"/>
                <w:szCs w:val="24"/>
                <w:highlight w:val="none"/>
                <w:u w:val="single" w:color="000000"/>
                <w:lang w:val="en-US" w:eastAsia="zh-CN" w:bidi="ar-SA"/>
              </w:rPr>
              <w:t xml:space="preserve">    </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r>
              <w:rPr>
                <w:rFonts w:hint="default" w:cs="Times New Roman"/>
                <w:b w:val="0"/>
                <w:bCs/>
                <w:i w:val="0"/>
                <w:caps w:val="0"/>
                <w:color w:val="auto"/>
                <w:spacing w:val="0"/>
                <w:w w:val="100"/>
                <w:kern w:val="2"/>
                <w:sz w:val="24"/>
                <w:szCs w:val="24"/>
                <w:highlight w:val="none"/>
                <w:lang w:val="en-US" w:eastAsia="zh-CN" w:bidi="ar-SA"/>
              </w:rPr>
              <w:t xml:space="preserve"> （小写）</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p>
        </w:tc>
      </w:tr>
    </w:tbl>
    <w:p>
      <w:pPr>
        <w:keepNext w:val="0"/>
        <w:keepLines w:val="0"/>
        <w:pageBreakBefore w:val="0"/>
        <w:widowControl w:val="0"/>
        <w:kinsoku/>
        <w:wordWrap/>
        <w:overflowPunct/>
        <w:topLinePunct w:val="0"/>
        <w:bidi w:val="0"/>
        <w:snapToGrid w:val="0"/>
        <w:spacing w:before="240" w:beforeAutospacing="0" w:after="240" w:afterAutospacing="0" w:line="300" w:lineRule="exact"/>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注：1、请</w:t>
      </w:r>
      <w:r>
        <w:rPr>
          <w:rFonts w:hint="eastAsia" w:ascii="宋体" w:hAnsi="宋体"/>
          <w:b/>
          <w:i w:val="0"/>
          <w:caps w:val="0"/>
          <w:color w:val="auto"/>
          <w:spacing w:val="0"/>
          <w:w w:val="100"/>
          <w:kern w:val="2"/>
          <w:sz w:val="22"/>
          <w:szCs w:val="22"/>
          <w:highlight w:val="none"/>
          <w:lang w:val="en-US" w:eastAsia="zh-CN" w:bidi="ar-SA"/>
        </w:rPr>
        <w:t>竞选单位</w:t>
      </w:r>
      <w:r>
        <w:rPr>
          <w:rFonts w:ascii="宋体" w:hAnsi="宋体"/>
          <w:b/>
          <w:i w:val="0"/>
          <w:caps w:val="0"/>
          <w:color w:val="auto"/>
          <w:spacing w:val="0"/>
          <w:w w:val="100"/>
          <w:kern w:val="2"/>
          <w:sz w:val="22"/>
          <w:szCs w:val="22"/>
          <w:highlight w:val="none"/>
          <w:lang w:val="en-US" w:eastAsia="zh-CN" w:bidi="ar-SA"/>
        </w:rPr>
        <w:t>按</w:t>
      </w:r>
      <w:r>
        <w:rPr>
          <w:rFonts w:hint="eastAsia" w:ascii="宋体" w:hAnsi="宋体"/>
          <w:b/>
          <w:i w:val="0"/>
          <w:caps w:val="0"/>
          <w:color w:val="auto"/>
          <w:spacing w:val="0"/>
          <w:w w:val="100"/>
          <w:kern w:val="2"/>
          <w:sz w:val="22"/>
          <w:szCs w:val="22"/>
          <w:highlight w:val="none"/>
          <w:lang w:val="en-US" w:eastAsia="zh-CN" w:bidi="ar-SA"/>
        </w:rPr>
        <w:t>磋商</w:t>
      </w:r>
      <w:r>
        <w:rPr>
          <w:rFonts w:ascii="宋体" w:hAnsi="宋体"/>
          <w:b/>
          <w:i w:val="0"/>
          <w:caps w:val="0"/>
          <w:color w:val="auto"/>
          <w:spacing w:val="0"/>
          <w:w w:val="100"/>
          <w:kern w:val="2"/>
          <w:sz w:val="22"/>
          <w:szCs w:val="22"/>
          <w:highlight w:val="none"/>
          <w:lang w:val="en-US" w:eastAsia="zh-CN" w:bidi="ar-SA"/>
        </w:rPr>
        <w:t>文件中采购要求填写，根据自身具体情况可扩展。</w:t>
      </w:r>
    </w:p>
    <w:p>
      <w:pPr>
        <w:keepNext w:val="0"/>
        <w:keepLines w:val="0"/>
        <w:pageBreakBefore w:val="0"/>
        <w:widowControl w:val="0"/>
        <w:numPr>
          <w:ilvl w:val="0"/>
          <w:numId w:val="2"/>
        </w:numPr>
        <w:kinsoku/>
        <w:wordWrap/>
        <w:overflowPunct/>
        <w:topLinePunct w:val="0"/>
        <w:bidi w:val="0"/>
        <w:snapToGrid w:val="0"/>
        <w:spacing w:before="240" w:beforeAutospacing="0" w:after="240" w:afterAutospacing="0" w:line="300" w:lineRule="exact"/>
        <w:ind w:firstLine="442" w:firstLineChars="200"/>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本表所填报价均应包括其完成</w:t>
      </w:r>
      <w:r>
        <w:rPr>
          <w:rFonts w:hint="eastAsia" w:ascii="宋体" w:hAnsi="宋体"/>
          <w:b/>
          <w:i w:val="0"/>
          <w:caps w:val="0"/>
          <w:color w:val="auto"/>
          <w:spacing w:val="0"/>
          <w:w w:val="100"/>
          <w:kern w:val="2"/>
          <w:sz w:val="22"/>
          <w:szCs w:val="22"/>
          <w:highlight w:val="none"/>
          <w:lang w:val="en-US" w:eastAsia="zh-CN" w:bidi="ar-SA"/>
        </w:rPr>
        <w:t>维修维护及服务的</w:t>
      </w:r>
      <w:r>
        <w:rPr>
          <w:rFonts w:ascii="宋体" w:hAnsi="宋体"/>
          <w:b/>
          <w:i w:val="0"/>
          <w:caps w:val="0"/>
          <w:color w:val="auto"/>
          <w:spacing w:val="0"/>
          <w:w w:val="100"/>
          <w:kern w:val="2"/>
          <w:sz w:val="22"/>
          <w:szCs w:val="22"/>
          <w:highlight w:val="none"/>
          <w:lang w:val="en-US" w:eastAsia="zh-CN" w:bidi="ar-SA"/>
        </w:rPr>
        <w:t>交付期限内所有费用，报价包含</w:t>
      </w:r>
      <w:r>
        <w:rPr>
          <w:rFonts w:hint="eastAsia" w:ascii="宋体" w:hAnsi="宋体"/>
          <w:b/>
          <w:i w:val="0"/>
          <w:caps w:val="0"/>
          <w:color w:val="auto"/>
          <w:spacing w:val="0"/>
          <w:w w:val="100"/>
          <w:kern w:val="2"/>
          <w:sz w:val="22"/>
          <w:szCs w:val="22"/>
          <w:highlight w:val="none"/>
          <w:lang w:val="en-US" w:eastAsia="zh-CN" w:bidi="ar-SA"/>
        </w:rPr>
        <w:t>耗材</w:t>
      </w:r>
      <w:r>
        <w:rPr>
          <w:rFonts w:ascii="宋体" w:hAnsi="宋体"/>
          <w:b/>
          <w:i w:val="0"/>
          <w:caps w:val="0"/>
          <w:color w:val="auto"/>
          <w:spacing w:val="0"/>
          <w:w w:val="100"/>
          <w:kern w:val="2"/>
          <w:sz w:val="22"/>
          <w:szCs w:val="22"/>
          <w:highlight w:val="none"/>
          <w:lang w:val="en-US" w:eastAsia="zh-CN" w:bidi="ar-SA"/>
        </w:rPr>
        <w:t>费</w:t>
      </w:r>
      <w:r>
        <w:rPr>
          <w:rFonts w:hint="eastAsia" w:ascii="宋体" w:hAnsi="宋体"/>
          <w:b/>
          <w:i w:val="0"/>
          <w:caps w:val="0"/>
          <w:color w:val="auto"/>
          <w:spacing w:val="0"/>
          <w:w w:val="100"/>
          <w:kern w:val="2"/>
          <w:sz w:val="22"/>
          <w:szCs w:val="22"/>
          <w:highlight w:val="none"/>
          <w:lang w:val="en-US" w:eastAsia="zh-CN" w:bidi="ar-SA"/>
        </w:rPr>
        <w:t>（不包含设备更换的设备费用）</w:t>
      </w:r>
      <w:r>
        <w:rPr>
          <w:rFonts w:ascii="宋体" w:hAnsi="宋体"/>
          <w:b/>
          <w:i w:val="0"/>
          <w:caps w:val="0"/>
          <w:color w:val="auto"/>
          <w:spacing w:val="0"/>
          <w:w w:val="100"/>
          <w:kern w:val="2"/>
          <w:sz w:val="22"/>
          <w:szCs w:val="22"/>
          <w:highlight w:val="none"/>
          <w:lang w:val="en-US" w:eastAsia="zh-CN" w:bidi="ar-SA"/>
        </w:rPr>
        <w:t>、人员工资、包装、运输、安装、调试、验收、税费、利润等所有费用，业主方不再支付其它费用。</w:t>
      </w:r>
    </w:p>
    <w:p>
      <w:pPr>
        <w:keepNext w:val="0"/>
        <w:keepLines w:val="0"/>
        <w:pageBreakBefore w:val="0"/>
        <w:widowControl w:val="0"/>
        <w:kinsoku/>
        <w:wordWrap/>
        <w:overflowPunct/>
        <w:topLinePunct w:val="0"/>
        <w:bidi w:val="0"/>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w:t>
      </w:r>
      <w:r>
        <w:rPr>
          <w:rFonts w:ascii="宋体" w:hAnsi="宋体"/>
          <w:b/>
          <w:i w:val="0"/>
          <w:caps w:val="0"/>
          <w:color w:val="auto"/>
          <w:spacing w:val="0"/>
          <w:w w:val="100"/>
          <w:kern w:val="2"/>
          <w:sz w:val="21"/>
          <w:szCs w:val="21"/>
          <w:highlight w:val="none"/>
          <w:lang w:val="en-US" w:eastAsia="zh-CN" w:bidi="ar-SA"/>
        </w:rPr>
        <w:t xml:space="preserve">人名称（加盖公章）：  </w:t>
      </w:r>
      <w:r>
        <w:rPr>
          <w:rFonts w:ascii="宋体" w:hAnsi="宋体" w:cs="Times New Roman"/>
          <w:b/>
          <w:bCs/>
          <w:i w:val="0"/>
          <w:caps w:val="0"/>
          <w:color w:val="auto"/>
          <w:spacing w:val="0"/>
          <w:w w:val="100"/>
          <w:kern w:val="2"/>
          <w:sz w:val="21"/>
          <w:szCs w:val="21"/>
          <w:highlight w:val="none"/>
          <w:lang w:val="en-US" w:eastAsia="zh-CN" w:bidi="ar-SA"/>
        </w:rPr>
        <w:t xml:space="preserve">                     </w:t>
      </w:r>
      <w:r>
        <w:rPr>
          <w:rFonts w:ascii="宋体" w:hAnsi="宋体"/>
          <w:b/>
          <w:i w:val="0"/>
          <w:caps w:val="0"/>
          <w:color w:val="auto"/>
          <w:spacing w:val="0"/>
          <w:w w:val="100"/>
          <w:kern w:val="2"/>
          <w:sz w:val="21"/>
          <w:szCs w:val="21"/>
          <w:highlight w:val="none"/>
          <w:lang w:val="en-US" w:eastAsia="zh-CN" w:bidi="ar-SA"/>
        </w:rPr>
        <w:t>法定代表人或其代理人（签字）：</w:t>
      </w:r>
    </w:p>
    <w:p>
      <w:pPr>
        <w:keepNext w:val="0"/>
        <w:keepLines w:val="0"/>
        <w:pageBreakBefore w:val="0"/>
        <w:widowControl w:val="0"/>
        <w:kinsoku/>
        <w:wordWrap/>
        <w:overflowPunct/>
        <w:topLinePunct w:val="0"/>
        <w:bidi w:val="0"/>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p>
    <w:p>
      <w:pPr>
        <w:keepNext w:val="0"/>
        <w:keepLines w:val="0"/>
        <w:pageBreakBefore w:val="0"/>
        <w:widowControl w:val="0"/>
        <w:kinsoku/>
        <w:wordWrap/>
        <w:overflowPunct/>
        <w:topLinePunct w:val="0"/>
        <w:bidi w:val="0"/>
        <w:snapToGrid w:val="0"/>
        <w:spacing w:before="240" w:beforeAutospacing="0" w:after="240" w:afterAutospacing="0" w:line="300" w:lineRule="exact"/>
        <w:jc w:val="left"/>
        <w:textAlignment w:val="baseline"/>
        <w:rPr>
          <w:rFonts w:ascii="宋体" w:hAnsi="宋体"/>
          <w:b w:val="0"/>
          <w:i w:val="0"/>
          <w:caps w:val="0"/>
          <w:color w:val="auto"/>
          <w:spacing w:val="0"/>
          <w:w w:val="100"/>
          <w:kern w:val="2"/>
          <w:sz w:val="21"/>
          <w:szCs w:val="21"/>
          <w:highlight w:val="none"/>
          <w:lang w:val="en-US" w:eastAsia="zh-CN" w:bidi="ar-SA"/>
        </w:rPr>
      </w:pPr>
      <w:r>
        <w:rPr>
          <w:rFonts w:ascii="宋体" w:hAnsi="宋体" w:cs="Times New Roman"/>
          <w:b/>
          <w:bCs/>
          <w:i w:val="0"/>
          <w:caps w:val="0"/>
          <w:color w:val="auto"/>
          <w:spacing w:val="0"/>
          <w:w w:val="100"/>
          <w:kern w:val="2"/>
          <w:sz w:val="21"/>
          <w:szCs w:val="21"/>
          <w:highlight w:val="none"/>
          <w:lang w:val="en-US" w:eastAsia="zh-CN" w:bidi="ar-SA"/>
        </w:rPr>
        <w:t>报价日期：</w:t>
      </w:r>
      <w:r>
        <w:rPr>
          <w:rFonts w:hint="eastAsia" w:ascii="宋体" w:hAnsi="宋体" w:cs="Times New Roman"/>
          <w:b/>
          <w:bCs/>
          <w:i w:val="0"/>
          <w:caps w:val="0"/>
          <w:color w:val="auto"/>
          <w:spacing w:val="0"/>
          <w:w w:val="100"/>
          <w:kern w:val="2"/>
          <w:sz w:val="21"/>
          <w:szCs w:val="21"/>
          <w:highlight w:val="none"/>
          <w:lang w:val="en-US" w:eastAsia="zh-CN" w:bidi="ar-SA"/>
        </w:rPr>
        <w:t xml:space="preserve">                                     联系电话：</w:t>
      </w:r>
    </w:p>
    <w:p>
      <w:pPr>
        <w:keepNext w:val="0"/>
        <w:keepLines w:val="0"/>
        <w:pageBreakBefore w:val="0"/>
        <w:widowControl w:val="0"/>
        <w:kinsoku/>
        <w:wordWrap/>
        <w:overflowPunct/>
        <w:topLinePunct w:val="0"/>
        <w:bidi w:val="0"/>
        <w:spacing w:line="500" w:lineRule="exact"/>
        <w:jc w:val="center"/>
        <w:rPr>
          <w:b/>
          <w:sz w:val="32"/>
        </w:rPr>
      </w:pPr>
      <w:r>
        <w:rPr>
          <w:rFonts w:cs="Times New Roman"/>
          <w:b/>
          <w:bCs/>
          <w:i w:val="0"/>
          <w:caps w:val="0"/>
          <w:color w:val="auto"/>
          <w:spacing w:val="0"/>
          <w:w w:val="100"/>
          <w:kern w:val="2"/>
          <w:sz w:val="32"/>
          <w:szCs w:val="32"/>
          <w:highlight w:val="none"/>
          <w:lang w:val="en-US" w:eastAsia="zh-CN" w:bidi="ar-SA"/>
        </w:rPr>
        <w:br w:type="page"/>
      </w:r>
      <w:r>
        <w:rPr>
          <w:rFonts w:hint="eastAsia"/>
          <w:b/>
          <w:sz w:val="32"/>
          <w:lang w:val="en-US" w:eastAsia="zh-CN"/>
        </w:rPr>
        <w:t>三</w:t>
      </w:r>
      <w:r>
        <w:rPr>
          <w:rFonts w:hint="eastAsia"/>
          <w:b/>
          <w:sz w:val="32"/>
        </w:rPr>
        <w:t>、服务方案</w:t>
      </w:r>
    </w:p>
    <w:p>
      <w:pPr>
        <w:pStyle w:val="6"/>
        <w:keepNext w:val="0"/>
        <w:keepLines w:val="0"/>
        <w:pageBreakBefore w:val="0"/>
        <w:widowControl w:val="0"/>
        <w:kinsoku/>
        <w:wordWrap/>
        <w:overflowPunct/>
        <w:topLinePunct w:val="0"/>
        <w:bidi w:val="0"/>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left"/>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pPr>
        <w:pStyle w:val="6"/>
        <w:keepNext w:val="0"/>
        <w:keepLines w:val="0"/>
        <w:pageBreakBefore w:val="0"/>
        <w:widowControl w:val="0"/>
        <w:kinsoku/>
        <w:wordWrap/>
        <w:overflowPunct/>
        <w:topLinePunct w:val="0"/>
        <w:bidi w:val="0"/>
        <w:spacing w:line="480" w:lineRule="exact"/>
        <w:ind w:firstLine="422" w:firstLineChars="200"/>
        <w:rPr>
          <w:rFonts w:ascii="宋体"/>
          <w:b/>
          <w:szCs w:val="21"/>
        </w:rPr>
      </w:pPr>
    </w:p>
    <w:p>
      <w:pPr>
        <w:keepNext w:val="0"/>
        <w:keepLines w:val="0"/>
        <w:pageBreakBefore w:val="0"/>
        <w:widowControl w:val="0"/>
        <w:kinsoku/>
        <w:wordWrap/>
        <w:overflowPunct/>
        <w:topLinePunct w:val="0"/>
        <w:bidi w:val="0"/>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pPr>
        <w:keepNext w:val="0"/>
        <w:keepLines w:val="0"/>
        <w:pageBreakBefore w:val="0"/>
        <w:widowControl w:val="0"/>
        <w:kinsoku/>
        <w:wordWrap/>
        <w:overflowPunct/>
        <w:topLinePunct w:val="0"/>
        <w:bidi w:val="0"/>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pPr>
        <w:keepNext w:val="0"/>
        <w:keepLines w:val="0"/>
        <w:pageBreakBefore w:val="0"/>
        <w:widowControl w:val="0"/>
        <w:kinsoku/>
        <w:wordWrap/>
        <w:overflowPunct/>
        <w:topLinePunct w:val="0"/>
        <w:bidi w:val="0"/>
        <w:adjustRightInd w:val="0"/>
        <w:snapToGrid w:val="0"/>
        <w:spacing w:line="340" w:lineRule="exact"/>
        <w:ind w:firstLine="420" w:firstLineChars="200"/>
      </w:pPr>
    </w:p>
    <w:p>
      <w:pPr>
        <w:keepNext w:val="0"/>
        <w:keepLines w:val="0"/>
        <w:pageBreakBefore w:val="0"/>
        <w:widowControl w:val="0"/>
        <w:kinsoku/>
        <w:wordWrap/>
        <w:overflowPunct/>
        <w:topLinePunct w:val="0"/>
        <w:bidi w:val="0"/>
        <w:rPr>
          <w:rFonts w:ascii="宋体"/>
          <w:b/>
        </w:rPr>
      </w:pPr>
      <w:r>
        <w:rPr>
          <w:rFonts w:ascii="宋体"/>
          <w:b/>
        </w:rPr>
        <w:br w:type="page"/>
      </w:r>
    </w:p>
    <w:p>
      <w:pPr>
        <w:pStyle w:val="13"/>
        <w:keepNext w:val="0"/>
        <w:keepLines w:val="0"/>
        <w:pageBreakBefore w:val="0"/>
        <w:widowControl w:val="0"/>
        <w:kinsoku/>
        <w:wordWrap/>
        <w:overflowPunct/>
        <w:topLinePunct w:val="0"/>
        <w:bidi w:val="0"/>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spacing w:line="460" w:lineRule="exact"/>
        <w:jc w:val="center"/>
        <w:rPr>
          <w:rFonts w:ascii="宋体"/>
          <w:b/>
        </w:rPr>
      </w:pPr>
    </w:p>
    <w:p>
      <w:pPr>
        <w:keepNext w:val="0"/>
        <w:keepLines w:val="0"/>
        <w:pageBreakBefore w:val="0"/>
        <w:widowControl w:val="0"/>
        <w:kinsoku/>
        <w:wordWrap/>
        <w:overflowPunct/>
        <w:topLinePunct w:val="0"/>
        <w:bidi w:val="0"/>
        <w:rPr>
          <w:rStyle w:val="14"/>
          <w:rFonts w:ascii="宋体"/>
          <w:b/>
          <w:sz w:val="32"/>
          <w:szCs w:val="32"/>
        </w:rPr>
      </w:pPr>
    </w:p>
    <w:p>
      <w:pPr>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pStyle w:val="13"/>
        <w:keepNext w:val="0"/>
        <w:keepLines w:val="0"/>
        <w:pageBreakBefore w:val="0"/>
        <w:widowControl w:val="0"/>
        <w:kinsoku/>
        <w:wordWrap/>
        <w:overflowPunct/>
        <w:topLinePunct w:val="0"/>
        <w:bidi w:val="0"/>
      </w:pPr>
    </w:p>
    <w:p>
      <w:pPr>
        <w:keepNext w:val="0"/>
        <w:keepLines w:val="0"/>
        <w:pageBreakBefore w:val="0"/>
        <w:widowControl w:val="0"/>
        <w:kinsoku/>
        <w:wordWrap/>
        <w:overflowPunct/>
        <w:topLinePunct w:val="0"/>
        <w:bidi w:val="0"/>
        <w:ind w:firstLine="3937" w:firstLineChars="895"/>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最终报价书</w:t>
      </w:r>
    </w:p>
    <w:p>
      <w:pPr>
        <w:keepNext w:val="0"/>
        <w:keepLines w:val="0"/>
        <w:pageBreakBefore w:val="0"/>
        <w:widowControl w:val="0"/>
        <w:kinsoku/>
        <w:wordWrap/>
        <w:overflowPunct/>
        <w:topLinePunct w:val="0"/>
        <w:bidi w:val="0"/>
        <w:spacing w:line="600" w:lineRule="exact"/>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贵州普定农村商业银行股份有限公司2026年新媒体运营维护服务</w:t>
      </w:r>
    </w:p>
    <w:p>
      <w:pPr>
        <w:keepNext w:val="0"/>
        <w:keepLines w:val="0"/>
        <w:pageBreakBefore w:val="0"/>
        <w:widowControl w:val="0"/>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我公司经过认真考虑，在满足竞争性磋商文件要求的前提下，现对投标项目给出最终报价及相关承诺如下：</w:t>
      </w:r>
    </w:p>
    <w:p>
      <w:pPr>
        <w:keepNext w:val="0"/>
        <w:keepLines w:val="0"/>
        <w:pageBreakBefore w:val="0"/>
        <w:widowControl w:val="0"/>
        <w:kinsoku/>
        <w:wordWrap/>
        <w:overflowPunct/>
        <w:topLinePunct w:val="0"/>
        <w:bidi w:val="0"/>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bidi w:val="0"/>
        <w:ind w:firstLine="211"/>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投标总价（小写）：</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bidi w:val="0"/>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投标总价（大写）：</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bidi w:val="0"/>
        <w:rPr>
          <w:rFonts w:hint="eastAsia" w:ascii="仿宋_GB2312" w:hAnsi="仿宋_GB2312" w:eastAsia="仿宋_GB2312" w:cs="仿宋_GB2312"/>
          <w:sz w:val="32"/>
          <w:szCs w:val="32"/>
          <w:u w:val="single"/>
        </w:rPr>
      </w:pPr>
    </w:p>
    <w:p>
      <w:pPr>
        <w:keepNext w:val="0"/>
        <w:keepLines w:val="0"/>
        <w:pageBreakBefore w:val="0"/>
        <w:widowControl w:val="0"/>
        <w:kinsoku/>
        <w:wordWrap/>
        <w:overflowPunct/>
        <w:topLinePunct w:val="0"/>
        <w:bidi w:val="0"/>
        <w:rPr>
          <w:rFonts w:hint="eastAsia" w:ascii="仿宋_GB2312" w:hAnsi="仿宋_GB2312" w:eastAsia="仿宋_GB2312" w:cs="仿宋_GB2312"/>
          <w:sz w:val="32"/>
          <w:szCs w:val="32"/>
          <w:u w:val="single"/>
        </w:rPr>
      </w:pPr>
    </w:p>
    <w:p>
      <w:pPr>
        <w:keepNext w:val="0"/>
        <w:keepLines w:val="0"/>
        <w:pageBreakBefore w:val="0"/>
        <w:widowControl w:val="0"/>
        <w:kinsoku/>
        <w:wordWrap/>
        <w:overflowPunct/>
        <w:topLinePunct w:val="0"/>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相关优惠条件及备注说明：</w:t>
      </w:r>
    </w:p>
    <w:p>
      <w:pPr>
        <w:keepNext w:val="0"/>
        <w:keepLines w:val="0"/>
        <w:pageBreakBefore w:val="0"/>
        <w:widowControl w:val="0"/>
        <w:kinsoku/>
        <w:wordWrap/>
        <w:overflowPunct/>
        <w:topLinePunct w:val="0"/>
        <w:bidi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ind w:firstLine="2400" w:firstLineChars="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bidi w:val="0"/>
        <w:ind w:firstLine="2400" w:firstLineChars="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投标人法定代表人或委托代理人签字：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bidi w:val="0"/>
        <w:ind w:firstLine="2400" w:firstLineChars="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ind w:firstLine="1600" w:firstLineChars="5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rPr>
          <w:rFonts w:hint="eastAsia"/>
          <w:sz w:val="28"/>
          <w:szCs w:val="28"/>
        </w:rPr>
      </w:pPr>
    </w:p>
    <w:p>
      <w:pPr>
        <w:pStyle w:val="13"/>
        <w:keepNext w:val="0"/>
        <w:keepLines w:val="0"/>
        <w:pageBreakBefore w:val="0"/>
        <w:widowControl w:val="0"/>
        <w:kinsoku/>
        <w:wordWrap/>
        <w:overflowPunct/>
        <w:topLinePunct w:val="0"/>
        <w:bidi w:val="0"/>
        <w:ind w:left="0" w:leftChars="0" w:firstLine="0" w:firstLineChars="0"/>
        <w:rPr>
          <w:rFonts w:hint="eastAsia"/>
          <w:sz w:val="28"/>
          <w:szCs w:val="28"/>
        </w:rPr>
      </w:pPr>
    </w:p>
    <w:p>
      <w:pPr>
        <w:keepNext w:val="0"/>
        <w:keepLines w:val="0"/>
        <w:pageBreakBefore w:val="0"/>
        <w:widowControl w:val="0"/>
        <w:kinsoku/>
        <w:wordWrap/>
        <w:overflowPunct/>
        <w:topLinePunct w:val="0"/>
        <w:bidi w:val="0"/>
        <w:snapToGrid w:val="0"/>
        <w:spacing w:before="0" w:beforeAutospacing="0" w:after="0" w:afterAutospacing="0" w:line="500" w:lineRule="exact"/>
        <w:ind w:right="533"/>
        <w:jc w:val="both"/>
        <w:textAlignment w:val="baseline"/>
      </w:pPr>
      <w:r>
        <w:rPr>
          <w:rFonts w:ascii="宋体" w:hAnsi="宋体" w:cstheme="minorBidi"/>
          <w:b w:val="0"/>
          <w:i w:val="0"/>
          <w:caps w:val="0"/>
          <w:color w:val="auto"/>
          <w:spacing w:val="0"/>
          <w:w w:val="100"/>
          <w:kern w:val="2"/>
          <w:sz w:val="22"/>
          <w:szCs w:val="22"/>
          <w:highlight w:val="none"/>
          <w:lang w:val="en-US" w:eastAsia="zh-CN"/>
        </w:rPr>
        <w:t>注：此表不列入密封响应文件内，单独打印盖好公章，于磋商现场提交。</w:t>
      </w:r>
    </w:p>
    <w:sectPr>
      <w:footerReference r:id="rId5" w:type="default"/>
      <w:pgSz w:w="11906" w:h="16838"/>
      <w:pgMar w:top="1089" w:right="1106" w:bottom="829" w:left="1259" w:header="624" w:footer="72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884"/>
        <w:tab w:val="center" w:pos="4153"/>
        <w:tab w:val="right" w:pos="8306"/>
        <w:tab w:val="clear" w:pos="4140"/>
        <w:tab w:val="clear" w:pos="8300"/>
      </w:tabs>
      <w:rPr>
        <w:rStyle w:val="14"/>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Style w:val="14"/>
      </w:rPr>
      <w:tab/>
    </w:r>
    <w:r>
      <w:rPr>
        <w:rStyle w:val="14"/>
      </w:rPr>
      <w:tab/>
    </w:r>
    <w:r>
      <w:rPr>
        <w:rStyle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rPr>
        <w:rStyle w:val="1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4"/>
                            </w:rPr>
                          </w:pPr>
                          <w:r>
                            <w:rPr>
                              <w:rStyle w:val="14"/>
                              <w:rFonts w:hint="eastAsia"/>
                            </w:rPr>
                            <w:t>第</w:t>
                          </w:r>
                          <w:r>
                            <w:rPr>
                              <w:rStyle w:val="14"/>
                            </w:rPr>
                            <w:t xml:space="preserve">  </w:t>
                          </w:r>
                          <w:r>
                            <w:rPr>
                              <w:rStyle w:val="14"/>
                              <w:rFonts w:hint="eastAsia"/>
                            </w:rPr>
                            <w:t>页</w:t>
                          </w:r>
                          <w:r>
                            <w:rPr>
                              <w:rStyle w:val="14"/>
                            </w:rPr>
                            <w:t xml:space="preserve"> </w:t>
                          </w:r>
                          <w:r>
                            <w:rPr>
                              <w:rStyle w:val="14"/>
                              <w:rFonts w:hint="eastAsia"/>
                            </w:rPr>
                            <w:t>共</w:t>
                          </w:r>
                          <w:r>
                            <w:rPr>
                              <w:rStyle w:val="14"/>
                            </w:rPr>
                            <w:t xml:space="preserve"> 31 </w:t>
                          </w:r>
                          <w:r>
                            <w:rPr>
                              <w:rStyle w:val="14"/>
                              <w:rFonts w:hint="eastAsia"/>
                            </w:rPr>
                            <w:t>页</w:t>
                          </w:r>
                        </w:p>
                        <w:p>
                          <w:pPr>
                            <w:rPr>
                              <w:rStyle w:val="14"/>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pPr>
                      <w:pStyle w:val="4"/>
                      <w:rPr>
                        <w:rStyle w:val="14"/>
                      </w:rPr>
                    </w:pPr>
                    <w:r>
                      <w:rPr>
                        <w:rStyle w:val="14"/>
                        <w:rFonts w:hint="eastAsia"/>
                      </w:rPr>
                      <w:t>第</w:t>
                    </w:r>
                    <w:r>
                      <w:rPr>
                        <w:rStyle w:val="14"/>
                      </w:rPr>
                      <w:t xml:space="preserve">  </w:t>
                    </w:r>
                    <w:r>
                      <w:rPr>
                        <w:rStyle w:val="14"/>
                        <w:rFonts w:hint="eastAsia"/>
                      </w:rPr>
                      <w:t>页</w:t>
                    </w:r>
                    <w:r>
                      <w:rPr>
                        <w:rStyle w:val="14"/>
                      </w:rPr>
                      <w:t xml:space="preserve"> </w:t>
                    </w:r>
                    <w:r>
                      <w:rPr>
                        <w:rStyle w:val="14"/>
                        <w:rFonts w:hint="eastAsia"/>
                      </w:rPr>
                      <w:t>共</w:t>
                    </w:r>
                    <w:r>
                      <w:rPr>
                        <w:rStyle w:val="14"/>
                      </w:rPr>
                      <w:t xml:space="preserve"> 31 </w:t>
                    </w:r>
                    <w:r>
                      <w:rPr>
                        <w:rStyle w:val="14"/>
                        <w:rFonts w:hint="eastAsia"/>
                      </w:rPr>
                      <w:t>页</w:t>
                    </w:r>
                  </w:p>
                  <w:p>
                    <w:pPr>
                      <w:rPr>
                        <w:rStyle w:val="1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5"/>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3C5DAF5A"/>
    <w:multiLevelType w:val="singleLevel"/>
    <w:tmpl w:val="3C5DAF5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56DCB"/>
    <w:rsid w:val="037A6BC1"/>
    <w:rsid w:val="038341FD"/>
    <w:rsid w:val="083D381C"/>
    <w:rsid w:val="08437056"/>
    <w:rsid w:val="0A800EA5"/>
    <w:rsid w:val="0C6216D2"/>
    <w:rsid w:val="150F3F24"/>
    <w:rsid w:val="17433D0F"/>
    <w:rsid w:val="1AC071EA"/>
    <w:rsid w:val="21764B72"/>
    <w:rsid w:val="27C44102"/>
    <w:rsid w:val="295B4A61"/>
    <w:rsid w:val="2BC650EC"/>
    <w:rsid w:val="2FB23B48"/>
    <w:rsid w:val="317436C5"/>
    <w:rsid w:val="35A36805"/>
    <w:rsid w:val="3AFD7E9F"/>
    <w:rsid w:val="3FE4567C"/>
    <w:rsid w:val="414F3BED"/>
    <w:rsid w:val="4291612F"/>
    <w:rsid w:val="4B672DDF"/>
    <w:rsid w:val="519A1A66"/>
    <w:rsid w:val="53756DCB"/>
    <w:rsid w:val="69835E08"/>
    <w:rsid w:val="6E81149E"/>
    <w:rsid w:val="6EAB7A7C"/>
    <w:rsid w:val="6F29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next w:val="1"/>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widowControl w:val="0"/>
      <w:spacing w:after="120" w:line="480" w:lineRule="auto"/>
    </w:pPr>
  </w:style>
  <w:style w:type="paragraph" w:styleId="7">
    <w:name w:val="Normal (Web)"/>
    <w:basedOn w:val="1"/>
    <w:qFormat/>
    <w:uiPriority w:val="99"/>
    <w:pPr>
      <w:spacing w:before="30" w:after="100" w:afterAutospacing="1"/>
      <w:ind w:left="90"/>
      <w:jc w:val="left"/>
    </w:pPr>
    <w:rPr>
      <w:rFonts w:hAnsi="宋体"/>
      <w:color w:val="000000"/>
      <w:sz w:val="18"/>
      <w:szCs w:val="18"/>
    </w:rPr>
  </w:style>
  <w:style w:type="paragraph" w:styleId="8">
    <w:name w:val="Body Text First Indent"/>
    <w:qFormat/>
    <w:uiPriority w:val="0"/>
    <w:pPr>
      <w:widowControl w:val="0"/>
      <w:spacing w:after="120"/>
      <w:ind w:firstLine="420" w:firstLineChars="100"/>
      <w:jc w:val="both"/>
    </w:pPr>
    <w:rPr>
      <w:rFonts w:ascii="Times New Roman" w:hAnsi="Times New Roman" w:eastAsia="宋体" w:cs="Times New Roman"/>
      <w:b/>
      <w:kern w:val="2"/>
      <w:sz w:val="21"/>
      <w:szCs w:val="24"/>
      <w:lang w:val="en-US" w:eastAsia="zh-CN" w:bidi="ar-SA"/>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99"/>
    <w:rPr>
      <w:rFonts w:ascii="Times New Roman" w:hAnsi="Times New Roman" w:eastAsia="宋体" w:cs="Times New Roman"/>
      <w:b/>
    </w:rPr>
  </w:style>
  <w:style w:type="paragraph" w:customStyle="1" w:styleId="13">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4">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5">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6">
    <w:name w:val="（符号）三标题1.1"/>
    <w:basedOn w:val="1"/>
    <w:qFormat/>
    <w:uiPriority w:val="99"/>
    <w:pPr>
      <w:tabs>
        <w:tab w:val="left" w:pos="700"/>
      </w:tabs>
      <w:spacing w:line="500" w:lineRule="exact"/>
    </w:pPr>
    <w:rPr>
      <w:rFonts w:ascii="宋体" w:hAnsi="宋体"/>
      <w:sz w:val="24"/>
    </w:rPr>
  </w:style>
  <w:style w:type="paragraph" w:customStyle="1" w:styleId="17">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2024-01-02T08:59:00Z</dcterms:created>
  <dc:creator>151017-付坤</dc:creator>
  <cp:lastModifiedBy>123675-龙彬</cp:lastModifiedBy>
  <dcterms:modified xsi:type="dcterms:W3CDTF">2026-04-01T00:47:34Z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405506B7A46349689EE66097B02F73C3_13</vt:lpwstr>
  </property>
</Properties>
</file>