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江口县农村信用合作联社</w:t>
      </w:r>
      <w:r>
        <w:rPr>
          <w:rFonts w:hint="eastAsia" w:ascii="方正小标宋简体" w:hAnsi="方正小标宋简体" w:eastAsia="方正小标宋简体" w:cs="方正小标宋简体"/>
          <w:sz w:val="44"/>
          <w:szCs w:val="44"/>
          <w:lang w:val="en-US" w:eastAsia="zh-CN"/>
        </w:rPr>
        <w:t>2024年度</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环境信息披露报告</w:t>
      </w:r>
    </w:p>
    <w:p>
      <w:pPr>
        <w:jc w:val="center"/>
        <w:rPr>
          <w:rFonts w:ascii="方正小标宋简体" w:hAnsi="Calibri" w:eastAsia="方正小标宋简体" w:cs="Times New Roman"/>
          <w:sz w:val="44"/>
          <w:szCs w:val="44"/>
        </w:rPr>
      </w:pPr>
    </w:p>
    <w:p>
      <w:pPr>
        <w:jc w:val="center"/>
        <w:rPr>
          <w:rFonts w:ascii="方正小标宋简体" w:hAnsi="Calibri" w:eastAsia="方正小标宋简体" w:cs="Times New Roman"/>
          <w:sz w:val="44"/>
          <w:szCs w:val="44"/>
        </w:rPr>
      </w:pPr>
    </w:p>
    <w:p>
      <w:pPr>
        <w:jc w:val="center"/>
        <w:rPr>
          <w:rFonts w:ascii="方正小标宋简体" w:hAnsi="Calibri" w:eastAsia="方正小标宋简体" w:cs="Times New Roman"/>
          <w:sz w:val="44"/>
          <w:szCs w:val="44"/>
        </w:rPr>
      </w:pPr>
    </w:p>
    <w:p>
      <w:pPr>
        <w:jc w:val="center"/>
        <w:rPr>
          <w:rFonts w:ascii="方正小标宋简体" w:hAnsi="Calibri" w:eastAsia="方正小标宋简体" w:cs="Times New Roman"/>
          <w:sz w:val="44"/>
          <w:szCs w:val="44"/>
        </w:rPr>
      </w:pPr>
    </w:p>
    <w:p>
      <w:pPr>
        <w:jc w:val="center"/>
        <w:rPr>
          <w:rFonts w:hint="eastAsia" w:ascii="仿宋_GB2312" w:hAnsi="仿宋_GB2312" w:eastAsia="仿宋_GB2312" w:cs="仿宋_GB2312"/>
          <w:sz w:val="44"/>
          <w:szCs w:val="44"/>
        </w:rPr>
      </w:pPr>
    </w:p>
    <w:p>
      <w:pPr>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报告年度：</w:t>
      </w:r>
      <w:r>
        <w:rPr>
          <w:rFonts w:hint="eastAsia" w:ascii="仿宋_GB2312" w:hAnsi="仿宋_GB2312" w:eastAsia="仿宋_GB2312" w:cs="仿宋_GB2312"/>
          <w:sz w:val="32"/>
          <w:szCs w:val="32"/>
          <w:lang w:val="en-US" w:eastAsia="zh-CN"/>
        </w:rPr>
        <w:t>2024年度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编写单位：江口县农村信用合作联社</w:t>
      </w:r>
    </w:p>
    <w:p>
      <w:pPr>
        <w:ind w:firstLine="1600" w:firstLineChars="5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编制日期：2025年4月</w:t>
      </w:r>
    </w:p>
    <w:p>
      <w:pPr>
        <w:rPr>
          <w:rFonts w:ascii="方正小标宋简体" w:hAnsi="Calibri" w:eastAsia="方正小标宋简体" w:cs="Times New Roman"/>
          <w:sz w:val="44"/>
          <w:szCs w:val="44"/>
        </w:rPr>
      </w:pPr>
    </w:p>
    <w:p>
      <w:pPr>
        <w:ind w:firstLine="0" w:firstLineChars="0"/>
        <w:jc w:val="both"/>
        <w:rPr>
          <w:rFonts w:hint="eastAsia"/>
          <w:sz w:val="44"/>
          <w:szCs w:val="44"/>
        </w:rPr>
      </w:pPr>
    </w:p>
    <w:p>
      <w:pPr>
        <w:pStyle w:val="4"/>
        <w:widowControl/>
        <w:overflowPunct w:val="0"/>
        <w:spacing w:before="0" w:beforeAutospacing="0" w:after="0" w:afterAutospacing="0" w:line="560" w:lineRule="exact"/>
        <w:jc w:val="center"/>
        <w:rPr>
          <w:rFonts w:hint="eastAsia" w:ascii="方正小标宋简体" w:hAnsi="方正小标宋简体" w:eastAsia="方正小标宋简体" w:cs="方正小标宋简体"/>
          <w:kern w:val="2"/>
          <w:sz w:val="44"/>
          <w:szCs w:val="44"/>
          <w:lang w:val="en-US" w:eastAsia="zh-CN"/>
        </w:rPr>
      </w:pPr>
    </w:p>
    <w:p>
      <w:pPr>
        <w:spacing w:before="0" w:beforeLines="0" w:after="0" w:afterLines="0" w:line="240" w:lineRule="auto"/>
        <w:ind w:left="0" w:leftChars="0" w:right="0" w:rightChars="0" w:firstLine="0" w:firstLineChars="0"/>
        <w:jc w:val="center"/>
      </w:pPr>
      <w:bookmarkStart w:id="0" w:name="_Toc775"/>
    </w:p>
    <w:p>
      <w:pPr>
        <w:spacing w:before="0" w:beforeLines="0" w:after="0" w:afterLines="0" w:line="240" w:lineRule="auto"/>
        <w:ind w:left="0" w:leftChars="0" w:right="0" w:rightChars="0" w:firstLine="0" w:firstLineChars="0"/>
        <w:jc w:val="center"/>
      </w:pPr>
    </w:p>
    <w:p>
      <w:pPr>
        <w:spacing w:before="0" w:beforeLines="0" w:after="0" w:afterLines="0" w:line="240" w:lineRule="auto"/>
        <w:ind w:left="0" w:leftChars="0" w:right="0" w:rightChars="0" w:firstLine="0" w:firstLineChars="0"/>
        <w:jc w:val="center"/>
      </w:pPr>
    </w:p>
    <w:p>
      <w:pPr>
        <w:spacing w:before="0" w:beforeLines="0" w:after="0" w:afterLines="0" w:line="240" w:lineRule="auto"/>
        <w:ind w:left="0" w:leftChars="0" w:right="0" w:rightChars="0" w:firstLine="0" w:firstLineChars="0"/>
        <w:jc w:val="center"/>
      </w:pPr>
    </w:p>
    <w:p>
      <w:pPr>
        <w:spacing w:before="0" w:beforeLines="0" w:after="0" w:afterLines="0" w:line="240" w:lineRule="auto"/>
        <w:ind w:left="0" w:leftChars="0" w:right="0" w:rightChars="0" w:firstLine="0" w:firstLineChars="0"/>
        <w:jc w:val="center"/>
      </w:pPr>
    </w:p>
    <w:p>
      <w:pPr>
        <w:spacing w:before="0" w:beforeLines="0" w:after="0" w:afterLines="0" w:line="240" w:lineRule="auto"/>
        <w:ind w:left="0" w:leftChars="0" w:right="0" w:rightChars="0" w:firstLine="0" w:firstLineChars="0"/>
        <w:jc w:val="center"/>
      </w:pPr>
    </w:p>
    <w:p>
      <w:pPr>
        <w:spacing w:before="0" w:beforeLines="0" w:after="0" w:afterLines="0" w:line="240" w:lineRule="auto"/>
        <w:ind w:left="0" w:leftChars="0" w:right="0" w:rightChars="0" w:firstLine="0" w:firstLineChars="0"/>
        <w:jc w:val="center"/>
      </w:pPr>
    </w:p>
    <w:p>
      <w:pPr>
        <w:numPr>
          <w:ilvl w:val="0"/>
          <w:numId w:val="0"/>
        </w:numPr>
        <w:spacing w:line="560" w:lineRule="exact"/>
        <w:ind w:firstLine="640" w:firstLineChars="200"/>
        <w:rPr>
          <w:rFonts w:hint="eastAsia" w:ascii="黑体" w:hAnsi="黑体" w:eastAsia="黑体" w:cs="黑体"/>
          <w:sz w:val="32"/>
          <w:szCs w:val="32"/>
          <w:lang w:val="en-US"/>
        </w:rPr>
      </w:pPr>
      <w:r>
        <w:rPr>
          <w:rFonts w:hint="eastAsia" w:ascii="黑体" w:hAnsi="黑体" w:eastAsia="黑体" w:cs="黑体"/>
          <w:sz w:val="32"/>
          <w:szCs w:val="32"/>
        </w:rPr>
        <w:t>1.</w:t>
      </w:r>
      <w:bookmarkEnd w:id="0"/>
      <w:r>
        <w:rPr>
          <w:rFonts w:hint="eastAsia" w:ascii="黑体" w:hAnsi="黑体" w:eastAsia="黑体" w:cs="黑体"/>
          <w:sz w:val="32"/>
          <w:szCs w:val="32"/>
          <w:lang w:val="en-US" w:eastAsia="zh-CN"/>
        </w:rPr>
        <w:t>基本情况</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口县农村信用合作联社系地方性法人金融机构，由自然人股东和法人股东入股组成，统一社会信用代码9152062121501546E，法定代表人：吴猛。业务类型：存款、贷款、国内结算业务，个人储蓄业务，代理其他银行的金融业务，代理收付款等。机构住所：贵州省铜仁市江口县双江街道磨湾坝上。2024年，江口农信联社按照有关监管政策规定，完善党领导下的“三会一层”决策咨询机制和议事协作机制，并将部门职责进行优化整合。</w:t>
      </w:r>
      <w:r>
        <w:rPr>
          <w:rFonts w:hint="eastAsia" w:ascii="仿宋_GB2312" w:hAnsi="仿宋_GB2312" w:cs="仿宋_GB2312"/>
          <w:sz w:val="32"/>
          <w:szCs w:val="32"/>
          <w:highlight w:val="red"/>
          <w:lang w:val="en-US" w:eastAsia="zh-CN"/>
        </w:rPr>
        <w:t>截止</w:t>
      </w:r>
      <w:r>
        <w:rPr>
          <w:rFonts w:hint="eastAsia" w:ascii="仿宋_GB2312" w:hAnsi="仿宋_GB2312" w:cs="仿宋_GB2312"/>
          <w:sz w:val="32"/>
          <w:szCs w:val="32"/>
          <w:lang w:val="en-US" w:eastAsia="zh-CN"/>
        </w:rPr>
        <w:t>2024</w:t>
      </w:r>
      <w:r>
        <w:rPr>
          <w:rFonts w:hint="eastAsia" w:ascii="仿宋_GB2312" w:hAnsi="仿宋_GB2312" w:eastAsia="仿宋_GB2312" w:cs="仿宋_GB2312"/>
          <w:sz w:val="32"/>
          <w:szCs w:val="32"/>
          <w:lang w:val="en-US" w:eastAsia="zh-CN"/>
        </w:rPr>
        <w:t>年12月末，江口农信联社现有在职员工185人，内设有10个职能部门：普惠金融部、风险管理部、财务管理部、合规管理部、数据管理部、运营服务部、综合保障部、党委办公室、纪律检查室、稽核审计部。下设营业网点17个，联社营</w:t>
      </w:r>
      <w:bookmarkStart w:id="1" w:name="_GoBack"/>
      <w:bookmarkEnd w:id="1"/>
      <w:r>
        <w:rPr>
          <w:rFonts w:hint="eastAsia" w:ascii="仿宋_GB2312" w:hAnsi="仿宋_GB2312" w:eastAsia="仿宋_GB2312" w:cs="仿宋_GB2312"/>
          <w:sz w:val="32"/>
          <w:szCs w:val="32"/>
          <w:lang w:val="en-US" w:eastAsia="zh-CN"/>
        </w:rPr>
        <w:t>业部(小微中心)、滨江分社、城中分社、三星分社、双江分社、梵净山信用社、坝盘信用社、德旺信用社、官和信用社、黑湾河分社、民和信用社、怒溪信用社、太平信用社、桃映信用社、张屯分社、闵孝信用社、凯德分社。</w:t>
      </w:r>
    </w:p>
    <w:p>
      <w:pPr>
        <w:numPr>
          <w:ilvl w:val="0"/>
          <w:numId w:val="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2.年度概况及绿色金融发展战略</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随着国家</w:t>
      </w:r>
      <w:r>
        <w:rPr>
          <w:rFonts w:hint="eastAsia" w:ascii="仿宋_GB2312" w:hAnsi="仿宋_GB2312" w:eastAsia="仿宋_GB2312" w:cs="仿宋_GB2312"/>
          <w:kern w:val="0"/>
          <w:sz w:val="32"/>
          <w:szCs w:val="32"/>
          <w:lang w:val="zh-TW" w:eastAsia="zh-CN" w:bidi="zh-TW"/>
        </w:rPr>
        <w:t>“双碳”目标的制定，绿色金融相关政策持续推出，国家</w:t>
      </w:r>
      <w:r>
        <w:rPr>
          <w:rFonts w:hint="eastAsia" w:ascii="仿宋_GB2312" w:hAnsi="仿宋_GB2312" w:eastAsia="仿宋_GB2312" w:cs="仿宋_GB2312"/>
          <w:sz w:val="32"/>
          <w:szCs w:val="32"/>
          <w:lang w:val="en-US" w:eastAsia="zh-CN"/>
        </w:rPr>
        <w:t>“十四五”规划将绿色金融高质量发展作为重要目标。对金融机构</w:t>
      </w:r>
      <w:r>
        <w:rPr>
          <w:rFonts w:hint="eastAsia" w:ascii="仿宋_GB2312" w:hAnsi="仿宋_GB2312" w:eastAsia="仿宋_GB2312" w:cs="仿宋_GB2312"/>
          <w:sz w:val="32"/>
          <w:szCs w:val="32"/>
          <w:shd w:val="clear" w:color="auto" w:fill="FFFFFF"/>
          <w:lang w:eastAsia="zh-CN"/>
        </w:rPr>
        <w:t>有序推动绿色金融高质量发展</w:t>
      </w:r>
      <w:r>
        <w:rPr>
          <w:rFonts w:hint="eastAsia" w:ascii="仿宋_GB2312" w:hAnsi="仿宋_GB2312" w:eastAsia="仿宋_GB2312" w:cs="仿宋_GB2312"/>
          <w:sz w:val="32"/>
          <w:szCs w:val="32"/>
        </w:rPr>
        <w:t>，建立健全绿色金融服务体系，持续增强绿色金融供给能力，确保</w:t>
      </w:r>
      <w:r>
        <w:rPr>
          <w:rFonts w:hint="eastAsia" w:ascii="仿宋_GB2312" w:hAnsi="仿宋_GB2312" w:eastAsia="仿宋_GB2312" w:cs="仿宋_GB2312"/>
          <w:sz w:val="32"/>
          <w:szCs w:val="32"/>
          <w:lang w:eastAsia="zh-CN"/>
        </w:rPr>
        <w:t>绿色普惠金融</w:t>
      </w:r>
      <w:r>
        <w:rPr>
          <w:rFonts w:hint="eastAsia" w:ascii="仿宋_GB2312" w:hAnsi="仿宋_GB2312" w:eastAsia="仿宋_GB2312" w:cs="仿宋_GB2312"/>
          <w:sz w:val="32"/>
          <w:szCs w:val="32"/>
        </w:rPr>
        <w:t>工作落到实处</w:t>
      </w:r>
      <w:r>
        <w:rPr>
          <w:rFonts w:hint="eastAsia" w:ascii="仿宋_GB2312" w:hAnsi="仿宋_GB2312" w:eastAsia="仿宋_GB2312" w:cs="仿宋_GB2312"/>
          <w:sz w:val="32"/>
          <w:szCs w:val="32"/>
          <w:lang w:eastAsia="zh-CN"/>
        </w:rPr>
        <w:t>提出了更高标准。江口农信联社作为地方法人金融机构，按照人民银行和省联社的要求，</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履行社会责任、推进绿色信贷发展工作。</w:t>
      </w:r>
      <w:r>
        <w:rPr>
          <w:rFonts w:hint="eastAsia" w:ascii="仿宋_GB2312" w:hAnsi="仿宋_GB2312" w:cs="仿宋_GB2312"/>
          <w:sz w:val="32"/>
          <w:szCs w:val="32"/>
          <w:lang w:eastAsia="zh-CN"/>
        </w:rPr>
        <w:t>截至</w:t>
      </w:r>
      <w:r>
        <w:rPr>
          <w:rFonts w:hint="eastAsia" w:ascii="仿宋_GB2312" w:hAnsi="仿宋_GB2312" w:eastAsia="仿宋_GB2312" w:cs="仿宋_GB2312"/>
          <w:sz w:val="32"/>
          <w:szCs w:val="32"/>
          <w:lang w:val="en-US" w:eastAsia="zh-CN"/>
        </w:rPr>
        <w:t>2024年末，江口农信联社资产总额60.68亿元，负债总额56.57亿元，资产负债比107%；各项存款余额48.11亿元，较上年增长4.71亿元，增速10.86%；各项贷款余额41.89亿元，较上年增加2.22亿元，增速5.61%。绿色贷款余额1.11亿元，占各项贷款总额的2.64%。绿色普惠贷款余额14.82亿元，占各项贷款总额的</w:t>
      </w:r>
      <w:r>
        <w:rPr>
          <w:rFonts w:hint="eastAsia" w:ascii="仿宋_GB2312" w:hAnsi="仿宋_GB2312" w:eastAsia="仿宋_GB2312" w:cs="仿宋_GB2312"/>
          <w:sz w:val="32"/>
          <w:szCs w:val="32"/>
          <w:highlight w:val="none"/>
          <w:lang w:val="en-US" w:eastAsia="zh-CN"/>
        </w:rPr>
        <w:t>35.38%。</w:t>
      </w:r>
    </w:p>
    <w:p>
      <w:pPr>
        <w:numPr>
          <w:ilvl w:val="0"/>
          <w:numId w:val="0"/>
        </w:num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3.环境及绿色金融相关治理结构</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3.1理事会层面。</w:t>
      </w:r>
      <w:r>
        <w:rPr>
          <w:rFonts w:hint="eastAsia" w:ascii="仿宋_GB2312" w:hAnsi="仿宋_GB2312" w:eastAsia="仿宋_GB2312" w:cs="仿宋_GB2312"/>
          <w:sz w:val="32"/>
          <w:szCs w:val="32"/>
          <w:lang w:val="en-US" w:eastAsia="zh-CN"/>
        </w:rPr>
        <w:t>我社成立了绿色普惠金融委员会，由理事长吴猛任组长，联社经营层负责人张羽高、联社副主任吴宪坤为成员，领导小组下设办公室在普惠金融部，负责绿色普惠金融总体规划，指导和督促绿色普惠金融总体推进及成效落地。</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3.2经营</w:t>
      </w:r>
      <w:r>
        <w:rPr>
          <w:rFonts w:hint="eastAsia" w:ascii="楷体_GB2312" w:hAnsi="楷体_GB2312" w:eastAsia="楷体_GB2312" w:cs="楷体_GB2312"/>
          <w:sz w:val="32"/>
          <w:szCs w:val="32"/>
        </w:rPr>
        <w:t>管理层方面</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为有效推进绿色信贷业务的发展，</w:t>
      </w:r>
      <w:r>
        <w:rPr>
          <w:rFonts w:hint="eastAsia" w:ascii="仿宋_GB2312" w:hAnsi="仿宋_GB2312" w:eastAsia="仿宋_GB2312" w:cs="仿宋_GB2312"/>
          <w:sz w:val="32"/>
          <w:szCs w:val="32"/>
          <w:lang w:eastAsia="zh-CN"/>
        </w:rPr>
        <w:t>我社</w:t>
      </w:r>
      <w:r>
        <w:rPr>
          <w:rFonts w:hint="eastAsia" w:ascii="仿宋_GB2312" w:hAnsi="仿宋_GB2312" w:eastAsia="仿宋_GB2312" w:cs="仿宋_GB2312"/>
          <w:sz w:val="32"/>
          <w:szCs w:val="32"/>
        </w:rPr>
        <w:t>成立了绿色信贷工作领导小组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由联社理事长任组长，其</w:t>
      </w:r>
      <w:r>
        <w:rPr>
          <w:rFonts w:hint="eastAsia" w:ascii="仿宋_GB2312" w:hAnsi="仿宋_GB2312" w:eastAsia="仿宋_GB2312" w:cs="仿宋_GB2312"/>
          <w:sz w:val="32"/>
          <w:szCs w:val="32"/>
          <w:lang w:eastAsia="zh-CN"/>
        </w:rPr>
        <w:t>他</w:t>
      </w:r>
      <w:r>
        <w:rPr>
          <w:rFonts w:hint="eastAsia" w:ascii="仿宋_GB2312" w:hAnsi="仿宋_GB2312" w:eastAsia="仿宋_GB2312" w:cs="仿宋_GB2312"/>
          <w:sz w:val="32"/>
          <w:szCs w:val="32"/>
        </w:rPr>
        <w:t>领导班子</w:t>
      </w:r>
      <w:r>
        <w:rPr>
          <w:rFonts w:hint="eastAsia" w:ascii="仿宋_GB2312" w:hAnsi="仿宋_GB2312" w:eastAsia="仿宋_GB2312" w:cs="仿宋_GB2312"/>
          <w:sz w:val="32"/>
          <w:szCs w:val="32"/>
          <w:lang w:eastAsia="zh-CN"/>
        </w:rPr>
        <w:t>成员</w:t>
      </w:r>
      <w:r>
        <w:rPr>
          <w:rFonts w:hint="eastAsia" w:ascii="仿宋_GB2312" w:hAnsi="仿宋_GB2312" w:eastAsia="仿宋_GB2312" w:cs="仿宋_GB2312"/>
          <w:sz w:val="32"/>
          <w:szCs w:val="32"/>
        </w:rPr>
        <w:t>为副组长，各部室及各网点负责人为成员，领导小组成员具有较高的专业素养和良好信誉，在全社树立并推行绿色发展理念，将绿色金融纳入三年发展规划中，定期审批绿色信贷情况报告，全面监督、评估绿色信贷发展战略执行情况。</w:t>
      </w:r>
    </w:p>
    <w:p>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3.3专业部门层面。</w:t>
      </w:r>
      <w:r>
        <w:rPr>
          <w:rFonts w:hint="eastAsia" w:ascii="仿宋_GB2312" w:hAnsi="仿宋_GB2312" w:eastAsia="仿宋_GB2312" w:cs="仿宋_GB2312"/>
          <w:sz w:val="32"/>
          <w:szCs w:val="32"/>
          <w:lang w:val="en-US" w:eastAsia="zh-CN"/>
        </w:rPr>
        <w:t>联社成立普惠金融部，普惠金融部下设绿色普惠部二级部门，配备2名专业人员负责牵头绿色普惠金融具体工作的实施。同时，</w:t>
      </w:r>
      <w:r>
        <w:rPr>
          <w:rFonts w:hint="eastAsia" w:ascii="仿宋_GB2312" w:hAnsi="仿宋_GB2312" w:eastAsia="仿宋_GB2312" w:cs="仿宋_GB2312"/>
          <w:sz w:val="32"/>
          <w:szCs w:val="32"/>
        </w:rPr>
        <w:t>各业务条线应当有效识别、计量、监测、控制信贷业务活动中的环境和社会风险，建立环境和社会风险管理体系，完善相关信贷政策制度和流程管理</w:t>
      </w:r>
      <w:r>
        <w:rPr>
          <w:rFonts w:hint="eastAsia" w:ascii="仿宋_GB2312" w:hAnsi="仿宋_GB2312" w:eastAsia="仿宋_GB2312" w:cs="仿宋_GB2312"/>
          <w:sz w:val="32"/>
          <w:szCs w:val="32"/>
          <w:lang w:eastAsia="zh-CN"/>
        </w:rPr>
        <w:t>。</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3.4</w:t>
      </w:r>
      <w:r>
        <w:rPr>
          <w:rFonts w:hint="eastAsia" w:ascii="楷体_GB2312" w:hAnsi="楷体_GB2312" w:eastAsia="楷体_GB2312" w:cs="楷体_GB2312"/>
          <w:sz w:val="32"/>
          <w:szCs w:val="32"/>
          <w:lang w:eastAsia="zh-CN"/>
        </w:rPr>
        <w:t>绿色专营机构。</w:t>
      </w:r>
      <w:r>
        <w:rPr>
          <w:rFonts w:hint="eastAsia" w:ascii="仿宋_GB2312" w:hAnsi="仿宋_GB2312" w:eastAsia="仿宋_GB2312" w:cs="仿宋_GB2312"/>
          <w:sz w:val="32"/>
          <w:szCs w:val="32"/>
          <w:lang w:eastAsia="zh-CN"/>
        </w:rPr>
        <w:t>按照《江口县农村信用合作联社绿色普惠标杆网点建设工作实施方案》</w:t>
      </w:r>
      <w:r>
        <w:rPr>
          <w:rFonts w:hint="eastAsia" w:ascii="仿宋_GB2312" w:hAnsi="仿宋_GB2312" w:eastAsia="仿宋_GB2312" w:cs="仿宋_GB2312"/>
          <w:sz w:val="32"/>
          <w:szCs w:val="32"/>
          <w:lang w:val="en-US" w:eastAsia="zh-CN"/>
        </w:rPr>
        <w:t>（江农信办发〔2024〕111号），</w:t>
      </w:r>
      <w:r>
        <w:rPr>
          <w:rFonts w:hint="eastAsia" w:ascii="仿宋_GB2312" w:hAnsi="仿宋_GB2312" w:cs="仿宋_GB2312"/>
          <w:sz w:val="32"/>
          <w:szCs w:val="32"/>
          <w:lang w:val="en-US" w:eastAsia="zh-CN"/>
        </w:rPr>
        <w:t>截至</w:t>
      </w:r>
      <w:r>
        <w:rPr>
          <w:rFonts w:hint="eastAsia" w:ascii="仿宋_GB2312" w:hAnsi="仿宋_GB2312" w:eastAsia="仿宋_GB2312" w:cs="仿宋_GB2312"/>
          <w:sz w:val="32"/>
          <w:szCs w:val="32"/>
          <w:lang w:val="en-US" w:eastAsia="zh-CN"/>
        </w:rPr>
        <w:t>2024年末，我社已打造绿色普惠标杆网点2个，分别为联社营业部及太平信用社，网点内设置绿色普惠展示区，并建立绿色普惠金融专柜，对绿色普惠信贷优先审批。</w:t>
      </w:r>
    </w:p>
    <w:p>
      <w:pPr>
        <w:numPr>
          <w:ilvl w:val="0"/>
          <w:numId w:val="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4.环境及绿色金融相关政策制度</w:t>
      </w:r>
    </w:p>
    <w:p>
      <w:pPr>
        <w:numPr>
          <w:ilvl w:val="0"/>
          <w:numId w:val="0"/>
        </w:num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4.1内部政策制度</w:t>
      </w:r>
    </w:p>
    <w:p>
      <w:pPr>
        <w:pStyle w:val="4"/>
        <w:widowControl/>
        <w:spacing w:before="0" w:beforeAutospacing="0" w:after="0" w:afterAutospacing="0"/>
        <w:jc w:val="both"/>
        <w:rPr>
          <w:rFonts w:hint="eastAsia" w:ascii="Times New Roman" w:hAnsi="Times New Roman"/>
          <w:b/>
          <w:bCs/>
          <w:lang w:val="en-US" w:eastAsia="zh-CN"/>
        </w:rPr>
      </w:pPr>
    </w:p>
    <w:p>
      <w:pPr>
        <w:pStyle w:val="4"/>
        <w:widowControl/>
        <w:spacing w:before="0" w:beforeAutospacing="0" w:after="0" w:afterAutospacing="0"/>
        <w:jc w:val="center"/>
        <w:rPr>
          <w:rFonts w:hint="eastAsia" w:ascii="Times New Roman" w:hAnsi="Times New Roman"/>
          <w:b/>
          <w:bCs/>
          <w:lang w:val="en-US" w:eastAsia="zh-CN"/>
        </w:rPr>
      </w:pPr>
      <w:r>
        <w:rPr>
          <w:rFonts w:hint="eastAsia" w:ascii="Times New Roman" w:hAnsi="Times New Roman"/>
          <w:b/>
          <w:bCs/>
          <w:lang w:val="en-US" w:eastAsia="zh-CN"/>
        </w:rPr>
        <w:t>2024年江口农信联社</w:t>
      </w:r>
      <w:r>
        <w:rPr>
          <w:rFonts w:ascii="Times New Roman" w:hAnsi="Times New Roman"/>
          <w:b/>
          <w:bCs/>
        </w:rPr>
        <w:t>印发的绿色金融政策</w:t>
      </w:r>
      <w:r>
        <w:rPr>
          <w:rFonts w:hint="eastAsia" w:ascii="Times New Roman" w:hAnsi="Times New Roman"/>
          <w:b/>
          <w:bCs/>
          <w:lang w:val="en-US" w:eastAsia="zh-CN"/>
        </w:rPr>
        <w:t>制度</w:t>
      </w:r>
    </w:p>
    <w:p>
      <w:pPr>
        <w:pStyle w:val="4"/>
        <w:widowControl/>
        <w:spacing w:before="0" w:beforeAutospacing="0" w:after="0" w:afterAutospacing="0"/>
        <w:jc w:val="center"/>
        <w:rPr>
          <w:rFonts w:hint="eastAsia" w:ascii="Times New Roman" w:hAnsi="Times New Roman"/>
          <w:b/>
          <w:bCs/>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黑体" w:hAnsi="黑体" w:eastAsia="黑体" w:cs="黑体"/>
                <w:sz w:val="21"/>
                <w:szCs w:val="21"/>
              </w:rPr>
              <w:t>序号</w:t>
            </w:r>
          </w:p>
        </w:tc>
        <w:tc>
          <w:tcPr>
            <w:tcW w:w="7823" w:type="dxa"/>
            <w:noWrap w:val="0"/>
            <w:vAlign w:val="top"/>
          </w:tcPr>
          <w:p>
            <w:pPr>
              <w:pStyle w:val="4"/>
              <w:widowControl/>
              <w:spacing w:before="0" w:beforeAutospacing="0" w:after="0" w:afterAutospacing="0"/>
              <w:jc w:val="center"/>
              <w:rPr>
                <w:rFonts w:ascii="Times New Roman" w:hAnsi="Times New Roman" w:eastAsia="宋体"/>
                <w:sz w:val="21"/>
                <w:szCs w:val="21"/>
              </w:rPr>
            </w:pPr>
            <w:r>
              <w:rPr>
                <w:rFonts w:hint="eastAsia" w:ascii="黑体" w:hAnsi="黑体" w:eastAsia="黑体" w:cs="黑体"/>
                <w:sz w:val="21"/>
                <w:szCs w:val="21"/>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ascii="Times New Roman" w:hAnsi="Times New Roman" w:eastAsia="宋体"/>
                <w:sz w:val="21"/>
                <w:szCs w:val="21"/>
              </w:rPr>
            </w:pPr>
            <w:r>
              <w:rPr>
                <w:rFonts w:ascii="Times New Roman" w:hAnsi="Times New Roman" w:eastAsia="宋体"/>
                <w:sz w:val="21"/>
                <w:szCs w:val="21"/>
              </w:rPr>
              <w:t>1</w:t>
            </w:r>
          </w:p>
        </w:tc>
        <w:tc>
          <w:tcPr>
            <w:tcW w:w="7823"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Times New Roman" w:hAnsi="Times New Roman" w:eastAsia="宋体"/>
                <w:sz w:val="21"/>
                <w:szCs w:val="21"/>
                <w:lang w:val="en-US" w:eastAsia="zh-CN"/>
              </w:rPr>
              <w:t>《</w:t>
            </w:r>
            <w:r>
              <w:rPr>
                <w:rFonts w:hint="eastAsia" w:ascii="Times New Roman" w:hAnsi="Times New Roman" w:eastAsia="宋体"/>
                <w:sz w:val="21"/>
                <w:szCs w:val="21"/>
              </w:rPr>
              <w:t>江口县农村信用合作联社2024年绿色普惠金融高质量发展工作方案</w:t>
            </w:r>
            <w:r>
              <w:rPr>
                <w:rFonts w:hint="eastAsia" w:ascii="Times New Roman" w:hAnsi="Times New Roman" w:eastAsia="宋体"/>
                <w:sz w:val="21"/>
                <w:szCs w:val="21"/>
                <w:lang w:val="en-US" w:eastAsia="zh-CN"/>
              </w:rPr>
              <w:t>》（江农信办发〔2024〕37号）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2</w:t>
            </w:r>
          </w:p>
        </w:tc>
        <w:tc>
          <w:tcPr>
            <w:tcW w:w="7823"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Times New Roman" w:hAnsi="Times New Roman" w:eastAsia="宋体"/>
                <w:sz w:val="21"/>
                <w:szCs w:val="21"/>
                <w:lang w:val="en-US" w:eastAsia="zh-CN"/>
              </w:rPr>
              <w:t>《江口县农村信用合作联社2024年“绿色普惠信用村”创建实施方案》（江农信办发〔2024〕64号）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3</w:t>
            </w:r>
          </w:p>
        </w:tc>
        <w:tc>
          <w:tcPr>
            <w:tcW w:w="7823"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Times New Roman" w:hAnsi="Times New Roman" w:eastAsia="宋体"/>
                <w:sz w:val="21"/>
                <w:szCs w:val="21"/>
                <w:lang w:val="en-US" w:eastAsia="zh-CN"/>
              </w:rPr>
              <w:t>《江口县农村信用合作联社“梵净生态账户”管理办法（试行）》（江农信办发〔2024〕81号）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4</w:t>
            </w:r>
          </w:p>
        </w:tc>
        <w:tc>
          <w:tcPr>
            <w:tcW w:w="7823" w:type="dxa"/>
            <w:noWrap w:val="0"/>
            <w:vAlign w:val="top"/>
          </w:tcPr>
          <w:p>
            <w:pPr>
              <w:pStyle w:val="4"/>
              <w:widowControl/>
              <w:spacing w:before="0" w:beforeAutospacing="0" w:after="0" w:afterAutospacing="0"/>
              <w:rPr>
                <w:rFonts w:hint="default" w:ascii="Times New Roman" w:hAnsi="Times New Roman" w:eastAsia="宋体"/>
                <w:sz w:val="21"/>
                <w:szCs w:val="21"/>
              </w:rPr>
            </w:pPr>
            <w:r>
              <w:rPr>
                <w:rFonts w:hint="eastAsia" w:ascii="Times New Roman" w:hAnsi="Times New Roman" w:eastAsia="宋体"/>
                <w:sz w:val="21"/>
                <w:szCs w:val="21"/>
                <w:lang w:eastAsia="zh-CN"/>
              </w:rPr>
              <w:t>《江口县农村信用合作联社绿色普惠标杆网点建设工作实施方案》</w:t>
            </w:r>
            <w:r>
              <w:rPr>
                <w:rFonts w:hint="eastAsia" w:ascii="Times New Roman" w:hAnsi="Times New Roman" w:eastAsia="宋体"/>
                <w:sz w:val="21"/>
                <w:szCs w:val="21"/>
                <w:lang w:val="en-US" w:eastAsia="zh-CN"/>
              </w:rPr>
              <w:t>（江农信办发〔2024〕111号）</w:t>
            </w:r>
          </w:p>
        </w:tc>
      </w:tr>
    </w:tbl>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4.1.1 《江口县农村信用合作联社2024年绿色普惠金融高质量发展工作方案》。围绕生态产品价值实现、乡村绿色振兴、县域经济绿色发展等重点领域，持续提升绿色普惠信贷余额占比，积极优化生态账户建档对象及应用转换率，增厚江口农信绿色底色。</w:t>
      </w:r>
      <w:r>
        <w:rPr>
          <w:rFonts w:hint="eastAsia" w:ascii="仿宋_GB2312" w:hAnsi="仿宋_GB2312" w:cs="仿宋_GB2312"/>
          <w:sz w:val="32"/>
          <w:szCs w:val="32"/>
          <w:lang w:val="en-US" w:eastAsia="zh-CN"/>
        </w:rPr>
        <w:t>截至</w:t>
      </w:r>
      <w:r>
        <w:rPr>
          <w:rFonts w:hint="eastAsia" w:ascii="仿宋_GB2312" w:hAnsi="仿宋_GB2312" w:eastAsia="仿宋_GB2312" w:cs="仿宋_GB2312"/>
          <w:sz w:val="32"/>
          <w:szCs w:val="32"/>
          <w:lang w:val="en-US" w:eastAsia="zh-CN"/>
        </w:rPr>
        <w:t>2024年末，江口农信联社绿色普惠信贷</w:t>
      </w:r>
      <w:r>
        <w:rPr>
          <w:rFonts w:hint="eastAsia" w:ascii="仿宋_GB2312" w:hAnsi="仿宋_GB2312" w:cs="仿宋_GB2312"/>
          <w:sz w:val="32"/>
          <w:szCs w:val="32"/>
          <w:lang w:val="en-US" w:eastAsia="zh-CN"/>
        </w:rPr>
        <w:t>余额</w:t>
      </w:r>
      <w:r>
        <w:rPr>
          <w:rFonts w:hint="eastAsia" w:ascii="仿宋_GB2312" w:hAnsi="仿宋_GB2312" w:eastAsia="仿宋_GB2312" w:cs="仿宋_GB2312"/>
          <w:sz w:val="32"/>
          <w:szCs w:val="32"/>
          <w:lang w:val="en-US" w:eastAsia="zh-CN"/>
        </w:rPr>
        <w:t>14.82亿元，较上年增加3.74亿元； 占各项贷款总额的</w:t>
      </w:r>
      <w:r>
        <w:rPr>
          <w:rFonts w:hint="eastAsia" w:ascii="仿宋_GB2312" w:hAnsi="仿宋_GB2312" w:eastAsia="仿宋_GB2312" w:cs="仿宋_GB2312"/>
          <w:sz w:val="32"/>
          <w:szCs w:val="32"/>
          <w:highlight w:val="none"/>
          <w:lang w:val="en-US" w:eastAsia="zh-CN"/>
        </w:rPr>
        <w:t>35.38%，占比较上年增加7.45个百分点。</w:t>
      </w:r>
    </w:p>
    <w:p>
      <w:pPr>
        <w:numPr>
          <w:ilvl w:val="0"/>
          <w:numId w:val="0"/>
        </w:numPr>
        <w:spacing w:line="560" w:lineRule="exact"/>
        <w:ind w:firstLine="640" w:firstLineChars="200"/>
        <w:rPr>
          <w:rFonts w:hint="default" w:ascii="仿宋_GB2312"/>
          <w:lang w:val="en-US" w:eastAsia="zh-CN"/>
        </w:rPr>
      </w:pPr>
      <w:r>
        <w:rPr>
          <w:rFonts w:hint="eastAsia" w:ascii="仿宋_GB2312" w:hAnsi="仿宋_GB2312" w:eastAsia="仿宋_GB2312" w:cs="仿宋_GB2312"/>
          <w:sz w:val="32"/>
          <w:szCs w:val="32"/>
          <w:highlight w:val="none"/>
          <w:lang w:val="en-US" w:eastAsia="zh-CN"/>
        </w:rPr>
        <w:t>4.1.2 《</w:t>
      </w:r>
      <w:r>
        <w:rPr>
          <w:rFonts w:hint="eastAsia" w:ascii="仿宋_GB2312" w:hAnsi="仿宋_GB2312" w:eastAsia="仿宋_GB2312" w:cs="仿宋_GB2312"/>
          <w:sz w:val="32"/>
          <w:szCs w:val="32"/>
          <w:lang w:val="en-US" w:eastAsia="zh-CN"/>
        </w:rPr>
        <w:t>江口县农村信用合作联社2024年“绿色普惠信用村”创建实施方案》。以服务乡村全面振兴和生态文明建设为出发点，结合传统信用工程建设和生态账户优化运用工作情况，建设绿色普惠信用工程，打造贵州农信特有的绿色信用体系。以绿色普惠信用工程为抓手，实施更加精准有力的绿色普惠金融服务，持续提升绿色普惠金融业务发展可负担可持续的能力和水平，全力助推乡村产业绿色发展、农村生态文明建设与乡村文化繁荣发展。</w:t>
      </w:r>
      <w:r>
        <w:rPr>
          <w:rFonts w:hint="eastAsia" w:ascii="仿宋_GB2312" w:hAnsi="仿宋_GB2312" w:cs="仿宋_GB2312"/>
          <w:sz w:val="32"/>
          <w:szCs w:val="32"/>
          <w:lang w:val="en-US" w:eastAsia="zh-CN"/>
        </w:rPr>
        <w:t>截至</w:t>
      </w:r>
      <w:r>
        <w:rPr>
          <w:rFonts w:hint="eastAsia" w:ascii="仿宋_GB2312" w:hAnsi="仿宋_GB2312" w:eastAsia="仿宋_GB2312" w:cs="仿宋_GB2312"/>
          <w:sz w:val="32"/>
          <w:szCs w:val="32"/>
          <w:lang w:val="en-US" w:eastAsia="zh-CN"/>
        </w:rPr>
        <w:t>2024年末，</w:t>
      </w:r>
      <w:r>
        <w:rPr>
          <w:rFonts w:hint="eastAsia" w:ascii="仿宋_GB2312" w:hAnsi="仿宋_GB2312" w:eastAsia="仿宋_GB2312" w:cs="仿宋_GB2312"/>
          <w:color w:val="auto"/>
          <w:sz w:val="32"/>
          <w:szCs w:val="32"/>
          <w:lang w:val="en-US" w:eastAsia="zh-CN"/>
        </w:rPr>
        <w:t>江口农信联社已创建绿色普惠信用村14个，打造绿色普惠信用组数151个，建立绿色普惠信用户户数5102户。</w:t>
      </w:r>
    </w:p>
    <w:p>
      <w:pPr>
        <w:numPr>
          <w:ilvl w:val="0"/>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4.1.3</w:t>
      </w:r>
      <w:r>
        <w:rPr>
          <w:rFonts w:hint="eastAsia" w:ascii="仿宋_GB2312" w:hAnsi="仿宋_GB2312" w:eastAsia="仿宋_GB2312" w:cs="仿宋_GB2312"/>
          <w:sz w:val="32"/>
          <w:szCs w:val="32"/>
          <w:lang w:val="en-US" w:eastAsia="zh-CN"/>
        </w:rPr>
        <w:t xml:space="preserve"> 《江口县农村信用合作联社“梵净生态账户”管理办法（试行）》。</w:t>
      </w:r>
      <w:r>
        <w:rPr>
          <w:rFonts w:hint="eastAsia" w:ascii="仿宋_GB2312" w:hAnsi="仿宋_GB2312" w:cs="仿宋_GB2312"/>
          <w:sz w:val="32"/>
          <w:szCs w:val="32"/>
          <w:lang w:val="en-US" w:eastAsia="zh-CN"/>
        </w:rPr>
        <w:t>为进</w:t>
      </w:r>
      <w:r>
        <w:rPr>
          <w:rFonts w:hint="eastAsia" w:ascii="仿宋_GB2312" w:hAnsi="仿宋_GB2312" w:eastAsia="仿宋_GB2312" w:cs="仿宋_GB2312"/>
          <w:sz w:val="32"/>
          <w:szCs w:val="32"/>
          <w:lang w:val="en-US" w:eastAsia="zh-CN"/>
        </w:rPr>
        <w:t>一步推进江口农信联社绿色金融服务工作，加快绿色信贷转型，2024年我社对原生态账户管理办法进行了两次修订。</w:t>
      </w:r>
      <w:r>
        <w:rPr>
          <w:rFonts w:hint="eastAsia" w:ascii="仿宋_GB2312" w:hAnsi="仿宋_GB2312" w:cs="仿宋_GB2312"/>
          <w:sz w:val="32"/>
          <w:szCs w:val="32"/>
          <w:lang w:val="en-US" w:eastAsia="zh-CN"/>
        </w:rPr>
        <w:t>截至</w:t>
      </w:r>
      <w:r>
        <w:rPr>
          <w:rFonts w:hint="eastAsia" w:ascii="仿宋_GB2312" w:hAnsi="仿宋_GB2312" w:eastAsia="仿宋_GB2312" w:cs="仿宋_GB2312"/>
          <w:sz w:val="32"/>
          <w:szCs w:val="32"/>
          <w:lang w:val="en-US" w:eastAsia="zh-CN"/>
        </w:rPr>
        <w:t>2024年末，江口农信联社“生态账户”建档户数12254户，建档主体贷款授信金额7.71亿元，运用“生态账户”累放贷款户数3067户，累放金额6.14亿元。</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4.1.4 </w:t>
      </w:r>
      <w:r>
        <w:rPr>
          <w:rFonts w:hint="eastAsia" w:ascii="仿宋_GB2312" w:hAnsi="仿宋_GB2312" w:eastAsia="仿宋_GB2312" w:cs="仿宋_GB2312"/>
          <w:sz w:val="32"/>
          <w:szCs w:val="32"/>
          <w:lang w:val="en-US" w:eastAsia="zh-CN"/>
        </w:rPr>
        <w:t>《江口县农村信用合作联社绿色普惠标杆网点建设工作实施方案》。江口农信联社以江口作为全国生态综合补偿试点县、全省生态产品价值实现机制试点县和全省绿色金融改革创新试点县为契机，立足支农支小市场定位，深化新时代普惠金融与绿色金融改革创新，大力推动绿色金融与普惠金融有机融合发展，助推江口建成全省绿色金融改革创新发展示范样板。聚焦联社自身内部运营及绿色普惠业务发展，2024年已打造营业部、太平信用社为绿色普惠标杆网点。</w:t>
      </w:r>
    </w:p>
    <w:p>
      <w:pPr>
        <w:numPr>
          <w:ilvl w:val="0"/>
          <w:numId w:val="0"/>
        </w:num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4.2 绿色金融相关政策法规和标准</w:t>
      </w:r>
    </w:p>
    <w:p>
      <w:pPr>
        <w:pStyle w:val="4"/>
        <w:widowControl/>
        <w:spacing w:before="0" w:beforeAutospacing="0" w:after="0" w:afterAutospacing="0"/>
        <w:jc w:val="both"/>
        <w:rPr>
          <w:rFonts w:hint="eastAsia" w:ascii="Times New Roman" w:hAnsi="Times New Roman"/>
          <w:b/>
          <w:bCs/>
          <w:lang w:val="en-US" w:eastAsia="zh-CN"/>
        </w:rPr>
      </w:pPr>
    </w:p>
    <w:p>
      <w:pPr>
        <w:pStyle w:val="4"/>
        <w:widowControl/>
        <w:spacing w:before="0" w:beforeAutospacing="0" w:after="0" w:afterAutospacing="0"/>
        <w:ind w:firstLine="964" w:firstLineChars="400"/>
        <w:jc w:val="both"/>
        <w:rPr>
          <w:rFonts w:hint="eastAsia" w:ascii="Times New Roman" w:hAnsi="Times New Roman"/>
          <w:b/>
          <w:bCs/>
          <w:lang w:val="en-US" w:eastAsia="zh-CN"/>
        </w:rPr>
      </w:pPr>
      <w:r>
        <w:rPr>
          <w:rFonts w:hint="eastAsia" w:ascii="Times New Roman" w:hAnsi="Times New Roman"/>
          <w:b/>
          <w:bCs/>
          <w:lang w:val="en-US" w:eastAsia="zh-CN"/>
        </w:rPr>
        <w:t>2024年国家、省环境或绿色金融相关政策文件和标准（部分）</w:t>
      </w:r>
    </w:p>
    <w:p>
      <w:pPr>
        <w:pStyle w:val="4"/>
        <w:widowControl/>
        <w:spacing w:before="0" w:beforeAutospacing="0" w:after="0" w:afterAutospacing="0"/>
        <w:jc w:val="center"/>
        <w:rPr>
          <w:rFonts w:hint="eastAsia" w:ascii="Times New Roman" w:hAnsi="Times New Roman"/>
          <w:b/>
          <w:bCs/>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黑体" w:hAnsi="黑体" w:eastAsia="黑体" w:cs="黑体"/>
                <w:sz w:val="21"/>
                <w:szCs w:val="21"/>
              </w:rPr>
              <w:t>序号</w:t>
            </w:r>
          </w:p>
        </w:tc>
        <w:tc>
          <w:tcPr>
            <w:tcW w:w="7823" w:type="dxa"/>
            <w:noWrap w:val="0"/>
            <w:vAlign w:val="top"/>
          </w:tcPr>
          <w:p>
            <w:pPr>
              <w:pStyle w:val="4"/>
              <w:widowControl/>
              <w:spacing w:before="0" w:beforeAutospacing="0" w:after="0" w:afterAutospacing="0"/>
              <w:jc w:val="center"/>
              <w:rPr>
                <w:rFonts w:ascii="Times New Roman" w:hAnsi="Times New Roman" w:eastAsia="宋体"/>
                <w:sz w:val="21"/>
                <w:szCs w:val="21"/>
              </w:rPr>
            </w:pPr>
            <w:r>
              <w:rPr>
                <w:rFonts w:hint="eastAsia" w:ascii="黑体" w:hAnsi="黑体" w:eastAsia="黑体" w:cs="黑体"/>
                <w:sz w:val="21"/>
                <w:szCs w:val="21"/>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w:t>
            </w:r>
          </w:p>
          <w:p>
            <w:pPr>
              <w:pStyle w:val="4"/>
              <w:widowControl/>
              <w:spacing w:before="0" w:beforeAutospacing="0" w:after="0" w:afterAutospacing="0"/>
              <w:jc w:val="center"/>
              <w:rPr>
                <w:rFonts w:hint="eastAsia" w:ascii="Times New Roman" w:hAnsi="Times New Roman"/>
                <w:sz w:val="21"/>
                <w:szCs w:val="21"/>
                <w:lang w:val="en-US" w:eastAsia="zh-CN"/>
              </w:rPr>
            </w:pPr>
          </w:p>
        </w:tc>
        <w:tc>
          <w:tcPr>
            <w:tcW w:w="7823" w:type="dxa"/>
            <w:noWrap w:val="0"/>
            <w:vAlign w:val="top"/>
          </w:tcPr>
          <w:p>
            <w:pPr>
              <w:pStyle w:val="4"/>
              <w:widowControl/>
              <w:spacing w:before="0" w:beforeAutospacing="0" w:after="0" w:afterAutospacing="0"/>
              <w:rPr>
                <w:rFonts w:hint="eastAsia" w:ascii="Times New Roman" w:hAnsi="Times New Roman"/>
                <w:sz w:val="21"/>
                <w:szCs w:val="21"/>
                <w:lang w:val="en-US" w:eastAsia="zh-CN"/>
              </w:rPr>
            </w:pPr>
            <w:r>
              <w:rPr>
                <w:rFonts w:hint="eastAsia" w:ascii="Times New Roman" w:hAnsi="Times New Roman"/>
                <w:sz w:val="21"/>
                <w:szCs w:val="21"/>
                <w:lang w:val="en-US" w:eastAsia="zh-CN"/>
              </w:rPr>
              <w:t>《中共中央 国务院关于学习运用“千村示范、万村整治”工程经验有力有效推进乡村全面振兴的意见》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2</w:t>
            </w:r>
          </w:p>
        </w:tc>
        <w:tc>
          <w:tcPr>
            <w:tcW w:w="7823" w:type="dxa"/>
            <w:noWrap w:val="0"/>
            <w:vAlign w:val="top"/>
          </w:tcPr>
          <w:p>
            <w:pPr>
              <w:pStyle w:val="4"/>
              <w:widowControl/>
              <w:spacing w:before="0" w:beforeAutospacing="0" w:after="0" w:afterAutospacing="0"/>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《2024—2025年节能降碳行动方案》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3</w:t>
            </w:r>
          </w:p>
        </w:tc>
        <w:tc>
          <w:tcPr>
            <w:tcW w:w="7823" w:type="dxa"/>
            <w:noWrap w:val="0"/>
            <w:vAlign w:val="top"/>
          </w:tcPr>
          <w:p>
            <w:pPr>
              <w:pStyle w:val="4"/>
              <w:widowControl/>
              <w:spacing w:before="0" w:beforeAutospacing="0" w:after="0" w:afterAutospacing="0"/>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《绿色低碳转型产业指导目录（2024年版）》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4</w:t>
            </w:r>
          </w:p>
        </w:tc>
        <w:tc>
          <w:tcPr>
            <w:tcW w:w="7823"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Times New Roman" w:hAnsi="Times New Roman" w:eastAsia="宋体"/>
                <w:sz w:val="21"/>
                <w:szCs w:val="21"/>
                <w:lang w:val="en-US" w:eastAsia="zh-CN"/>
              </w:rPr>
              <w:t>《</w:t>
            </w:r>
            <w:r>
              <w:rPr>
                <w:rFonts w:hint="eastAsia" w:ascii="Times New Roman" w:hAnsi="Times New Roman"/>
                <w:sz w:val="21"/>
                <w:szCs w:val="21"/>
                <w:lang w:eastAsia="zh-CN"/>
              </w:rPr>
              <w:t>关于进一步强化金融支持绿色低碳发展的指导意见</w:t>
            </w: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5</w:t>
            </w:r>
          </w:p>
        </w:tc>
        <w:tc>
          <w:tcPr>
            <w:tcW w:w="7823" w:type="dxa"/>
            <w:noWrap w:val="0"/>
            <w:vAlign w:val="top"/>
          </w:tcPr>
          <w:p>
            <w:pPr>
              <w:pStyle w:val="4"/>
              <w:widowControl/>
              <w:spacing w:before="0" w:beforeAutospacing="0" w:after="0" w:afterAutospacing="0"/>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《中共贵州省委 贵州省人民政府关于学习“千万工程”经验 加快“四在农家·和美乡村”建设推进乡村全面振兴的实施意见》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default" w:ascii="Times New Roman" w:hAnsi="Times New Roman"/>
                <w:sz w:val="21"/>
                <w:szCs w:val="21"/>
                <w:lang w:val="en-US" w:eastAsia="zh-CN"/>
              </w:rPr>
            </w:pPr>
            <w:r>
              <w:rPr>
                <w:rFonts w:hint="eastAsia" w:ascii="Times New Roman" w:hAnsi="Times New Roman"/>
                <w:sz w:val="21"/>
                <w:szCs w:val="21"/>
                <w:lang w:val="en-US" w:eastAsia="zh-CN"/>
              </w:rPr>
              <w:t>6</w:t>
            </w:r>
          </w:p>
        </w:tc>
        <w:tc>
          <w:tcPr>
            <w:tcW w:w="7823" w:type="dxa"/>
            <w:noWrap w:val="0"/>
            <w:vAlign w:val="top"/>
          </w:tcPr>
          <w:p>
            <w:pPr>
              <w:pStyle w:val="4"/>
              <w:widowControl/>
              <w:spacing w:before="0" w:beforeAutospacing="0" w:after="0" w:afterAutospacing="0"/>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《中共贵州省委 贵州省人民政府关于全面推进美丽贵州建设的实施意见》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7</w:t>
            </w:r>
          </w:p>
        </w:tc>
        <w:tc>
          <w:tcPr>
            <w:tcW w:w="7823"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Times New Roman" w:hAnsi="Times New Roman" w:eastAsia="宋体"/>
                <w:sz w:val="21"/>
                <w:szCs w:val="21"/>
                <w:lang w:val="en-US" w:eastAsia="zh-CN"/>
              </w:rPr>
              <w:t>《</w:t>
            </w:r>
            <w:r>
              <w:rPr>
                <w:rFonts w:hint="eastAsia" w:ascii="Times New Roman" w:hAnsi="Times New Roman"/>
                <w:sz w:val="21"/>
                <w:szCs w:val="21"/>
                <w:lang w:val="en-US" w:eastAsia="zh-CN"/>
              </w:rPr>
              <w:t>国家金融监督管理总局关于银行业保险业做好金融“五篇大文章”的指导意见</w:t>
            </w:r>
            <w:r>
              <w:rPr>
                <w:rFonts w:hint="eastAsia" w:ascii="Times New Roman" w:hAnsi="Times New Roman"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4"/>
              <w:widowControl/>
              <w:spacing w:before="0" w:beforeAutospacing="0" w:after="0" w:afterAutospacing="0"/>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8</w:t>
            </w:r>
          </w:p>
        </w:tc>
        <w:tc>
          <w:tcPr>
            <w:tcW w:w="7823" w:type="dxa"/>
            <w:noWrap w:val="0"/>
            <w:vAlign w:val="top"/>
          </w:tcPr>
          <w:p>
            <w:pPr>
              <w:pStyle w:val="4"/>
              <w:widowControl/>
              <w:spacing w:before="0" w:beforeAutospacing="0" w:after="0" w:afterAutospacing="0"/>
              <w:rPr>
                <w:rFonts w:ascii="Times New Roman" w:hAnsi="Times New Roman" w:eastAsia="宋体"/>
                <w:sz w:val="21"/>
                <w:szCs w:val="21"/>
              </w:rPr>
            </w:pPr>
            <w:r>
              <w:rPr>
                <w:rFonts w:hint="eastAsia" w:ascii="Times New Roman" w:hAnsi="Times New Roman" w:eastAsia="宋体"/>
                <w:sz w:val="21"/>
                <w:szCs w:val="21"/>
                <w:lang w:val="en-US" w:eastAsia="zh-CN"/>
              </w:rPr>
              <w:t>《</w:t>
            </w:r>
            <w:r>
              <w:rPr>
                <w:rFonts w:hint="eastAsia" w:ascii="Times New Roman" w:hAnsi="Times New Roman"/>
                <w:sz w:val="21"/>
                <w:szCs w:val="21"/>
                <w:lang w:val="en-US" w:eastAsia="zh-CN"/>
              </w:rPr>
              <w:t>2024年贵州省级绿色金融试点县建设重点工作任务清单</w:t>
            </w:r>
            <w:r>
              <w:rPr>
                <w:rFonts w:hint="eastAsia" w:ascii="Times New Roman" w:hAnsi="Times New Roman" w:eastAsia="宋体"/>
                <w:sz w:val="21"/>
                <w:szCs w:val="21"/>
                <w:lang w:val="en-US" w:eastAsia="zh-CN"/>
              </w:rPr>
              <w:t>》</w:t>
            </w:r>
          </w:p>
        </w:tc>
      </w:tr>
    </w:tbl>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江口农信联社围绕国家、省</w:t>
      </w:r>
      <w:r>
        <w:rPr>
          <w:rFonts w:hint="eastAsia" w:ascii="仿宋_GB2312" w:hAnsi="仿宋_GB2312" w:cs="仿宋_GB2312"/>
          <w:sz w:val="32"/>
          <w:szCs w:val="32"/>
          <w:lang w:val="en-US" w:eastAsia="zh-CN"/>
        </w:rPr>
        <w:t>绿色金融或环境</w:t>
      </w:r>
      <w:r>
        <w:rPr>
          <w:rFonts w:hint="eastAsia" w:ascii="仿宋_GB2312" w:hAnsi="仿宋_GB2312" w:eastAsia="仿宋_GB2312" w:cs="仿宋_GB2312"/>
          <w:sz w:val="32"/>
          <w:szCs w:val="32"/>
          <w:lang w:val="en-US" w:eastAsia="zh-CN"/>
        </w:rPr>
        <w:t>政策文件，制定绿色普惠金融发展规划、内部政策文件等，除上述绿色普惠金融的专项文件外，我社还出台了《江口县农村信用合作联社做好“五篇大文章”服务地方社会高质量发展实施方案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江口县农村信用合作联社小微金融三年行动实施方案（2023-2025 年）</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江口县农村信用社服务全县巩固拓展脱贫攻坚成果助力乡村振兴的实施方案（2023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2025年）》等内部文件，充分发挥农信社农村金融主力军作用，将更多金融资源配置到国家及省部署的重点领域、重点行业、重点对象，争抓环境和绿色金融政策机遇，助力政策落地实施的同时，推动自身绿色转型发展。</w:t>
      </w:r>
    </w:p>
    <w:p>
      <w:pPr>
        <w:numPr>
          <w:ilvl w:val="0"/>
          <w:numId w:val="0"/>
        </w:num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5.环境风险管理及机遇</w:t>
      </w:r>
    </w:p>
    <w:p>
      <w:pPr>
        <w:numPr>
          <w:ilvl w:val="0"/>
          <w:numId w:val="0"/>
        </w:num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5.1环境风险相关管理机制和流程</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5.1.1强化顶层设计。制定绿色普惠金融三年发展战略规划，明确要求深入践行“创新、协调、绿色、开放、共享”和“绿水青山就是金山银山”的新发展理念，以“碳达峰碳中和目标”为愿景，紧抓绿色复苏和低碳发展的机遇，围绕“倡导生态文明理念、聚焦减缓气候变化、保护生物多样性、推动绿色低碳可持续发展”的目标大力发展绿色普惠金融。根据省联社绿色普惠信贷管理指引出台了《江口县农村信用合作联社绿色普惠信贷管理办法（暂行）》，为规范绿色信贷业务发展提供遵循。</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构建管理体系。自上而下明确联社理事会绿色普惠金融委员会、绿色普惠金融部、网点职责。明确绿色普惠金融委员会管理职责，明确普惠金融部、合规风险部门、财务会计部门的工作职责，明确各网点工作落实职责。</w:t>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5.1.3 建立业务流程。建立并完善绿色普惠信贷管理制度及流程，客户经理及相关人员根据客户及贷款投向行业、区域特点，全面、深入、细致落实贷前调查、贷中审查、贷后检查，遵照绿色普惠信贷业务操作基本流程，严把关键节点，严审关键风险点。</w:t>
      </w:r>
    </w:p>
    <w:p>
      <w:pPr>
        <w:pStyle w:val="8"/>
      </w:pPr>
    </w:p>
    <w:p>
      <w:pPr>
        <w:pStyle w:val="4"/>
        <w:keepNext w:val="0"/>
        <w:keepLines w:val="0"/>
        <w:widowControl/>
        <w:suppressLineNumbers w:val="0"/>
        <w:suppressAutoHyphens/>
        <w:bidi w:val="0"/>
        <w:spacing w:before="0" w:beforeAutospacing="0" w:after="0" w:afterAutospacing="0"/>
        <w:ind w:left="0" w:right="0" w:firstLine="0"/>
        <w:jc w:val="center"/>
        <w:rPr>
          <w:rFonts w:hint="eastAsia" w:ascii="Times New Roman" w:hAnsi="Times New Roman" w:eastAsia="黑体" w:cs="Times New Roman"/>
          <w:color w:val="auto"/>
          <w:sz w:val="44"/>
          <w:szCs w:val="44"/>
          <w:highlight w:val="none"/>
          <w:lang w:val="en-US" w:eastAsia="zh-CN"/>
        </w:rPr>
      </w:pPr>
    </w:p>
    <w:p>
      <w:pPr>
        <w:pStyle w:val="4"/>
        <w:keepNext w:val="0"/>
        <w:keepLines w:val="0"/>
        <w:widowControl/>
        <w:suppressLineNumbers w:val="0"/>
        <w:suppressAutoHyphens/>
        <w:bidi w:val="0"/>
        <w:spacing w:before="0" w:beforeAutospacing="0" w:after="0" w:afterAutospacing="0"/>
        <w:ind w:left="0" w:right="0" w:firstLine="0"/>
        <w:jc w:val="center"/>
        <w:rPr>
          <w:rFonts w:hint="eastAsia" w:ascii="Times New Roman" w:hAnsi="Times New Roman" w:eastAsia="黑体" w:cs="Times New Roman"/>
          <w:color w:val="auto"/>
          <w:sz w:val="44"/>
          <w:szCs w:val="44"/>
          <w:highlight w:val="none"/>
          <w:lang w:val="en-US" w:eastAsia="zh-CN"/>
        </w:rPr>
      </w:pPr>
    </w:p>
    <w:p>
      <w:pPr>
        <w:pStyle w:val="4"/>
        <w:keepNext w:val="0"/>
        <w:keepLines w:val="0"/>
        <w:widowControl/>
        <w:suppressLineNumbers w:val="0"/>
        <w:suppressAutoHyphens/>
        <w:bidi w:val="0"/>
        <w:spacing w:before="0" w:beforeAutospacing="0" w:after="0" w:afterAutospacing="0"/>
        <w:ind w:left="0" w:right="0" w:firstLine="0"/>
        <w:jc w:val="center"/>
        <w:rPr>
          <w:rFonts w:hint="eastAsia" w:ascii="Times New Roman" w:hAnsi="Times New Roman" w:eastAsia="黑体" w:cs="Times New Roman"/>
          <w:color w:val="auto"/>
          <w:sz w:val="44"/>
          <w:szCs w:val="44"/>
          <w:highlight w:val="none"/>
          <w:lang w:val="en-US" w:eastAsia="zh-CN"/>
        </w:rPr>
      </w:pPr>
    </w:p>
    <w:p>
      <w:pPr>
        <w:pStyle w:val="4"/>
        <w:keepNext w:val="0"/>
        <w:keepLines w:val="0"/>
        <w:widowControl/>
        <w:suppressLineNumbers w:val="0"/>
        <w:suppressAutoHyphens/>
        <w:bidi w:val="0"/>
        <w:spacing w:before="0" w:beforeAutospacing="0" w:after="0" w:afterAutospacing="0"/>
        <w:ind w:left="0" w:right="0" w:firstLine="0"/>
        <w:jc w:val="center"/>
        <w:rPr>
          <w:rFonts w:hint="eastAsia" w:ascii="Times New Roman" w:hAnsi="Times New Roman" w:eastAsia="黑体" w:cs="Times New Roman"/>
          <w:color w:val="auto"/>
          <w:sz w:val="44"/>
          <w:szCs w:val="44"/>
          <w:highlight w:val="none"/>
          <w:lang w:val="en-US" w:eastAsia="zh-CN"/>
        </w:rPr>
      </w:pPr>
    </w:p>
    <w:p>
      <w:pPr>
        <w:pStyle w:val="4"/>
        <w:keepNext w:val="0"/>
        <w:keepLines w:val="0"/>
        <w:widowControl/>
        <w:suppressLineNumbers w:val="0"/>
        <w:suppressAutoHyphens/>
        <w:bidi w:val="0"/>
        <w:spacing w:before="0" w:beforeAutospacing="0" w:after="0" w:afterAutospacing="0"/>
        <w:ind w:left="0" w:right="0" w:firstLine="0"/>
        <w:jc w:val="center"/>
        <w:rPr>
          <w:rFonts w:hint="eastAsia" w:ascii="Times New Roman" w:hAnsi="Times New Roman" w:eastAsia="黑体" w:cs="Times New Roman"/>
          <w:color w:val="auto"/>
          <w:sz w:val="44"/>
          <w:szCs w:val="44"/>
          <w:highlight w:val="none"/>
          <w:lang w:val="en-US" w:eastAsia="zh-CN"/>
        </w:rPr>
      </w:pPr>
    </w:p>
    <w:p>
      <w:pPr>
        <w:pStyle w:val="4"/>
        <w:keepNext w:val="0"/>
        <w:keepLines w:val="0"/>
        <w:widowControl/>
        <w:suppressLineNumbers w:val="0"/>
        <w:suppressAutoHyphens/>
        <w:bidi w:val="0"/>
        <w:spacing w:before="0" w:beforeAutospacing="0" w:after="0" w:afterAutospacing="0"/>
        <w:ind w:left="0" w:right="0" w:firstLine="0"/>
        <w:jc w:val="center"/>
        <w:rPr>
          <w:rFonts w:hint="eastAsia" w:ascii="Times New Roman" w:hAnsi="Times New Roman" w:eastAsia="黑体" w:cs="Times New Roman"/>
          <w:color w:val="auto"/>
          <w:sz w:val="44"/>
          <w:szCs w:val="44"/>
          <w:highlight w:val="none"/>
          <w:lang w:val="en-US" w:eastAsia="zh-CN"/>
        </w:rPr>
      </w:pPr>
    </w:p>
    <w:p>
      <w:pPr>
        <w:pStyle w:val="4"/>
        <w:keepNext w:val="0"/>
        <w:keepLines w:val="0"/>
        <w:widowControl/>
        <w:suppressLineNumbers w:val="0"/>
        <w:suppressAutoHyphens/>
        <w:bidi w:val="0"/>
        <w:spacing w:before="0" w:beforeAutospacing="0" w:after="0" w:afterAutospacing="0"/>
        <w:ind w:left="0" w:right="0" w:firstLine="0"/>
        <w:jc w:val="both"/>
        <w:rPr>
          <w:rFonts w:hint="eastAsia" w:ascii="Times New Roman" w:hAnsi="Times New Roman" w:eastAsia="黑体" w:cs="Times New Roman"/>
          <w:color w:val="auto"/>
          <w:sz w:val="44"/>
          <w:szCs w:val="44"/>
          <w:highlight w:val="none"/>
          <w:lang w:val="en-US" w:eastAsia="zh-CN"/>
        </w:rPr>
      </w:pPr>
    </w:p>
    <w:p>
      <w:pPr>
        <w:pStyle w:val="4"/>
        <w:keepNext w:val="0"/>
        <w:keepLines w:val="0"/>
        <w:widowControl/>
        <w:suppressLineNumbers w:val="0"/>
        <w:suppressAutoHyphens/>
        <w:bidi w:val="0"/>
        <w:spacing w:before="0" w:beforeAutospacing="0" w:after="0" w:afterAutospacing="0"/>
        <w:ind w:left="0" w:right="0" w:firstLine="0"/>
        <w:jc w:val="center"/>
        <w:rPr>
          <w:rFonts w:hint="eastAsia" w:ascii="Times New Roman" w:hAnsi="Times New Roman" w:eastAsia="黑体" w:cs="Times New Roman"/>
          <w:color w:val="auto"/>
          <w:sz w:val="44"/>
          <w:szCs w:val="44"/>
          <w:highlight w:val="none"/>
          <w:lang w:val="en-US" w:eastAsia="zh-CN"/>
        </w:rPr>
      </w:pPr>
      <w:r>
        <w:rPr>
          <w:rFonts w:hint="eastAsia" w:ascii="Times New Roman" w:hAnsi="Times New Roman" w:eastAsia="黑体" w:cs="Times New Roman"/>
          <w:color w:val="auto"/>
          <w:sz w:val="44"/>
          <w:szCs w:val="44"/>
          <w:highlight w:val="none"/>
          <w:lang w:val="en-US" w:eastAsia="zh-CN"/>
        </w:rPr>
        <w:t>绿色普惠信贷业务基本操作流程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drawing>
          <wp:inline distT="0" distB="0" distL="114300" distR="114300">
            <wp:extent cx="4269105" cy="3244850"/>
            <wp:effectExtent l="0" t="0" r="1079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269105" cy="3244850"/>
                    </a:xfrm>
                    <a:prstGeom prst="rect">
                      <a:avLst/>
                    </a:prstGeom>
                    <a:noFill/>
                    <a:ln>
                      <a:noFill/>
                    </a:ln>
                  </pic:spPr>
                </pic:pic>
              </a:graphicData>
            </a:graphic>
          </wp:inline>
        </w:drawing>
      </w:r>
    </w:p>
    <w:p>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5.1.4加强环境风险防控。根据国家环保法律法规、绿色产业政策及标准、行业准入政策等，认真评估客户及项目对环境和社会风险的影响程度，确定为绿色友好类、蓝色基础类、橙色关注类、红色退出类。对绿色友好类、蓝色基础类积极予以授信，橙色关注类审慎授信，红色退出类禁止授信。将绿色普惠信贷业务开展情况、政策执行情况纳入内控合规管理，定期组织绿色普惠信贷业务内部审计，检查</w:t>
      </w:r>
      <w:r>
        <w:rPr>
          <w:rFonts w:hint="eastAsia" w:ascii="仿宋_GB2312" w:hAnsi="仿宋_GB2312" w:eastAsia="仿宋_GB2312" w:cs="仿宋_GB2312"/>
          <w:sz w:val="32"/>
          <w:szCs w:val="32"/>
          <w:highlight w:val="red"/>
          <w:lang w:val="en-US" w:eastAsia="zh-CN"/>
        </w:rPr>
        <w:t>发</w:t>
      </w:r>
      <w:r>
        <w:rPr>
          <w:rFonts w:hint="eastAsia" w:ascii="仿宋_GB2312" w:hAnsi="仿宋_GB2312" w:cs="仿宋_GB2312"/>
          <w:sz w:val="32"/>
          <w:szCs w:val="32"/>
          <w:highlight w:val="red"/>
          <w:lang w:val="en-US" w:eastAsia="zh-CN"/>
        </w:rPr>
        <w:t>现</w:t>
      </w:r>
      <w:r>
        <w:rPr>
          <w:rFonts w:hint="eastAsia" w:ascii="仿宋_GB2312" w:hAnsi="仿宋_GB2312" w:eastAsia="仿宋_GB2312" w:cs="仿宋_GB2312"/>
          <w:sz w:val="32"/>
          <w:szCs w:val="32"/>
          <w:lang w:val="en-US" w:eastAsia="zh-CN"/>
        </w:rPr>
        <w:t>重大问题，依规进行问责。同时，严格按照省联社绿色普惠信贷业务考核评价机制，推动绿色普惠信贷业务持续稳健发展。</w:t>
      </w:r>
    </w:p>
    <w:p>
      <w:pPr>
        <w:numPr>
          <w:ilvl w:val="0"/>
          <w:numId w:val="0"/>
        </w:numPr>
        <w:spacing w:line="56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5.2环境相关风险及机遇</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5.2.1相关风险</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5.2.1.1经济转型压力大。目前我国经济结构还存在一定的不平衡不充分问题，如产业结构以资源密集型、制造业为主，能源结构以煤炭为主，金融资产结构以化石能源资产为主等，经济效率、能源效率、金融效率都有待提高，同时也给碳排放带来一定压力。要实现</w:t>
      </w:r>
      <w:r>
        <w:rPr>
          <w:rFonts w:hint="eastAsia" w:ascii="仿宋_GB2312" w:hAnsi="仿宋_GB2312" w:cs="仿宋_GB2312"/>
          <w:sz w:val="32"/>
          <w:szCs w:val="32"/>
          <w:highlight w:val="none"/>
          <w:lang w:val="en-US" w:eastAsia="zh-CN"/>
        </w:rPr>
        <w:t>“双碳”</w:t>
      </w:r>
      <w:r>
        <w:rPr>
          <w:rFonts w:hint="eastAsia" w:ascii="仿宋_GB2312" w:hAnsi="仿宋_GB2312" w:eastAsia="仿宋_GB2312" w:cs="仿宋_GB2312"/>
          <w:sz w:val="32"/>
          <w:szCs w:val="32"/>
          <w:highlight w:val="none"/>
          <w:lang w:val="en-US" w:eastAsia="zh-CN"/>
        </w:rPr>
        <w:t>“目标”和经济绿色低碳发展，必须在保持经济增长的同时，降低单位GDP能耗强度和单位能源排放强度，需要进行深刻的经济转型，调整产业结构、优化能源结构、改革金融结构等，这是一个艰巨而复杂的任务和过程。</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5.2.1.2能源供需不平衡。随着我国能源消费持续增长，能源供应面临多重挑战，如石油和天然气对外依存度较高，新能源电力并网和输送仍存在困难等。这些问题导致能源安全面临着较大风险，同时也制约了低碳能源的发展和利用。</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5.2.1.3市场体系建设滞后。目前的市场体系还存在一些不完善不成熟问题，如碳市场尚未全面开启，绿色金融市场尚未成熟等。导致缺乏有效的市场信号和激励机制，难以充分发挥市场在资源配置中的决定性作用和政策的导向作用，也影响了绿色低碳经济市场的公平竞争和监管效果。</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5.2.2相关机遇</w:t>
      </w:r>
    </w:p>
    <w:p>
      <w:pPr>
        <w:numPr>
          <w:ilvl w:val="0"/>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5.2.2.1政策支持力度持续加大。根据《2024-2025节能降碳行动方案》（国发〔2024〕12号），要发挥绿色金融作用，引导金融机构按照市场化</w:t>
      </w:r>
      <w:r>
        <w:rPr>
          <w:rFonts w:hint="eastAsia" w:ascii="仿宋_GB2312" w:hAnsi="仿宋_GB2312" w:cs="仿宋_GB2312"/>
          <w:sz w:val="32"/>
          <w:szCs w:val="32"/>
          <w:highlight w:val="none"/>
          <w:lang w:val="en-US" w:eastAsia="zh-CN"/>
        </w:rPr>
        <w:t>法治化</w:t>
      </w:r>
      <w:r>
        <w:rPr>
          <w:rFonts w:hint="eastAsia" w:ascii="仿宋_GB2312" w:hAnsi="仿宋_GB2312" w:eastAsia="仿宋_GB2312" w:cs="仿宋_GB2312"/>
          <w:sz w:val="32"/>
          <w:szCs w:val="32"/>
          <w:highlight w:val="none"/>
          <w:lang w:val="en-US" w:eastAsia="zh-CN"/>
        </w:rPr>
        <w:t>原则为节能降碳项目提供资金支持，贵州省也出台一系列配套政策措施，为绿色低碳经济市场和绿色金融发展提供有力的政策支持。</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5.2.2.2技术创新能力持续提升。我国在风能、太阳能、核能、储能等领域已经形成了一批具有国际竞争力的技术和企业，也在加快构建市场导向的绿色技术创新体系，确定了加快绿色技术转化应用等重点任务，支持一批重大科技项目和示范工程，为绿色低碳经济市场提供了先进技术支撑，带来了庞大的绿色融资需求。</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5.2.2.3消费需求持续增长。随着生活水平不断提高和绿色低碳发展理念的不断普及，消费者对于绿色消费的认识度和参与度都有所提升，绿色产品和服务的需求也日益增强。此外，随着我国绿色贸易体系的建立，绿色低碳产品和服务的出口也逐渐扩大，为绿色低碳经济市场提供了广阔的消费空间，也刺激了绿色消费金融需求的不断扩大。</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5.2.3采取的措施及取得的成效</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5.2.3.1强化顶层设计。绿色信贷的政策依据主要是《绿色产业指导目录》，重点对绿色低碳节能环保各大产业进行了明确，对大企业、大银行等发展绿色产业、绿色金融具有很好的指导作用，但对于农村中小金融机构来说，落实起来较为困难，也不利于引导绿色金融资源支持普惠群体绿色低碳发展。作为农村金融主力军、地方金融排头兵、普惠金融引领者，为解决绿色金融资源流向“三农”和广大普惠群体的难点问题，更好践行新时代金融政治性、人民性，省联社率先发起研制绿色普惠信贷标准，为开展绿色普惠信贷业务提供根本依据，江口农信联社根据省联社相关文件指引，出台了一系列文件制度，建立健全绿色普惠金融制度体系和管理机制。</w:t>
      </w:r>
    </w:p>
    <w:p>
      <w:pPr>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5.2.3.2强化政策协调。加强与人民银行、金融监督管理局、绿色金融发展中心等部门的协调沟通，汇报绿色金融发展中遇到的问题，积极争取货币政策、监管政策、财税政策、产业政策等支持，形成推动绿色普惠金融发展的强大合力。</w:t>
      </w:r>
    </w:p>
    <w:p>
      <w:pPr>
        <w:numPr>
          <w:ilvl w:val="0"/>
          <w:numId w:val="0"/>
        </w:num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5.2.3.3强化激励引导。将绿色信贷指标纳入综合目标考核，持续加大发展的动力和压力，提高发展绿色信贷的积极性。建立健全绿色普惠信贷和“生态账户”评价机制。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6.经营活动的环境影响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6.1经营活动的自然资源消耗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江口农信联社</w:t>
      </w:r>
      <w:r>
        <w:rPr>
          <w:rFonts w:ascii="Times New Roman" w:hAnsi="Times New Roman" w:eastAsia="仿宋_GB2312"/>
          <w:sz w:val="32"/>
          <w:szCs w:val="32"/>
        </w:rPr>
        <w:t>积极践行绿色发展理念，持续降低自身经营活动的自然资源消耗和对环</w:t>
      </w:r>
      <w:r>
        <w:rPr>
          <w:rFonts w:ascii="Times New Roman" w:hAnsi="Times New Roman" w:eastAsia="仿宋_GB2312"/>
          <w:sz w:val="32"/>
          <w:szCs w:val="32"/>
          <w:highlight w:val="none"/>
        </w:rPr>
        <w:t>境的负面影响。</w:t>
      </w:r>
    </w:p>
    <w:p>
      <w:pPr>
        <w:jc w:val="center"/>
        <w:rPr>
          <w:rFonts w:ascii="Times New Roman" w:hAnsi="Times New Roman"/>
          <w:b/>
          <w:bCs/>
          <w:sz w:val="24"/>
        </w:rPr>
      </w:pP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z w:val="24"/>
        </w:rPr>
        <w:t>年度经营活动产生的自然资源消耗</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1377"/>
        <w:gridCol w:w="1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30" w:type="dxa"/>
            <w:noWrap w:val="0"/>
            <w:vAlign w:val="center"/>
          </w:tcPr>
          <w:p>
            <w:pPr>
              <w:jc w:val="center"/>
              <w:rPr>
                <w:rFonts w:hint="eastAsia" w:ascii="黑体" w:hAnsi="黑体" w:eastAsia="黑体" w:cs="黑体"/>
                <w:szCs w:val="21"/>
              </w:rPr>
            </w:pPr>
            <w:r>
              <w:rPr>
                <w:rFonts w:hint="eastAsia" w:ascii="黑体" w:hAnsi="黑体" w:eastAsia="黑体" w:cs="黑体"/>
                <w:szCs w:val="21"/>
              </w:rPr>
              <w:t>类别</w:t>
            </w:r>
          </w:p>
        </w:tc>
        <w:tc>
          <w:tcPr>
            <w:tcW w:w="2130" w:type="dxa"/>
            <w:noWrap w:val="0"/>
            <w:vAlign w:val="center"/>
          </w:tcPr>
          <w:p>
            <w:pPr>
              <w:jc w:val="center"/>
              <w:rPr>
                <w:rFonts w:hint="eastAsia" w:ascii="黑体" w:hAnsi="黑体" w:eastAsia="黑体" w:cs="黑体"/>
                <w:szCs w:val="21"/>
              </w:rPr>
            </w:pPr>
            <w:r>
              <w:rPr>
                <w:rFonts w:hint="eastAsia" w:ascii="黑体" w:hAnsi="黑体" w:eastAsia="黑体" w:cs="黑体"/>
                <w:szCs w:val="21"/>
              </w:rPr>
              <w:t>环境指标</w:t>
            </w:r>
          </w:p>
        </w:tc>
        <w:tc>
          <w:tcPr>
            <w:tcW w:w="1377" w:type="dxa"/>
            <w:noWrap w:val="0"/>
            <w:vAlign w:val="center"/>
          </w:tcPr>
          <w:p>
            <w:pPr>
              <w:jc w:val="center"/>
              <w:rPr>
                <w:rFonts w:hint="eastAsia" w:ascii="黑体" w:hAnsi="黑体" w:eastAsia="黑体" w:cs="黑体"/>
                <w:szCs w:val="21"/>
              </w:rPr>
            </w:pPr>
            <w:r>
              <w:rPr>
                <w:rFonts w:hint="eastAsia" w:ascii="黑体" w:hAnsi="黑体" w:eastAsia="黑体" w:cs="黑体"/>
                <w:szCs w:val="21"/>
              </w:rPr>
              <w:t>指标单位</w:t>
            </w:r>
          </w:p>
        </w:tc>
        <w:tc>
          <w:tcPr>
            <w:tcW w:w="1476" w:type="dxa"/>
            <w:noWrap w:val="0"/>
            <w:vAlign w:val="center"/>
          </w:tcPr>
          <w:p>
            <w:pPr>
              <w:jc w:val="center"/>
              <w:rPr>
                <w:rFonts w:hint="eastAsia" w:ascii="黑体" w:hAnsi="黑体" w:eastAsia="黑体" w:cs="黑体"/>
                <w:szCs w:val="21"/>
              </w:rPr>
            </w:pPr>
            <w:r>
              <w:rPr>
                <w:rFonts w:hint="eastAsia" w:ascii="黑体" w:hAnsi="黑体" w:eastAsia="黑体" w:cs="黑体"/>
                <w:szCs w:val="21"/>
              </w:rPr>
              <w:t>202</w:t>
            </w:r>
            <w:r>
              <w:rPr>
                <w:rFonts w:hint="eastAsia" w:ascii="黑体" w:hAnsi="黑体" w:eastAsia="黑体" w:cs="黑体"/>
                <w:szCs w:val="21"/>
                <w:lang w:val="en-US" w:eastAsia="zh-CN"/>
              </w:rPr>
              <w:t>4</w:t>
            </w:r>
            <w:r>
              <w:rPr>
                <w:rFonts w:hint="eastAsia" w:ascii="黑体" w:hAnsi="黑体" w:eastAsia="黑体" w:cs="黑体"/>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30" w:type="dxa"/>
            <w:vMerge w:val="restart"/>
            <w:noWrap w:val="0"/>
            <w:vAlign w:val="center"/>
          </w:tcPr>
          <w:p>
            <w:pPr>
              <w:jc w:val="center"/>
              <w:rPr>
                <w:rFonts w:ascii="Times New Roman" w:hAnsi="Times New Roman"/>
                <w:szCs w:val="21"/>
              </w:rPr>
            </w:pPr>
            <w:r>
              <w:rPr>
                <w:rFonts w:ascii="Times New Roman" w:hAnsi="Times New Roman"/>
                <w:szCs w:val="21"/>
              </w:rPr>
              <w:t>经营活动产生的直接自然资源消耗</w:t>
            </w:r>
          </w:p>
        </w:tc>
        <w:tc>
          <w:tcPr>
            <w:tcW w:w="2130" w:type="dxa"/>
            <w:noWrap w:val="0"/>
            <w:vAlign w:val="center"/>
          </w:tcPr>
          <w:p>
            <w:pPr>
              <w:jc w:val="center"/>
              <w:rPr>
                <w:rFonts w:ascii="Times New Roman" w:hAnsi="Times New Roman"/>
                <w:szCs w:val="21"/>
              </w:rPr>
            </w:pPr>
            <w:r>
              <w:rPr>
                <w:rFonts w:ascii="Times New Roman" w:hAnsi="Times New Roman"/>
                <w:szCs w:val="21"/>
              </w:rPr>
              <w:t>天然气</w:t>
            </w:r>
          </w:p>
        </w:tc>
        <w:tc>
          <w:tcPr>
            <w:tcW w:w="1377" w:type="dxa"/>
            <w:noWrap w:val="0"/>
            <w:vAlign w:val="center"/>
          </w:tcPr>
          <w:p>
            <w:pPr>
              <w:jc w:val="center"/>
              <w:rPr>
                <w:rFonts w:ascii="Times New Roman" w:hAnsi="Times New Roman"/>
                <w:szCs w:val="21"/>
              </w:rPr>
            </w:pPr>
            <w:r>
              <w:rPr>
                <w:rFonts w:ascii="Times New Roman" w:hAnsi="Times New Roman"/>
                <w:szCs w:val="21"/>
              </w:rPr>
              <w:t>立方米</w:t>
            </w:r>
          </w:p>
        </w:tc>
        <w:tc>
          <w:tcPr>
            <w:tcW w:w="1476"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1164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30" w:type="dxa"/>
            <w:vMerge w:val="continue"/>
            <w:noWrap w:val="0"/>
            <w:vAlign w:val="center"/>
          </w:tcPr>
          <w:p>
            <w:pPr>
              <w:jc w:val="center"/>
              <w:rPr>
                <w:rFonts w:ascii="Times New Roman" w:hAnsi="Times New Roman"/>
                <w:szCs w:val="21"/>
              </w:rPr>
            </w:pPr>
          </w:p>
        </w:tc>
        <w:tc>
          <w:tcPr>
            <w:tcW w:w="2130" w:type="dxa"/>
            <w:noWrap w:val="0"/>
            <w:vAlign w:val="center"/>
          </w:tcPr>
          <w:p>
            <w:pPr>
              <w:jc w:val="center"/>
              <w:rPr>
                <w:rFonts w:ascii="Times New Roman" w:hAnsi="Times New Roman"/>
                <w:szCs w:val="21"/>
              </w:rPr>
            </w:pPr>
            <w:r>
              <w:rPr>
                <w:rFonts w:ascii="Times New Roman" w:hAnsi="Times New Roman"/>
                <w:szCs w:val="21"/>
              </w:rPr>
              <w:t>公车用汽油</w:t>
            </w:r>
          </w:p>
        </w:tc>
        <w:tc>
          <w:tcPr>
            <w:tcW w:w="1377" w:type="dxa"/>
            <w:noWrap w:val="0"/>
            <w:vAlign w:val="center"/>
          </w:tcPr>
          <w:p>
            <w:pPr>
              <w:jc w:val="center"/>
              <w:rPr>
                <w:rFonts w:ascii="Times New Roman" w:hAnsi="Times New Roman"/>
                <w:szCs w:val="21"/>
              </w:rPr>
            </w:pPr>
            <w:r>
              <w:rPr>
                <w:rFonts w:ascii="Times New Roman" w:hAnsi="Times New Roman"/>
                <w:szCs w:val="21"/>
              </w:rPr>
              <w:t>升</w:t>
            </w:r>
          </w:p>
        </w:tc>
        <w:tc>
          <w:tcPr>
            <w:tcW w:w="1476"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4599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30" w:type="dxa"/>
            <w:vMerge w:val="restart"/>
            <w:noWrap w:val="0"/>
            <w:vAlign w:val="center"/>
          </w:tcPr>
          <w:p>
            <w:pPr>
              <w:jc w:val="center"/>
              <w:rPr>
                <w:rFonts w:ascii="Times New Roman" w:hAnsi="Times New Roman"/>
                <w:szCs w:val="21"/>
              </w:rPr>
            </w:pPr>
            <w:r>
              <w:rPr>
                <w:rFonts w:ascii="Times New Roman" w:hAnsi="Times New Roman"/>
                <w:szCs w:val="21"/>
              </w:rPr>
              <w:t>经营活动产生的间接自然资源消耗</w:t>
            </w:r>
          </w:p>
        </w:tc>
        <w:tc>
          <w:tcPr>
            <w:tcW w:w="2130" w:type="dxa"/>
            <w:noWrap w:val="0"/>
            <w:vAlign w:val="center"/>
          </w:tcPr>
          <w:p>
            <w:pPr>
              <w:jc w:val="center"/>
              <w:rPr>
                <w:rFonts w:ascii="Times New Roman" w:hAnsi="Times New Roman"/>
                <w:szCs w:val="21"/>
              </w:rPr>
            </w:pPr>
            <w:r>
              <w:rPr>
                <w:rFonts w:ascii="Times New Roman" w:hAnsi="Times New Roman"/>
                <w:szCs w:val="21"/>
              </w:rPr>
              <w:t>办公用水消耗</w:t>
            </w:r>
          </w:p>
        </w:tc>
        <w:tc>
          <w:tcPr>
            <w:tcW w:w="1377" w:type="dxa"/>
            <w:noWrap w:val="0"/>
            <w:vAlign w:val="center"/>
          </w:tcPr>
          <w:p>
            <w:pPr>
              <w:jc w:val="center"/>
              <w:rPr>
                <w:rFonts w:ascii="Times New Roman" w:hAnsi="Times New Roman"/>
                <w:szCs w:val="21"/>
              </w:rPr>
            </w:pPr>
            <w:r>
              <w:rPr>
                <w:rFonts w:ascii="Times New Roman" w:hAnsi="Times New Roman"/>
                <w:szCs w:val="21"/>
              </w:rPr>
              <w:t>吨</w:t>
            </w:r>
          </w:p>
        </w:tc>
        <w:tc>
          <w:tcPr>
            <w:tcW w:w="1476"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27872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30" w:type="dxa"/>
            <w:vMerge w:val="continue"/>
            <w:noWrap w:val="0"/>
            <w:vAlign w:val="center"/>
          </w:tcPr>
          <w:p>
            <w:pPr>
              <w:jc w:val="center"/>
              <w:rPr>
                <w:rFonts w:ascii="Times New Roman" w:hAnsi="Times New Roman"/>
                <w:szCs w:val="21"/>
              </w:rPr>
            </w:pPr>
          </w:p>
        </w:tc>
        <w:tc>
          <w:tcPr>
            <w:tcW w:w="2130" w:type="dxa"/>
            <w:noWrap w:val="0"/>
            <w:vAlign w:val="center"/>
          </w:tcPr>
          <w:p>
            <w:pPr>
              <w:jc w:val="center"/>
              <w:rPr>
                <w:rFonts w:ascii="Times New Roman" w:hAnsi="Times New Roman"/>
                <w:szCs w:val="21"/>
              </w:rPr>
            </w:pPr>
            <w:r>
              <w:rPr>
                <w:rFonts w:ascii="Times New Roman" w:hAnsi="Times New Roman"/>
                <w:szCs w:val="21"/>
              </w:rPr>
              <w:t>外购电力</w:t>
            </w:r>
          </w:p>
        </w:tc>
        <w:tc>
          <w:tcPr>
            <w:tcW w:w="1377" w:type="dxa"/>
            <w:noWrap w:val="0"/>
            <w:vAlign w:val="center"/>
          </w:tcPr>
          <w:p>
            <w:pPr>
              <w:jc w:val="center"/>
              <w:rPr>
                <w:rFonts w:ascii="Times New Roman" w:hAnsi="Times New Roman"/>
                <w:szCs w:val="21"/>
              </w:rPr>
            </w:pPr>
            <w:r>
              <w:rPr>
                <w:rFonts w:ascii="Times New Roman" w:hAnsi="Times New Roman"/>
                <w:szCs w:val="21"/>
              </w:rPr>
              <w:t>千瓦时</w:t>
            </w:r>
          </w:p>
        </w:tc>
        <w:tc>
          <w:tcPr>
            <w:tcW w:w="1476"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1602750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130" w:type="dxa"/>
            <w:vMerge w:val="continue"/>
            <w:noWrap w:val="0"/>
            <w:vAlign w:val="center"/>
          </w:tcPr>
          <w:p>
            <w:pPr>
              <w:jc w:val="center"/>
              <w:rPr>
                <w:rFonts w:ascii="Times New Roman" w:hAnsi="Times New Roman"/>
                <w:szCs w:val="21"/>
              </w:rPr>
            </w:pPr>
          </w:p>
        </w:tc>
        <w:tc>
          <w:tcPr>
            <w:tcW w:w="2130" w:type="dxa"/>
            <w:noWrap w:val="0"/>
            <w:vAlign w:val="center"/>
          </w:tcPr>
          <w:p>
            <w:pPr>
              <w:jc w:val="center"/>
              <w:rPr>
                <w:rFonts w:ascii="Times New Roman" w:hAnsi="Times New Roman"/>
                <w:szCs w:val="21"/>
              </w:rPr>
            </w:pPr>
            <w:r>
              <w:rPr>
                <w:rFonts w:ascii="Times New Roman" w:hAnsi="Times New Roman"/>
                <w:szCs w:val="21"/>
              </w:rPr>
              <w:t>办公用纸消耗量</w:t>
            </w:r>
          </w:p>
        </w:tc>
        <w:tc>
          <w:tcPr>
            <w:tcW w:w="1377" w:type="dxa"/>
            <w:noWrap w:val="0"/>
            <w:vAlign w:val="center"/>
          </w:tcPr>
          <w:p>
            <w:pPr>
              <w:jc w:val="center"/>
              <w:rPr>
                <w:rFonts w:ascii="Times New Roman" w:hAnsi="Times New Roman"/>
                <w:szCs w:val="21"/>
              </w:rPr>
            </w:pPr>
            <w:r>
              <w:rPr>
                <w:rFonts w:ascii="Times New Roman" w:hAnsi="Times New Roman"/>
                <w:szCs w:val="21"/>
              </w:rPr>
              <w:t>张</w:t>
            </w:r>
          </w:p>
        </w:tc>
        <w:tc>
          <w:tcPr>
            <w:tcW w:w="1476"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810000</w:t>
            </w:r>
          </w:p>
        </w:tc>
      </w:tr>
    </w:tbl>
    <w:p>
      <w:pPr>
        <w:numPr>
          <w:ilvl w:val="0"/>
          <w:numId w:val="0"/>
        </w:numPr>
        <w:spacing w:line="560" w:lineRule="exact"/>
        <w:ind w:firstLine="640" w:firstLineChars="200"/>
        <w:rPr>
          <w:rFonts w:hint="default" w:ascii="黑体" w:hAnsi="黑体" w:eastAsia="黑体" w:cs="黑体"/>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6.2经营活动的碳排放</w:t>
      </w:r>
    </w:p>
    <w:p>
      <w:pPr>
        <w:jc w:val="center"/>
        <w:rPr>
          <w:rFonts w:ascii="Times New Roman" w:hAnsi="Times New Roman"/>
          <w:b/>
          <w:bCs/>
          <w:sz w:val="24"/>
        </w:rPr>
      </w:pPr>
    </w:p>
    <w:p>
      <w:pPr>
        <w:jc w:val="center"/>
        <w:rPr>
          <w:rFonts w:ascii="Times New Roman" w:hAnsi="Times New Roman"/>
          <w:b/>
          <w:bCs/>
          <w:sz w:val="24"/>
        </w:rPr>
      </w:pPr>
      <w:r>
        <w:rPr>
          <w:rFonts w:ascii="Times New Roman" w:hAnsi="Times New Roman"/>
          <w:b/>
          <w:bCs/>
          <w:sz w:val="24"/>
        </w:rPr>
        <w:t>202</w:t>
      </w:r>
      <w:r>
        <w:rPr>
          <w:rFonts w:hint="eastAsia" w:ascii="Times New Roman" w:hAnsi="Times New Roman"/>
          <w:b/>
          <w:bCs/>
          <w:sz w:val="24"/>
          <w:lang w:val="en-US" w:eastAsia="zh-CN"/>
        </w:rPr>
        <w:t>4</w:t>
      </w:r>
      <w:r>
        <w:rPr>
          <w:rFonts w:ascii="Times New Roman" w:hAnsi="Times New Roman"/>
          <w:b/>
          <w:bCs/>
          <w:sz w:val="24"/>
        </w:rPr>
        <w:t>年度经营活动产生的温室气体排放</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36"/>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3936" w:type="dxa"/>
            <w:noWrap w:val="0"/>
            <w:vAlign w:val="center"/>
          </w:tcPr>
          <w:p>
            <w:pPr>
              <w:spacing w:line="240" w:lineRule="auto"/>
              <w:jc w:val="center"/>
              <w:rPr>
                <w:rFonts w:hint="eastAsia" w:ascii="黑体" w:hAnsi="黑体" w:eastAsia="黑体" w:cs="黑体"/>
              </w:rPr>
            </w:pPr>
            <w:r>
              <w:rPr>
                <w:rFonts w:hint="eastAsia" w:ascii="黑体" w:hAnsi="黑体" w:eastAsia="黑体" w:cs="黑体"/>
              </w:rPr>
              <w:t>温室气体排放范围</w:t>
            </w:r>
          </w:p>
        </w:tc>
        <w:tc>
          <w:tcPr>
            <w:tcW w:w="2268" w:type="dxa"/>
            <w:noWrap w:val="0"/>
            <w:vAlign w:val="top"/>
          </w:tcPr>
          <w:p>
            <w:pPr>
              <w:jc w:val="center"/>
              <w:rPr>
                <w:rFonts w:hint="eastAsia" w:ascii="黑体" w:hAnsi="黑体" w:eastAsia="黑体" w:cs="黑体"/>
              </w:rPr>
            </w:pPr>
            <w:r>
              <w:rPr>
                <w:rFonts w:hint="eastAsia" w:ascii="黑体" w:hAnsi="黑体" w:eastAsia="黑体" w:cs="黑体"/>
              </w:rPr>
              <w:t>202</w:t>
            </w:r>
            <w:r>
              <w:rPr>
                <w:rFonts w:hint="eastAsia" w:ascii="黑体" w:hAnsi="黑体" w:eastAsia="黑体" w:cs="黑体"/>
                <w:lang w:val="en-US" w:eastAsia="zh-CN"/>
              </w:rPr>
              <w:t>4</w:t>
            </w:r>
            <w:r>
              <w:rPr>
                <w:rFonts w:hint="eastAsia" w:ascii="黑体" w:hAnsi="黑体" w:eastAsia="黑体" w:cs="黑体"/>
              </w:rPr>
              <w:t>年</w:t>
            </w:r>
          </w:p>
          <w:p>
            <w:pPr>
              <w:jc w:val="center"/>
              <w:rPr>
                <w:rFonts w:hint="eastAsia" w:ascii="黑体" w:hAnsi="黑体" w:eastAsia="黑体" w:cs="黑体"/>
              </w:rPr>
            </w:pPr>
            <w:r>
              <w:rPr>
                <w:rFonts w:hint="eastAsia" w:ascii="黑体" w:hAnsi="黑体" w:eastAsia="黑体" w:cs="黑体"/>
              </w:rPr>
              <w:t>（吨二氧化碳当量）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3936" w:type="dxa"/>
            <w:noWrap w:val="0"/>
            <w:vAlign w:val="top"/>
          </w:tcPr>
          <w:p>
            <w:pPr>
              <w:jc w:val="left"/>
              <w:rPr>
                <w:rFonts w:ascii="Times New Roman" w:hAnsi="Times New Roman"/>
              </w:rPr>
            </w:pPr>
            <w:r>
              <w:rPr>
                <w:rFonts w:ascii="Times New Roman" w:hAnsi="Times New Roman"/>
              </w:rPr>
              <w:t>范围1：直接温室气体排放量</w:t>
            </w:r>
          </w:p>
        </w:tc>
        <w:tc>
          <w:tcPr>
            <w:tcW w:w="2268" w:type="dxa"/>
            <w:noWrap w:val="0"/>
            <w:vAlign w:val="top"/>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12.54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ind w:firstLine="640" w:firstLineChars="200"/>
              <w:jc w:val="left"/>
              <w:rPr>
                <w:rFonts w:ascii="Times New Roman" w:hAnsi="Times New Roman"/>
              </w:rPr>
            </w:pPr>
            <w:r>
              <w:rPr>
                <w:rFonts w:ascii="Times New Roman" w:hAnsi="Times New Roman"/>
              </w:rPr>
              <w:t>其中：天然气产生的温室气体排放量</w:t>
            </w:r>
          </w:p>
        </w:tc>
        <w:tc>
          <w:tcPr>
            <w:tcW w:w="2268" w:type="dxa"/>
            <w:noWrap w:val="0"/>
            <w:vAlign w:val="top"/>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ind w:firstLine="1600" w:firstLineChars="500"/>
              <w:jc w:val="left"/>
              <w:rPr>
                <w:rFonts w:ascii="Times New Roman" w:hAnsi="Times New Roman"/>
              </w:rPr>
            </w:pPr>
            <w:r>
              <w:rPr>
                <w:rFonts w:ascii="Times New Roman" w:hAnsi="Times New Roman"/>
              </w:rPr>
              <w:t>汽油产生的温室气体排放量</w:t>
            </w:r>
          </w:p>
        </w:tc>
        <w:tc>
          <w:tcPr>
            <w:tcW w:w="2268"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jc w:val="left"/>
              <w:rPr>
                <w:rFonts w:ascii="Times New Roman" w:hAnsi="Times New Roman"/>
              </w:rPr>
            </w:pPr>
            <w:r>
              <w:rPr>
                <w:rFonts w:ascii="Times New Roman" w:hAnsi="Times New Roman"/>
              </w:rPr>
              <w:t>范围2：间接温室气体排放量</w:t>
            </w:r>
          </w:p>
        </w:tc>
        <w:tc>
          <w:tcPr>
            <w:tcW w:w="2268" w:type="dxa"/>
            <w:noWrap w:val="0"/>
            <w:vAlign w:val="top"/>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793.20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ind w:firstLine="640" w:firstLineChars="200"/>
              <w:jc w:val="left"/>
              <w:rPr>
                <w:rFonts w:ascii="Times New Roman" w:hAnsi="Times New Roman"/>
              </w:rPr>
            </w:pPr>
            <w:r>
              <w:rPr>
                <w:rFonts w:ascii="Times New Roman" w:hAnsi="Times New Roman"/>
              </w:rPr>
              <w:t>其中：电力产生的温室气体排放量</w:t>
            </w:r>
          </w:p>
        </w:tc>
        <w:tc>
          <w:tcPr>
            <w:tcW w:w="2268" w:type="dxa"/>
            <w:noWrap w:val="0"/>
            <w:vAlign w:val="top"/>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793.20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ind w:firstLine="320" w:firstLineChars="100"/>
              <w:jc w:val="left"/>
              <w:rPr>
                <w:rFonts w:ascii="Times New Roman" w:hAnsi="Times New Roman"/>
              </w:rPr>
            </w:pPr>
            <w:r>
              <w:rPr>
                <w:rFonts w:ascii="Times New Roman" w:hAnsi="Times New Roman"/>
              </w:rPr>
              <w:t>温室气体排放总量（范围1+2）</w:t>
            </w:r>
          </w:p>
        </w:tc>
        <w:tc>
          <w:tcPr>
            <w:tcW w:w="2268" w:type="dxa"/>
            <w:noWrap w:val="0"/>
            <w:vAlign w:val="top"/>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805.74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jc w:val="left"/>
              <w:rPr>
                <w:rFonts w:ascii="Times New Roman" w:hAnsi="Times New Roman"/>
              </w:rPr>
            </w:pPr>
            <w:r>
              <w:rPr>
                <w:rFonts w:ascii="Times New Roman" w:hAnsi="Times New Roman"/>
              </w:rPr>
              <w:t>范围3：其他间接温室气体排放量</w:t>
            </w:r>
          </w:p>
        </w:tc>
        <w:tc>
          <w:tcPr>
            <w:tcW w:w="2268" w:type="dxa"/>
            <w:noWrap w:val="0"/>
            <w:vAlign w:val="top"/>
          </w:tcPr>
          <w:p>
            <w:pPr>
              <w:keepNext w:val="0"/>
              <w:keepLines w:val="0"/>
              <w:widowControl/>
              <w:suppressLineNumbers w:val="0"/>
              <w:jc w:val="center"/>
              <w:textAlignment w:val="top"/>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57.78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ind w:firstLine="640" w:firstLineChars="200"/>
              <w:jc w:val="left"/>
              <w:rPr>
                <w:rFonts w:ascii="Times New Roman" w:hAnsi="Times New Roman"/>
              </w:rPr>
            </w:pPr>
            <w:r>
              <w:rPr>
                <w:rFonts w:ascii="Times New Roman" w:hAnsi="Times New Roman"/>
              </w:rPr>
              <w:t>贷款产生的温室气体排放量</w:t>
            </w:r>
          </w:p>
        </w:tc>
        <w:tc>
          <w:tcPr>
            <w:tcW w:w="2268" w:type="dxa"/>
            <w:noWrap w:val="0"/>
            <w:vAlign w:val="top"/>
          </w:tcPr>
          <w:p>
            <w:pPr>
              <w:keepNext w:val="0"/>
              <w:keepLines w:val="0"/>
              <w:widowControl/>
              <w:suppressLineNumbers w:val="0"/>
              <w:jc w:val="center"/>
              <w:textAlignment w:val="top"/>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57.78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936" w:type="dxa"/>
            <w:noWrap w:val="0"/>
            <w:vAlign w:val="top"/>
          </w:tcPr>
          <w:p>
            <w:pPr>
              <w:ind w:firstLine="640" w:firstLineChars="200"/>
              <w:jc w:val="left"/>
              <w:rPr>
                <w:rFonts w:ascii="Times New Roman" w:hAnsi="Times New Roman"/>
              </w:rPr>
            </w:pPr>
            <w:r>
              <w:rPr>
                <w:rFonts w:ascii="Times New Roman" w:hAnsi="Times New Roman"/>
              </w:rPr>
              <w:t>温室气体排放总量（范围1+2+3）</w:t>
            </w:r>
          </w:p>
        </w:tc>
        <w:tc>
          <w:tcPr>
            <w:tcW w:w="2268" w:type="dxa"/>
            <w:noWrap w:val="0"/>
            <w:vAlign w:val="top"/>
          </w:tcPr>
          <w:p>
            <w:pPr>
              <w:keepNext w:val="0"/>
              <w:keepLines w:val="0"/>
              <w:widowControl/>
              <w:suppressLineNumbers w:val="0"/>
              <w:jc w:val="center"/>
              <w:textAlignment w:val="top"/>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863.52</w:t>
            </w:r>
          </w:p>
        </w:tc>
      </w:tr>
    </w:tbl>
    <w:p>
      <w:pPr>
        <w:jc w:val="left"/>
        <w:rPr>
          <w:rFonts w:ascii="Times New Roman" w:hAnsi="Times New Roman"/>
        </w:rPr>
      </w:pPr>
      <w:r>
        <w:rPr>
          <w:rFonts w:ascii="Times New Roman" w:hAnsi="Times New Roman"/>
        </w:rPr>
        <w:t>注：</w:t>
      </w:r>
    </w:p>
    <w:p>
      <w:pPr>
        <w:rPr>
          <w:rFonts w:ascii="Times New Roman" w:hAnsi="Times New Roman"/>
        </w:rPr>
      </w:pPr>
      <w:r>
        <w:rPr>
          <w:rFonts w:ascii="Times New Roman" w:hAnsi="Times New Roman"/>
        </w:rPr>
        <w:t>1.202</w:t>
      </w:r>
      <w:r>
        <w:rPr>
          <w:rFonts w:hint="eastAsia" w:ascii="Times New Roman" w:hAnsi="Times New Roman"/>
          <w:lang w:val="en-US" w:eastAsia="zh-CN"/>
        </w:rPr>
        <w:t>4</w:t>
      </w:r>
      <w:r>
        <w:rPr>
          <w:rFonts w:ascii="Times New Roman" w:hAnsi="Times New Roman"/>
        </w:rPr>
        <w:t>年度经营活动产生的温室气体排放包括直接温室气体排放量（范围1）、间接温室气体排放量（范围2）和其他间接温室气体排放量（范围3）；</w:t>
      </w:r>
    </w:p>
    <w:p>
      <w:pPr>
        <w:rPr>
          <w:rFonts w:ascii="Times New Roman" w:hAnsi="Times New Roman"/>
        </w:rPr>
      </w:pPr>
      <w:r>
        <w:rPr>
          <w:rFonts w:ascii="Times New Roman" w:hAnsi="Times New Roman"/>
        </w:rPr>
        <w:t>2.直接温室气体排放（范围1）包括经营活动的天然气、液化石油气、煤等使用量，自有公车汽油和柴油消耗量；</w:t>
      </w:r>
    </w:p>
    <w:p>
      <w:pPr>
        <w:rPr>
          <w:rFonts w:ascii="Times New Roman" w:hAnsi="Times New Roman"/>
        </w:rPr>
      </w:pPr>
      <w:r>
        <w:rPr>
          <w:rFonts w:ascii="Times New Roman" w:hAnsi="Times New Roman"/>
        </w:rPr>
        <w:t>3.间接温室气体排放（范围2）包括经营办公活动的电力使用量；</w:t>
      </w:r>
    </w:p>
    <w:p>
      <w:pPr>
        <w:rPr>
          <w:rFonts w:ascii="Times New Roman" w:hAnsi="Times New Roman"/>
        </w:rPr>
      </w:pPr>
      <w:r>
        <w:rPr>
          <w:rFonts w:ascii="Times New Roman" w:hAnsi="Times New Roman"/>
        </w:rPr>
        <w:t>4.其他间接温室气体排放量（范围3）包括贷款产生的温室气体排放量。</w:t>
      </w:r>
    </w:p>
    <w:p>
      <w:pPr>
        <w:rPr>
          <w:rFonts w:ascii="Times New Roman" w:hAnsi="Times New Roma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6.3节能环保措施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6.3.1优化办公大楼用电管理。在办公室内照明用电方面，倡导全体员工积极执行“人走电断”的良好习惯，综合保障部不定期组织人员进行检查。全体员工在下班前或离开办公室较长时间时，要将个人所在办公位置的用电设备全部关闭；部门所有人员离开办公室前，要将本部门所在区域的所有用电设备全部关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6.3.2加强公务用车燃油管理。实行定点加油制度，努力降低燃油消耗。办公人员在离车参加公务活动时，驾驶人员应将车辆熄火。公务用车的购置全部纳入办公室管理部门节能采购，优先选购节能环保、清洁能源的车辆。严格执行国家有关汽车报废标准制度，对油耗高、车况差、尾气排放不达标的车辆坚决予以淘汰，对达到报废标准的车辆及时予以报废。实行车辆统一集中管理、统一调度，提高车辆使用效率。能几人同行的，不分乘多辆公务车；能用小轿车的，不用旅行车。严禁公车私用、公油私加，堵塞管理漏洞。对违反规定的情况，认真查处，若情节严重，依法依纪查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6.3.3落实“光盘行动”。为贯彻落实习近平总书记关于厉行勤俭节约反对铺张浪费的重要指示精神，大力推进文明餐桌光盘行动，提倡艰苦奋斗、勤俭节约的美德，培育健康生活、文明用餐的习惯，江口农信联社食堂就餐采取“报名制”，按照人员数量备餐，在食堂显眼位置张贴“光盘行动”提示语，同时纪检监察室以及运营部对食堂就餐情况进行监督，持续厉行勤俭节约、反对铺张浪费，积极履行社会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6.3.4开展无纸化办公。一是及时启动“柜外清”电子签字系统。在柜面业务系统嵌入“柜外清”电子签字系统，客户在柜面办理业务时可以在液晶屏上进行电子签名，相应业务凭证档案以电子文档的形式保存。二是普及OA内部办公系统，相关文件及会议资料及时通过黔农办公系统发布，减少纸质资料的使用。三是在ATM机取款系统设置是否打印凭条栏，客户可根据短信提示及黔农云APP、手机微银行等方式实现自助查询。四是推广服务智能化。持续完善黔农云线上综合系统、黔农智慧乡村、社银一体化等数字金融服务，为客户提供一揽子金融服务，进一步提升绿色环保的工作实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7.投融资活动的环境影响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7.1绿色金融发展情况</w:t>
      </w:r>
    </w:p>
    <w:p>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江口农信联社积极履行绿色金融理念，</w:t>
      </w:r>
      <w:r>
        <w:rPr>
          <w:rFonts w:hint="eastAsia" w:ascii="仿宋_GB2312" w:hAnsi="仿宋_GB2312" w:eastAsia="仿宋_GB2312" w:cs="仿宋_GB2312"/>
          <w:sz w:val="32"/>
          <w:szCs w:val="32"/>
          <w:lang w:val="en-US" w:eastAsia="zh-CN"/>
        </w:rPr>
        <w:t>支持本土绿色环保产业的发展。本社坚持优先</w:t>
      </w:r>
      <w:r>
        <w:rPr>
          <w:rFonts w:hint="eastAsia" w:ascii="仿宋_GB2312" w:hAnsi="仿宋_GB2312" w:eastAsia="仿宋_GB2312" w:cs="仿宋_GB2312"/>
          <w:sz w:val="32"/>
          <w:szCs w:val="32"/>
        </w:rPr>
        <w:t>为绿色信贷安排额度，提供优惠利率定价、灵活还款方式和便捷办贷通道。同时持续推进绿色运营，坚持低碳办公，贯彻绿色施工管理，践行环保理念。江口</w:t>
      </w:r>
      <w:r>
        <w:rPr>
          <w:rFonts w:hint="eastAsia" w:ascii="仿宋_GB2312" w:hAnsi="仿宋_GB2312" w:eastAsia="仿宋_GB2312" w:cs="仿宋_GB2312"/>
          <w:sz w:val="32"/>
          <w:szCs w:val="32"/>
          <w:lang w:eastAsia="zh-CN"/>
        </w:rPr>
        <w:t>农信</w:t>
      </w:r>
      <w:r>
        <w:rPr>
          <w:rFonts w:hint="eastAsia" w:ascii="仿宋_GB2312" w:hAnsi="仿宋_GB2312" w:eastAsia="仿宋_GB2312" w:cs="仿宋_GB2312"/>
          <w:sz w:val="32"/>
          <w:szCs w:val="32"/>
        </w:rPr>
        <w:t>联社作为贵州省首批试点金融机构之一，积极开展环境信息披露工作，积极探索对外披露自身经营活动、投融资活动等的环境影响，不断完善并提升自身气候与环境风险管控水平，加速绿色化进程，助推低碳目标的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截至</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rPr>
        <w:t>12</w:t>
      </w:r>
      <w:r>
        <w:rPr>
          <w:rFonts w:hint="eastAsia" w:ascii="仿宋_GB2312" w:hAnsi="仿宋_GB2312" w:eastAsia="仿宋_GB2312" w:cs="仿宋_GB2312"/>
          <w:sz w:val="32"/>
          <w:szCs w:val="32"/>
        </w:rPr>
        <w:t>月末，</w:t>
      </w:r>
      <w:r>
        <w:rPr>
          <w:rFonts w:hint="eastAsia" w:ascii="仿宋_GB2312" w:hAnsi="仿宋_GB2312" w:eastAsia="仿宋_GB2312" w:cs="仿宋_GB2312"/>
          <w:sz w:val="32"/>
          <w:szCs w:val="32"/>
          <w:lang w:eastAsia="zh-CN"/>
        </w:rPr>
        <w:t>我社</w:t>
      </w:r>
      <w:r>
        <w:rPr>
          <w:rFonts w:hint="eastAsia" w:ascii="仿宋_GB2312" w:hAnsi="仿宋_GB2312" w:eastAsia="仿宋_GB2312" w:cs="仿宋_GB2312"/>
          <w:sz w:val="32"/>
          <w:szCs w:val="32"/>
          <w:lang w:val="en-US" w:eastAsia="zh-CN"/>
        </w:rPr>
        <w:t>绿色贷款余额</w:t>
      </w:r>
      <w:r>
        <w:rPr>
          <w:rFonts w:hint="eastAsia" w:ascii="仿宋_GB2312" w:hAnsi="仿宋_GB2312" w:eastAsia="仿宋_GB2312" w:cs="仿宋_GB2312"/>
          <w:kern w:val="0"/>
          <w:sz w:val="32"/>
          <w:szCs w:val="32"/>
          <w:lang w:val="en-US" w:eastAsia="zh-CN"/>
        </w:rPr>
        <w:t>1.11</w:t>
      </w:r>
      <w:r>
        <w:rPr>
          <w:rFonts w:hint="eastAsia" w:ascii="仿宋_GB2312" w:hAnsi="仿宋_GB2312" w:eastAsia="仿宋_GB2312" w:cs="仿宋_GB2312"/>
          <w:sz w:val="32"/>
          <w:szCs w:val="32"/>
          <w:lang w:val="en-US" w:eastAsia="zh-CN"/>
        </w:rPr>
        <w:t>亿元、占各项贷款总额的</w:t>
      </w:r>
      <w:r>
        <w:rPr>
          <w:rFonts w:hint="eastAsia" w:ascii="仿宋_GB2312" w:hAnsi="仿宋_GB2312" w:eastAsia="仿宋_GB2312" w:cs="仿宋_GB2312"/>
          <w:kern w:val="0"/>
          <w:sz w:val="32"/>
          <w:szCs w:val="32"/>
          <w:lang w:val="en-US" w:eastAsia="zh-CN"/>
        </w:rPr>
        <w:t>2.64%</w:t>
      </w:r>
      <w:r>
        <w:rPr>
          <w:rFonts w:hint="eastAsia" w:ascii="仿宋_GB2312" w:hAnsi="仿宋_GB2312" w:eastAsia="仿宋_GB2312" w:cs="仿宋_GB2312"/>
          <w:sz w:val="32"/>
          <w:szCs w:val="32"/>
          <w:lang w:val="en-US" w:eastAsia="zh-CN"/>
        </w:rPr>
        <w:t>，绿色普惠贷款余额</w:t>
      </w:r>
      <w:r>
        <w:rPr>
          <w:rFonts w:hint="eastAsia" w:ascii="仿宋_GB2312" w:hAnsi="仿宋_GB2312" w:eastAsia="仿宋_GB2312" w:cs="仿宋_GB2312"/>
          <w:kern w:val="0"/>
          <w:sz w:val="32"/>
          <w:szCs w:val="32"/>
          <w:lang w:val="en-US" w:eastAsia="zh-CN"/>
        </w:rPr>
        <w:t>14.82</w:t>
      </w:r>
      <w:r>
        <w:rPr>
          <w:rFonts w:hint="eastAsia" w:ascii="仿宋_GB2312" w:hAnsi="仿宋_GB2312" w:eastAsia="仿宋_GB2312" w:cs="仿宋_GB2312"/>
          <w:sz w:val="32"/>
          <w:szCs w:val="32"/>
          <w:lang w:val="en-US" w:eastAsia="zh-CN"/>
        </w:rPr>
        <w:t>亿元、占各项贷款总额的</w:t>
      </w:r>
      <w:r>
        <w:rPr>
          <w:rFonts w:hint="eastAsia" w:ascii="仿宋_GB2312" w:hAnsi="仿宋_GB2312" w:eastAsia="仿宋_GB2312" w:cs="仿宋_GB2312"/>
          <w:kern w:val="0"/>
          <w:sz w:val="32"/>
          <w:szCs w:val="32"/>
          <w:lang w:val="en-US" w:eastAsia="zh-CN"/>
        </w:rPr>
        <w:t>35.38%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从支持领域来看</w:t>
      </w:r>
      <w:r>
        <w:rPr>
          <w:rFonts w:hint="eastAsia" w:ascii="仿宋_GB2312" w:hAnsi="仿宋_GB2312" w:eastAsia="仿宋_GB2312" w:cs="仿宋_GB2312"/>
          <w:sz w:val="32"/>
          <w:szCs w:val="32"/>
          <w:lang w:eastAsia="zh-CN"/>
        </w:rPr>
        <w:t>我社</w:t>
      </w:r>
      <w:r>
        <w:rPr>
          <w:rFonts w:hint="eastAsia" w:ascii="仿宋_GB2312" w:hAnsi="仿宋_GB2312" w:eastAsia="仿宋_GB2312" w:cs="仿宋_GB2312"/>
          <w:sz w:val="32"/>
          <w:szCs w:val="32"/>
        </w:rPr>
        <w:t>绿色信贷业务具有明显的“三农”特征，投向生态</w:t>
      </w:r>
      <w:r>
        <w:rPr>
          <w:rFonts w:hint="eastAsia" w:ascii="仿宋_GB2312" w:hAnsi="仿宋_GB2312" w:eastAsia="仿宋_GB2312" w:cs="仿宋_GB2312"/>
          <w:sz w:val="32"/>
          <w:szCs w:val="32"/>
          <w:highlight w:val="none"/>
        </w:rPr>
        <w:t>农业产业</w:t>
      </w:r>
      <w:r>
        <w:rPr>
          <w:rFonts w:hint="eastAsia" w:ascii="仿宋_GB2312" w:hAnsi="仿宋_GB2312" w:eastAsia="仿宋_GB2312" w:cs="仿宋_GB2312"/>
          <w:kern w:val="0"/>
          <w:sz w:val="32"/>
          <w:szCs w:val="32"/>
          <w:highlight w:val="none"/>
          <w:lang w:val="en-US" w:eastAsia="zh-CN"/>
        </w:rPr>
        <w:t>0.69</w:t>
      </w:r>
      <w:r>
        <w:rPr>
          <w:rFonts w:hint="eastAsia" w:ascii="仿宋_GB2312" w:hAnsi="仿宋_GB2312" w:eastAsia="仿宋_GB2312" w:cs="仿宋_GB2312"/>
          <w:sz w:val="32"/>
          <w:szCs w:val="32"/>
        </w:rPr>
        <w:t>亿元，占全部绿色贷款的</w:t>
      </w:r>
      <w:r>
        <w:rPr>
          <w:rFonts w:hint="eastAsia" w:ascii="仿宋_GB2312" w:hAnsi="仿宋_GB2312" w:eastAsia="仿宋_GB2312" w:cs="仿宋_GB2312"/>
          <w:kern w:val="0"/>
          <w:sz w:val="32"/>
          <w:szCs w:val="32"/>
          <w:lang w:val="en-US" w:eastAsia="zh-CN"/>
        </w:rPr>
        <w:t>62.16</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w:t>
      </w:r>
    </w:p>
    <w:p>
      <w:pPr>
        <w:jc w:val="center"/>
        <w:rPr>
          <w:rFonts w:ascii="Times New Roman" w:hAnsi="Times New Roman"/>
          <w:sz w:val="24"/>
        </w:rPr>
      </w:pPr>
    </w:p>
    <w:p>
      <w:pPr>
        <w:jc w:val="center"/>
        <w:rPr>
          <w:rFonts w:ascii="Times New Roman" w:hAnsi="Times New Roman"/>
          <w:b/>
          <w:bCs/>
          <w:sz w:val="24"/>
        </w:rPr>
      </w:pPr>
      <w:r>
        <w:rPr>
          <w:rFonts w:ascii="Times New Roman" w:hAnsi="Times New Roman"/>
          <w:b/>
          <w:bCs/>
          <w:sz w:val="24"/>
        </w:rPr>
        <w:t>绿色贷款投向领域</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noWrap w:val="0"/>
            <w:vAlign w:val="center"/>
          </w:tcPr>
          <w:p>
            <w:pPr>
              <w:jc w:val="center"/>
              <w:rPr>
                <w:rFonts w:ascii="Times New Roman" w:hAnsi="Times New Roman"/>
                <w:szCs w:val="21"/>
              </w:rPr>
            </w:pPr>
            <w:r>
              <w:rPr>
                <w:rFonts w:hint="eastAsia" w:ascii="黑体" w:hAnsi="黑体" w:eastAsia="黑体" w:cs="黑体"/>
                <w:szCs w:val="21"/>
                <w:highlight w:val="none"/>
              </w:rPr>
              <w:t>绿色贷款行业分类</w:t>
            </w:r>
          </w:p>
        </w:tc>
        <w:tc>
          <w:tcPr>
            <w:tcW w:w="2841" w:type="dxa"/>
            <w:noWrap w:val="0"/>
            <w:vAlign w:val="center"/>
          </w:tcPr>
          <w:p>
            <w:pPr>
              <w:jc w:val="center"/>
              <w:rPr>
                <w:rFonts w:ascii="Times New Roman" w:hAnsi="Times New Roman"/>
                <w:szCs w:val="21"/>
              </w:rPr>
            </w:pPr>
            <w:r>
              <w:rPr>
                <w:rFonts w:hint="eastAsia" w:ascii="黑体" w:hAnsi="黑体" w:eastAsia="黑体" w:cs="黑体"/>
                <w:szCs w:val="21"/>
              </w:rPr>
              <w:t>绿色贷款余额（亿元）</w:t>
            </w:r>
          </w:p>
        </w:tc>
        <w:tc>
          <w:tcPr>
            <w:tcW w:w="2841" w:type="dxa"/>
            <w:noWrap w:val="0"/>
            <w:vAlign w:val="center"/>
          </w:tcPr>
          <w:p>
            <w:pPr>
              <w:jc w:val="center"/>
              <w:rPr>
                <w:rFonts w:ascii="Times New Roman" w:hAnsi="Times New Roman"/>
                <w:szCs w:val="21"/>
              </w:rPr>
            </w:pPr>
            <w:r>
              <w:rPr>
                <w:rFonts w:hint="eastAsia" w:ascii="黑体" w:hAnsi="黑体" w:eastAsia="黑体" w:cs="黑体"/>
                <w:szCs w:val="21"/>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noWrap w:val="0"/>
            <w:vAlign w:val="center"/>
          </w:tcPr>
          <w:p>
            <w:pPr>
              <w:jc w:val="center"/>
              <w:rPr>
                <w:rFonts w:ascii="Times New Roman" w:hAnsi="Times New Roman"/>
                <w:szCs w:val="21"/>
              </w:rPr>
            </w:pPr>
            <w:r>
              <w:rPr>
                <w:rFonts w:ascii="Times New Roman" w:hAnsi="Times New Roman"/>
                <w:szCs w:val="21"/>
              </w:rPr>
              <w:t>节能环保产业</w:t>
            </w:r>
          </w:p>
        </w:tc>
        <w:tc>
          <w:tcPr>
            <w:tcW w:w="2841"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0.14</w:t>
            </w:r>
          </w:p>
        </w:tc>
        <w:tc>
          <w:tcPr>
            <w:tcW w:w="2841" w:type="dxa"/>
            <w:noWrap w:val="0"/>
            <w:vAlign w:val="center"/>
          </w:tcPr>
          <w:p>
            <w:pPr>
              <w:jc w:val="center"/>
              <w:rPr>
                <w:rFonts w:ascii="Times New Roman" w:hAnsi="Times New Roman"/>
                <w:szCs w:val="21"/>
              </w:rPr>
            </w:pPr>
            <w:r>
              <w:rPr>
                <w:rFonts w:hint="eastAsia" w:ascii="Times New Roman" w:hAnsi="Times New Roman"/>
                <w:szCs w:val="21"/>
                <w:lang w:val="en-US" w:eastAsia="zh-CN"/>
              </w:rPr>
              <w:t>12.61</w:t>
            </w:r>
            <w:r>
              <w:rPr>
                <w:rFonts w:ascii="Times New Roman" w:hAnsi="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noWrap w:val="0"/>
            <w:vAlign w:val="center"/>
          </w:tcPr>
          <w:p>
            <w:pPr>
              <w:jc w:val="center"/>
              <w:rPr>
                <w:rFonts w:ascii="Times New Roman" w:hAnsi="Times New Roman"/>
                <w:szCs w:val="21"/>
              </w:rPr>
            </w:pPr>
            <w:r>
              <w:rPr>
                <w:rFonts w:ascii="Times New Roman" w:hAnsi="Times New Roman"/>
              </w:rPr>
              <w:t>清洁能源产业</w:t>
            </w:r>
          </w:p>
        </w:tc>
        <w:tc>
          <w:tcPr>
            <w:tcW w:w="2841"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0.10</w:t>
            </w:r>
          </w:p>
        </w:tc>
        <w:tc>
          <w:tcPr>
            <w:tcW w:w="2841" w:type="dxa"/>
            <w:noWrap w:val="0"/>
            <w:vAlign w:val="center"/>
          </w:tcPr>
          <w:p>
            <w:pPr>
              <w:jc w:val="center"/>
              <w:rPr>
                <w:rFonts w:ascii="Times New Roman" w:hAnsi="Times New Roman"/>
                <w:szCs w:val="21"/>
              </w:rPr>
            </w:pPr>
            <w:r>
              <w:rPr>
                <w:rFonts w:hint="eastAsia" w:ascii="Times New Roman" w:hAnsi="Times New Roman"/>
                <w:szCs w:val="21"/>
                <w:lang w:val="en-US" w:eastAsia="zh-CN"/>
              </w:rPr>
              <w:t>9.01</w:t>
            </w:r>
            <w:r>
              <w:rPr>
                <w:rFonts w:ascii="Times New Roman" w:hAnsi="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noWrap w:val="0"/>
            <w:vAlign w:val="center"/>
          </w:tcPr>
          <w:p>
            <w:pPr>
              <w:jc w:val="center"/>
              <w:rPr>
                <w:rFonts w:ascii="Times New Roman" w:hAnsi="Times New Roman"/>
                <w:szCs w:val="21"/>
              </w:rPr>
            </w:pPr>
            <w:r>
              <w:rPr>
                <w:rFonts w:ascii="Times New Roman" w:hAnsi="Times New Roman"/>
              </w:rPr>
              <w:t>生态环境产业</w:t>
            </w:r>
          </w:p>
        </w:tc>
        <w:tc>
          <w:tcPr>
            <w:tcW w:w="2841"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0.69</w:t>
            </w:r>
          </w:p>
        </w:tc>
        <w:tc>
          <w:tcPr>
            <w:tcW w:w="2841" w:type="dxa"/>
            <w:noWrap w:val="0"/>
            <w:vAlign w:val="center"/>
          </w:tcPr>
          <w:p>
            <w:pPr>
              <w:jc w:val="center"/>
              <w:rPr>
                <w:rFonts w:ascii="Times New Roman" w:hAnsi="Times New Roman"/>
                <w:szCs w:val="21"/>
              </w:rPr>
            </w:pPr>
            <w:r>
              <w:rPr>
                <w:rFonts w:ascii="Times New Roman" w:hAnsi="Times New Roman"/>
                <w:szCs w:val="21"/>
              </w:rPr>
              <w:t>6</w:t>
            </w:r>
            <w:r>
              <w:rPr>
                <w:rFonts w:hint="eastAsia" w:ascii="Times New Roman" w:hAnsi="Times New Roman"/>
                <w:szCs w:val="21"/>
                <w:lang w:val="en-US" w:eastAsia="zh-CN"/>
              </w:rPr>
              <w:t>2.16</w:t>
            </w:r>
            <w:r>
              <w:rPr>
                <w:rFonts w:ascii="Times New Roman" w:hAnsi="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noWrap w:val="0"/>
            <w:vAlign w:val="center"/>
          </w:tcPr>
          <w:p>
            <w:pPr>
              <w:jc w:val="center"/>
              <w:rPr>
                <w:rFonts w:ascii="Times New Roman" w:hAnsi="Times New Roman"/>
                <w:szCs w:val="21"/>
              </w:rPr>
            </w:pPr>
            <w:r>
              <w:rPr>
                <w:rFonts w:ascii="Times New Roman" w:hAnsi="Times New Roman"/>
              </w:rPr>
              <w:t>基础设施绿色升级</w:t>
            </w:r>
          </w:p>
        </w:tc>
        <w:tc>
          <w:tcPr>
            <w:tcW w:w="2841"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0.18</w:t>
            </w:r>
          </w:p>
        </w:tc>
        <w:tc>
          <w:tcPr>
            <w:tcW w:w="2841" w:type="dxa"/>
            <w:noWrap w:val="0"/>
            <w:vAlign w:val="center"/>
          </w:tcPr>
          <w:p>
            <w:pPr>
              <w:jc w:val="center"/>
              <w:rPr>
                <w:rFonts w:ascii="Times New Roman" w:hAnsi="Times New Roman"/>
                <w:szCs w:val="21"/>
              </w:rPr>
            </w:pPr>
            <w:r>
              <w:rPr>
                <w:rFonts w:hint="eastAsia" w:ascii="Times New Roman" w:hAnsi="Times New Roman"/>
                <w:szCs w:val="21"/>
                <w:lang w:val="en-US" w:eastAsia="zh-CN"/>
              </w:rPr>
              <w:t>16.22</w:t>
            </w:r>
            <w:r>
              <w:rPr>
                <w:rFonts w:ascii="Times New Roman" w:hAnsi="Times New Roman"/>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840" w:type="dxa"/>
            <w:noWrap w:val="0"/>
            <w:vAlign w:val="center"/>
          </w:tcPr>
          <w:p>
            <w:pPr>
              <w:jc w:val="center"/>
              <w:rPr>
                <w:rFonts w:ascii="Times New Roman" w:hAnsi="Times New Roman"/>
                <w:szCs w:val="21"/>
              </w:rPr>
            </w:pPr>
            <w:r>
              <w:rPr>
                <w:rFonts w:ascii="Times New Roman" w:hAnsi="Times New Roman"/>
                <w:szCs w:val="21"/>
              </w:rPr>
              <w:t>合计</w:t>
            </w:r>
          </w:p>
        </w:tc>
        <w:tc>
          <w:tcPr>
            <w:tcW w:w="2841" w:type="dxa"/>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1.11</w:t>
            </w:r>
          </w:p>
        </w:tc>
        <w:tc>
          <w:tcPr>
            <w:tcW w:w="2841" w:type="dxa"/>
            <w:noWrap w:val="0"/>
            <w:vAlign w:val="center"/>
          </w:tcPr>
          <w:p>
            <w:pPr>
              <w:jc w:val="center"/>
              <w:rPr>
                <w:rFonts w:ascii="Times New Roman" w:hAnsi="Times New Roman"/>
                <w:szCs w:val="21"/>
              </w:rPr>
            </w:pPr>
            <w:r>
              <w:rPr>
                <w:rFonts w:ascii="Times New Roman" w:hAnsi="Times New Roman"/>
                <w:szCs w:val="21"/>
              </w:rPr>
              <w:t>100.00%</w:t>
            </w:r>
          </w:p>
        </w:tc>
      </w:tr>
    </w:tbl>
    <w:p>
      <w:pPr>
        <w:rPr>
          <w:rFonts w:ascii="Times New Roman" w:hAnsi="Times New Roman"/>
        </w:rPr>
      </w:pPr>
      <w:r>
        <w:rPr>
          <w:rFonts w:ascii="Times New Roman" w:hAnsi="Times New Roman"/>
        </w:rPr>
        <w:t>注：绿色贷款统计口径为中国人民银行统计口径。</w:t>
      </w:r>
    </w:p>
    <w:p>
      <w:pPr>
        <w:rPr>
          <w:rFonts w:ascii="Times New Roman" w:hAnsi="Times New Roma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8.绿色金融创新做法及成果奖项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highlight w:val="none"/>
          <w:lang w:val="en-US" w:eastAsia="zh-CN"/>
        </w:rPr>
        <w:t>8.1“生态账户”优化运用扩面增量。</w:t>
      </w:r>
      <w:r>
        <w:rPr>
          <w:rFonts w:hint="eastAsia" w:ascii="仿宋_GB2312" w:hAnsi="仿宋_GB2312" w:eastAsia="仿宋_GB2312" w:cs="仿宋_GB2312"/>
          <w:sz w:val="32"/>
          <w:szCs w:val="32"/>
          <w:lang w:val="en-US" w:eastAsia="zh-CN"/>
        </w:rPr>
        <w:t>2024年7月29日，</w:t>
      </w:r>
      <w:r>
        <w:rPr>
          <w:rFonts w:hint="eastAsia" w:ascii="仿宋_GB2312" w:hAnsi="仿宋_GB2312" w:cs="仿宋_GB2312"/>
          <w:sz w:val="32"/>
          <w:szCs w:val="32"/>
          <w:lang w:val="en-US" w:eastAsia="zh-CN"/>
        </w:rPr>
        <w:t>《人民日报》</w:t>
      </w:r>
      <w:r>
        <w:rPr>
          <w:rFonts w:hint="eastAsia" w:ascii="仿宋_GB2312" w:hAnsi="仿宋_GB2312" w:eastAsia="仿宋_GB2312" w:cs="仿宋_GB2312"/>
          <w:sz w:val="32"/>
          <w:szCs w:val="32"/>
          <w:lang w:val="en-US" w:eastAsia="zh-CN"/>
        </w:rPr>
        <w:t>聚焦我社“生态账户”--让生态积分变成“真金白银”。我社结合县域经济与行社实际，2024年对原“生态账户”管理办法进行了两次修订。</w:t>
      </w:r>
      <w:r>
        <w:rPr>
          <w:rFonts w:hint="eastAsia" w:ascii="仿宋_GB2312" w:hAnsi="仿宋_GB2312" w:cs="仿宋_GB2312"/>
          <w:sz w:val="32"/>
          <w:szCs w:val="32"/>
          <w:lang w:val="en-US" w:eastAsia="zh-CN"/>
        </w:rPr>
        <w:t>截至</w:t>
      </w:r>
      <w:r>
        <w:rPr>
          <w:rFonts w:hint="eastAsia" w:ascii="仿宋_GB2312" w:hAnsi="仿宋_GB2312" w:eastAsia="仿宋_GB2312" w:cs="仿宋_GB2312"/>
          <w:sz w:val="32"/>
          <w:szCs w:val="32"/>
          <w:lang w:val="en-US" w:eastAsia="zh-CN"/>
        </w:rPr>
        <w:t>2024年末，江口农信联社“生态账户”建档户数12254户，建档主体贷款授信金额7.71亿元，运用“生态账户”累放贷款户数3067户，累放金额6.14亿元。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8.2打造绿色普惠网点。</w:t>
      </w:r>
      <w:r>
        <w:rPr>
          <w:rFonts w:hint="eastAsia" w:ascii="Times New Roman" w:hAnsi="Times New Roman" w:eastAsia="仿宋_GB2312"/>
          <w:sz w:val="32"/>
          <w:szCs w:val="32"/>
          <w:highlight w:val="none"/>
          <w:lang w:val="en-US" w:eastAsia="zh-CN"/>
        </w:rPr>
        <w:t>我社积极落实</w:t>
      </w:r>
      <w:r>
        <w:rPr>
          <w:rFonts w:hint="eastAsia"/>
          <w:sz w:val="32"/>
          <w:szCs w:val="32"/>
          <w:highlight w:val="none"/>
          <w:lang w:val="en-US" w:eastAsia="zh-CN"/>
        </w:rPr>
        <w:t>省委、省政府</w:t>
      </w:r>
      <w:r>
        <w:rPr>
          <w:rFonts w:hint="eastAsia" w:ascii="Times New Roman" w:hAnsi="Times New Roman" w:eastAsia="仿宋_GB2312"/>
          <w:sz w:val="32"/>
          <w:szCs w:val="32"/>
          <w:highlight w:val="none"/>
          <w:lang w:val="en-US" w:eastAsia="zh-CN"/>
        </w:rPr>
        <w:t>工作部署，按照《省联社关于打造县域绿色普惠银行标杆支持贵州生态文明先行区建设的意见》要求，聚焦业务发展、运营管理、能力提升，明确我社绿色普惠网点建设的目标及重点举措，研究制定了</w:t>
      </w:r>
      <w:r>
        <w:rPr>
          <w:rFonts w:hint="eastAsia" w:ascii="仿宋_GB2312" w:hAnsi="仿宋_GB2312" w:eastAsia="仿宋_GB2312" w:cs="仿宋_GB2312"/>
          <w:sz w:val="32"/>
          <w:szCs w:val="32"/>
          <w:lang w:val="en-US" w:eastAsia="zh-CN"/>
        </w:rPr>
        <w:t>《江口县农村信用合作联社绿色普惠标杆网点建设工作实施方案》，2024年对</w:t>
      </w:r>
      <w:r>
        <w:rPr>
          <w:rFonts w:hint="eastAsia" w:ascii="Times New Roman" w:hAnsi="Times New Roman" w:eastAsia="仿宋_GB2312"/>
          <w:sz w:val="32"/>
          <w:szCs w:val="32"/>
          <w:highlight w:val="none"/>
          <w:lang w:val="en-US" w:eastAsia="zh-CN"/>
        </w:rPr>
        <w:t>营业部及太平信用社进行全面“绿化”改造。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8.3建设绿色普惠信用工程。</w:t>
      </w:r>
      <w:r>
        <w:rPr>
          <w:rFonts w:hint="eastAsia" w:ascii="Times New Roman" w:hAnsi="Times New Roman" w:eastAsia="仿宋_GB2312"/>
          <w:sz w:val="32"/>
          <w:szCs w:val="32"/>
          <w:highlight w:val="none"/>
          <w:lang w:val="en-US" w:eastAsia="zh-CN"/>
        </w:rPr>
        <w:t>结合农村信用工程提档升级工作，将生态账户与农村信用工程提档升级相结合，将生态积分作为农村信用工程的“绿色增信”元素，丰富农村信用工程助推生态产品价值实现、支持农业农村绿色发展、引领普惠群体绿色生产生活的功能内涵，持续开展绿色普惠信用户、信用组（村）建设</w:t>
      </w:r>
      <w:r>
        <w:rPr>
          <w:rFonts w:hint="eastAsia" w:ascii="仿宋_GB2312" w:hAnsi="仿宋_GB2312" w:eastAsia="仿宋_GB2312" w:cs="仿宋_GB2312"/>
          <w:sz w:val="32"/>
          <w:szCs w:val="32"/>
          <w:highlight w:val="none"/>
          <w:lang w:val="en-US" w:eastAsia="zh-CN"/>
        </w:rPr>
        <w:t>，2024年成功打造绿色普惠信用村12个。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8.4绿色金融业务教育培训与人才培养机制。</w:t>
      </w:r>
      <w:r>
        <w:rPr>
          <w:rFonts w:hint="eastAsia" w:ascii="Times New Roman" w:hAnsi="Times New Roman" w:eastAsia="仿宋_GB2312"/>
          <w:sz w:val="32"/>
          <w:szCs w:val="32"/>
          <w:highlight w:val="none"/>
          <w:lang w:val="en-US" w:eastAsia="zh-CN"/>
        </w:rPr>
        <w:t>针对我社自身发展绿色金融的痛点、难点问题，聚焦思想认识、政策解读、业务实操等，如绿色信贷、绿色普惠信贷的识别等问题，制作培训课件，形成针对性强、实用价值高的常态化绿色普惠金融培训模式。同时根据省联社相关指导思想，选派优秀人才到省联社跟班学习，提升业务技能，强化绿色普惠人才培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9.转型金融业务发展情况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sz w:val="32"/>
          <w:szCs w:val="32"/>
          <w:highlight w:val="none"/>
          <w:lang w:val="en-US" w:eastAsia="zh-CN"/>
        </w:rPr>
        <w:t>9.1转型金融相关治理结构。</w:t>
      </w:r>
      <w:r>
        <w:rPr>
          <w:rFonts w:hint="eastAsia" w:ascii="Times New Roman" w:hAnsi="Times New Roman" w:eastAsia="仿宋_GB2312"/>
          <w:sz w:val="32"/>
          <w:szCs w:val="32"/>
          <w:highlight w:val="none"/>
          <w:lang w:val="en-US" w:eastAsia="zh-CN"/>
        </w:rPr>
        <w:t>设立理事会绿色普惠金融委员会，抽调精干力量组建绿色普惠金融转型发展专班，协调执行经理事会批准的绿色普惠金融转型发展战略规划，制定绿色普惠金融发展管理机制，建立健全绿色普惠金融转型发展的激励约束机制，监督、评估绿色普惠金融发展规划执行情况。明确专职人员、配置专项资源、打造专业团队，负责联社绿色普惠金融转型方案制定、产品开</w:t>
      </w:r>
      <w:r>
        <w:rPr>
          <w:rFonts w:hint="eastAsia" w:ascii="Times New Roman" w:hAnsi="Times New Roman" w:eastAsia="仿宋_GB2312"/>
          <w:sz w:val="32"/>
          <w:szCs w:val="32"/>
          <w:lang w:val="en-US" w:eastAsia="zh-CN"/>
        </w:rPr>
        <w:t>发，绿色金融政策推广、培训、宣传和服务等工作。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sz w:val="32"/>
          <w:szCs w:val="32"/>
          <w:lang w:val="en-US" w:eastAsia="zh-CN"/>
        </w:rPr>
        <w:t>9.2转型规划。</w:t>
      </w:r>
      <w:r>
        <w:rPr>
          <w:rFonts w:hint="eastAsia" w:ascii="Times New Roman" w:hAnsi="Times New Roman" w:eastAsia="仿宋_GB2312"/>
          <w:sz w:val="32"/>
          <w:szCs w:val="32"/>
          <w:lang w:val="en-US" w:eastAsia="zh-CN"/>
        </w:rPr>
        <w:t>我社结合县绿色金融改革创新发展要求，根据《贵州省级绿色金融改革创新发展试点县建设工作实施方案》及省联社安排部署，制定了《江口县农村信用合作联社绿色普惠金融发展战略规划（2023-2025</w:t>
      </w:r>
      <w:r>
        <w:rPr>
          <w:rFonts w:hint="eastAsia"/>
          <w:sz w:val="32"/>
          <w:szCs w:val="32"/>
          <w:lang w:val="en-US" w:eastAsia="zh-CN"/>
        </w:rPr>
        <w:t>）</w:t>
      </w:r>
      <w:r>
        <w:rPr>
          <w:rFonts w:hint="eastAsia" w:ascii="Times New Roman" w:hAnsi="Times New Roman" w:eastAsia="仿宋_GB2312"/>
          <w:sz w:val="32"/>
          <w:szCs w:val="32"/>
          <w:lang w:val="en-US" w:eastAsia="zh-CN"/>
        </w:rPr>
        <w:t>》，深入践行“创新、协调、绿色、开放、共享”和“绿水青山就是金山银山”的新发展理念，围绕“倡导生态文明建设、聚焦减缓气候变化、保护生物多样性、推动绿色低碳可持续发展”的目标大力发展绿色普惠金融，力争在2025年前分阶段实现自身运营、投资活动和经营活动碳中和，努力把江口建设成为“全省前列”的绿色金融改革创新发展示范县，推动本社绿色化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9.3转型金融发展典型案例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近年来，江口县深入推进生态产品价值实现机制改革试点，充分发挥绿色金融对区域经济发展推动作用，用好用活信贷工具，创新推出“梵净生态账户”，积极推动“两山”转换通道，打通生态—金融—经济之间的“转换器”，有力推动绿色产业振兴和生态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在江口县农村信用合作联社营业部的大厅内，江口县曾家港村民任志华正为经营的民宿咨询信贷业务，我社客户经理了解情况后，查到了任志华的档案，并根据其“梵净生态账户”积分，为他办理“提额降息”优惠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lang w:val="en-US" w:eastAsia="zh-CN"/>
        </w:rPr>
        <w:t>“</w:t>
      </w:r>
      <w:r>
        <w:rPr>
          <w:rFonts w:hint="eastAsia" w:ascii="仿宋_GB2312" w:hAnsi="仿宋_GB2312" w:eastAsia="仿宋_GB2312" w:cs="仿宋_GB2312"/>
          <w:sz w:val="32"/>
          <w:szCs w:val="32"/>
          <w:lang w:val="en-US" w:eastAsia="zh-CN"/>
        </w:rPr>
        <w:t>你的‘梵净生态账户’可以抵扣250分，授信额度在原来的基础上提升5万元，年利率从5.5%</w:t>
      </w:r>
      <w:r>
        <w:rPr>
          <w:rFonts w:hint="eastAsia" w:ascii="仿宋_GB2312" w:hAnsi="仿宋_GB2312" w:cs="仿宋_GB2312"/>
          <w:sz w:val="32"/>
          <w:szCs w:val="32"/>
          <w:lang w:val="en-US" w:eastAsia="zh-CN"/>
        </w:rPr>
        <w:t>降</w:t>
      </w:r>
      <w:r>
        <w:rPr>
          <w:rFonts w:hint="eastAsia" w:ascii="仿宋_GB2312" w:hAnsi="仿宋_GB2312" w:eastAsia="仿宋_GB2312" w:cs="仿宋_GB2312"/>
          <w:sz w:val="32"/>
          <w:szCs w:val="32"/>
          <w:lang w:val="en-US" w:eastAsia="zh-CN"/>
        </w:rPr>
        <w:t>至4.65%。”听了客户经理的介绍，任志华十分欣喜，通过生活和经营中践行绿色生产生活方式，增加了“梵净生态账户”积分，首次享受到了生态行为带来的“惠民福利”。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现在的贷款额度有30万元了，利息每年可以减少三千多元，正好可以用于民宿的装修改造，解了我的燃眉之急，我也意识到了绿色生态的重要性，之后会通过购买绿色产品、低碳出行等行为积累更多的积分。”民宿经营者任志华说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梵净生态账户”是针对个人和企业在日常生产、生活、经营过程中的生态行为与成果进行信息数据采集，通过指标评价赋予一定分值的虚拟账户。以生态资产、生态经营、生态生活、生态保护、生态金融5个一级指标推出个性化积分评价标准，涵盖生态林资产、粮食作物生产、购买新能源设备、节能减排等指标，通过信息批量采集集中评定、逐户调查核实单户评定和自主申报获评三方面进行综合评分。当“梵净生态积分”达到一定数值，根据群众或企业的需求，可兑换授信额度提升、贷款利率优惠、存款产品定制、金融服务绿色通道等金融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10.支持普惠主体及中小企业绿色发展情况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10.1绿色普惠信贷投放情况。截至</w:t>
      </w:r>
      <w:r>
        <w:rPr>
          <w:rFonts w:hint="eastAsia" w:ascii="仿宋_GB2312" w:hAnsi="仿宋_GB2312" w:eastAsia="仿宋_GB2312" w:cs="仿宋_GB2312"/>
          <w:sz w:val="32"/>
          <w:szCs w:val="32"/>
          <w:lang w:val="en-US" w:eastAsia="zh-CN"/>
        </w:rPr>
        <w:t>2024年末，江口农信联社绿色普惠贷款余额14.82亿元，占全部贷款的35.38%。从客群上看，个人类贷款余额13.53亿元，公司类贷款1.29亿元。从用途看，绿色农业生产类贷款14.76亿元、农业生态保护修复类贷款0.018亿元、农业产业链绿色低碳转型类贷款0.038亿元，贷款主要聚焦农户、小微企业等普惠客群，主要投向“三农”、乡村振兴等普惠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11.数据梳理、校验和保护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sz w:val="32"/>
          <w:szCs w:val="32"/>
          <w:lang w:val="en-US" w:eastAsia="zh-CN"/>
        </w:rPr>
        <w:t>11.1数据梳理。</w:t>
      </w:r>
      <w:r>
        <w:rPr>
          <w:rFonts w:hint="eastAsia" w:ascii="Times New Roman" w:hAnsi="Times New Roman" w:eastAsia="仿宋_GB2312"/>
          <w:sz w:val="32"/>
          <w:szCs w:val="32"/>
          <w:lang w:val="en-US" w:eastAsia="zh-CN"/>
        </w:rPr>
        <w:t>为进一步提高监管绿色贷款专项数据报送质量，降低手工报送差错率，我社严格按照人民银行和国家</w:t>
      </w:r>
      <w:r>
        <w:rPr>
          <w:rFonts w:hint="eastAsia"/>
          <w:sz w:val="32"/>
          <w:szCs w:val="32"/>
          <w:lang w:val="en-US" w:eastAsia="zh-CN"/>
        </w:rPr>
        <w:t>金融</w:t>
      </w:r>
      <w:r>
        <w:rPr>
          <w:rFonts w:hint="eastAsia" w:ascii="Times New Roman" w:hAnsi="Times New Roman" w:eastAsia="仿宋_GB2312"/>
          <w:sz w:val="32"/>
          <w:szCs w:val="32"/>
          <w:lang w:val="en-US" w:eastAsia="zh-CN"/>
        </w:rPr>
        <w:t>监督管理总局绿色金融规</w:t>
      </w:r>
      <w:r>
        <w:rPr>
          <w:rFonts w:hint="eastAsia"/>
          <w:sz w:val="32"/>
          <w:szCs w:val="32"/>
          <w:lang w:val="en-US" w:eastAsia="zh-CN"/>
        </w:rPr>
        <w:t>范的</w:t>
      </w:r>
      <w:r>
        <w:rPr>
          <w:rFonts w:hint="eastAsia" w:ascii="Times New Roman" w:hAnsi="Times New Roman" w:eastAsia="仿宋_GB2312"/>
          <w:sz w:val="32"/>
          <w:szCs w:val="32"/>
          <w:lang w:val="en-US" w:eastAsia="zh-CN"/>
        </w:rPr>
        <w:t>要求，依据《绿色产业指导目录（2019年版）》进行系统标识取数，并明确专人负责绿色贷款的报送审核工作。同时，以建立清晰、准确、完善的统计口径为重心，由普惠金融部绿色信贷专班组织全辖进行培训，全面解读监管报表要求和报表口径，结合我社实际，重点解读监管绿色贷款统计指标的取数口径和取数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楷体_GB2312" w:hAnsi="楷体_GB2312" w:eastAsia="楷体_GB2312" w:cs="楷体_GB2312"/>
          <w:sz w:val="32"/>
          <w:szCs w:val="32"/>
          <w:lang w:val="en-US" w:eastAsia="zh-CN"/>
        </w:rPr>
        <w:t>11.2数据校验。</w:t>
      </w:r>
      <w:r>
        <w:rPr>
          <w:rFonts w:hint="eastAsia" w:ascii="Times New Roman" w:hAnsi="Times New Roman" w:eastAsia="仿宋_GB2312"/>
          <w:sz w:val="32"/>
          <w:szCs w:val="32"/>
          <w:lang w:val="en-US" w:eastAsia="zh-CN"/>
        </w:rPr>
        <w:t>通过统一报送平台进行绿色贷款明细补录，相关贷款台账基础信息由源系统标识自动采集，同时明确专人完成绿色贷款明细台账“贷款具体用途”“计入绿色贷款相关依据”的补录工作，严格按照监管要求按月逐笔审核央行绿色贷款，根据源系统标识-明细补录-业务认定-数据治理-报表生成报送数据的多流程校验审核机制，尽可能实现数据有源可查，有据可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11.3数据保护。</w:t>
      </w:r>
      <w:r>
        <w:rPr>
          <w:rFonts w:hint="eastAsia" w:ascii="Times New Roman" w:hAnsi="Times New Roman" w:eastAsia="仿宋_GB2312"/>
          <w:sz w:val="32"/>
          <w:szCs w:val="32"/>
          <w:lang w:val="en-US" w:eastAsia="zh-CN"/>
        </w:rPr>
        <w:t>为提高我社数据管理水平，规范数据管理活动，发挥数据资产价值，我社制定了《江口县农村信用合作联社数据治理管理办法》（江农信办发〔2024〕73号），同时严格按照《江口县农村信用合作联社数据安全管理规程》进行操作。根据《江口县农村信用合作联社数据治理及统计工作考核办法》（江农信办发〔2024〕70号），构建数据治理及统计的考核评价体系，评价结果纳入高质量考核体系，持续推动统计数据质量提升。</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C0422"/>
    <w:rsid w:val="00047B4F"/>
    <w:rsid w:val="000C4C99"/>
    <w:rsid w:val="00345721"/>
    <w:rsid w:val="00392F45"/>
    <w:rsid w:val="00523D6E"/>
    <w:rsid w:val="005A2AB1"/>
    <w:rsid w:val="007478DE"/>
    <w:rsid w:val="00780127"/>
    <w:rsid w:val="007F1E49"/>
    <w:rsid w:val="009202B9"/>
    <w:rsid w:val="009478F0"/>
    <w:rsid w:val="0097741B"/>
    <w:rsid w:val="00B01390"/>
    <w:rsid w:val="00BB0B0F"/>
    <w:rsid w:val="00C20E2F"/>
    <w:rsid w:val="00E55C7E"/>
    <w:rsid w:val="00F40080"/>
    <w:rsid w:val="00F80346"/>
    <w:rsid w:val="00FA199F"/>
    <w:rsid w:val="010D4D8C"/>
    <w:rsid w:val="01144167"/>
    <w:rsid w:val="013B341C"/>
    <w:rsid w:val="015925CB"/>
    <w:rsid w:val="015B4711"/>
    <w:rsid w:val="016D5CB5"/>
    <w:rsid w:val="0173614A"/>
    <w:rsid w:val="01873697"/>
    <w:rsid w:val="01934068"/>
    <w:rsid w:val="01A9566D"/>
    <w:rsid w:val="01BB4694"/>
    <w:rsid w:val="01C10095"/>
    <w:rsid w:val="01C86C21"/>
    <w:rsid w:val="01DB1219"/>
    <w:rsid w:val="01DC6259"/>
    <w:rsid w:val="01DF1D0B"/>
    <w:rsid w:val="01E43A82"/>
    <w:rsid w:val="01EB5351"/>
    <w:rsid w:val="01F23926"/>
    <w:rsid w:val="01F90AFA"/>
    <w:rsid w:val="01F9724A"/>
    <w:rsid w:val="01FD60EF"/>
    <w:rsid w:val="02251D51"/>
    <w:rsid w:val="02262060"/>
    <w:rsid w:val="022E3295"/>
    <w:rsid w:val="02430742"/>
    <w:rsid w:val="02660EBD"/>
    <w:rsid w:val="02751DE2"/>
    <w:rsid w:val="02775271"/>
    <w:rsid w:val="02875E2C"/>
    <w:rsid w:val="028B70A1"/>
    <w:rsid w:val="02953BFA"/>
    <w:rsid w:val="02A20B47"/>
    <w:rsid w:val="02C1041C"/>
    <w:rsid w:val="02CA4531"/>
    <w:rsid w:val="02E20334"/>
    <w:rsid w:val="02F7521B"/>
    <w:rsid w:val="02FE2D0B"/>
    <w:rsid w:val="0308378A"/>
    <w:rsid w:val="0311635B"/>
    <w:rsid w:val="03145CCB"/>
    <w:rsid w:val="03163DB4"/>
    <w:rsid w:val="031F706B"/>
    <w:rsid w:val="032100C6"/>
    <w:rsid w:val="03274692"/>
    <w:rsid w:val="032C4548"/>
    <w:rsid w:val="033C6813"/>
    <w:rsid w:val="0353055A"/>
    <w:rsid w:val="03570333"/>
    <w:rsid w:val="036463D0"/>
    <w:rsid w:val="03661B6E"/>
    <w:rsid w:val="03663768"/>
    <w:rsid w:val="03794633"/>
    <w:rsid w:val="038C42F6"/>
    <w:rsid w:val="039578F0"/>
    <w:rsid w:val="039C4B81"/>
    <w:rsid w:val="039D74A4"/>
    <w:rsid w:val="03A260DD"/>
    <w:rsid w:val="03A57EA5"/>
    <w:rsid w:val="03A65560"/>
    <w:rsid w:val="03B01DC1"/>
    <w:rsid w:val="03B47A93"/>
    <w:rsid w:val="03CA5BD0"/>
    <w:rsid w:val="03D201AD"/>
    <w:rsid w:val="03D411B3"/>
    <w:rsid w:val="03D54A1A"/>
    <w:rsid w:val="03D96A3C"/>
    <w:rsid w:val="03DF269D"/>
    <w:rsid w:val="03E46907"/>
    <w:rsid w:val="03E65ADA"/>
    <w:rsid w:val="03E76323"/>
    <w:rsid w:val="03F54127"/>
    <w:rsid w:val="03F62893"/>
    <w:rsid w:val="041000F2"/>
    <w:rsid w:val="04215714"/>
    <w:rsid w:val="04424EBF"/>
    <w:rsid w:val="044F6D62"/>
    <w:rsid w:val="0451780C"/>
    <w:rsid w:val="04602D6B"/>
    <w:rsid w:val="04685AA4"/>
    <w:rsid w:val="047805F1"/>
    <w:rsid w:val="047B7B76"/>
    <w:rsid w:val="048B493B"/>
    <w:rsid w:val="049545E5"/>
    <w:rsid w:val="04AA2E1A"/>
    <w:rsid w:val="04AD5A3E"/>
    <w:rsid w:val="04B57C2A"/>
    <w:rsid w:val="04B92B46"/>
    <w:rsid w:val="04C34DAE"/>
    <w:rsid w:val="04CB575C"/>
    <w:rsid w:val="04D43AE6"/>
    <w:rsid w:val="04E16DB2"/>
    <w:rsid w:val="04E40109"/>
    <w:rsid w:val="04E9492B"/>
    <w:rsid w:val="04FB1CCD"/>
    <w:rsid w:val="050439AE"/>
    <w:rsid w:val="05062E5E"/>
    <w:rsid w:val="050831F1"/>
    <w:rsid w:val="050A3401"/>
    <w:rsid w:val="05122EBF"/>
    <w:rsid w:val="0534609D"/>
    <w:rsid w:val="0538641A"/>
    <w:rsid w:val="05451290"/>
    <w:rsid w:val="05471390"/>
    <w:rsid w:val="0548667E"/>
    <w:rsid w:val="05495BDE"/>
    <w:rsid w:val="05534F29"/>
    <w:rsid w:val="057B1909"/>
    <w:rsid w:val="05A30B16"/>
    <w:rsid w:val="05A7253F"/>
    <w:rsid w:val="05B01798"/>
    <w:rsid w:val="05B22101"/>
    <w:rsid w:val="05DA71FD"/>
    <w:rsid w:val="05EC23B8"/>
    <w:rsid w:val="05F50B34"/>
    <w:rsid w:val="05FE2BB7"/>
    <w:rsid w:val="060020E1"/>
    <w:rsid w:val="062C2103"/>
    <w:rsid w:val="06326B77"/>
    <w:rsid w:val="064870B6"/>
    <w:rsid w:val="065F2EA1"/>
    <w:rsid w:val="06694612"/>
    <w:rsid w:val="06826DE4"/>
    <w:rsid w:val="068372A5"/>
    <w:rsid w:val="068A2E9E"/>
    <w:rsid w:val="068D5B78"/>
    <w:rsid w:val="06915D18"/>
    <w:rsid w:val="069863ED"/>
    <w:rsid w:val="069D627E"/>
    <w:rsid w:val="06AF7027"/>
    <w:rsid w:val="06B517FF"/>
    <w:rsid w:val="06BA4A79"/>
    <w:rsid w:val="06BB6AE6"/>
    <w:rsid w:val="06D75AE2"/>
    <w:rsid w:val="06EA6AFC"/>
    <w:rsid w:val="070208F3"/>
    <w:rsid w:val="0708141F"/>
    <w:rsid w:val="07281B6A"/>
    <w:rsid w:val="072D1BCE"/>
    <w:rsid w:val="07364449"/>
    <w:rsid w:val="0751652B"/>
    <w:rsid w:val="075932A7"/>
    <w:rsid w:val="075F176F"/>
    <w:rsid w:val="0771498A"/>
    <w:rsid w:val="07736010"/>
    <w:rsid w:val="077D1A69"/>
    <w:rsid w:val="0783151C"/>
    <w:rsid w:val="078F5452"/>
    <w:rsid w:val="079F355A"/>
    <w:rsid w:val="07A40CFE"/>
    <w:rsid w:val="07AA1A5B"/>
    <w:rsid w:val="07E46877"/>
    <w:rsid w:val="07E6114B"/>
    <w:rsid w:val="07F414F0"/>
    <w:rsid w:val="08146A93"/>
    <w:rsid w:val="08347727"/>
    <w:rsid w:val="08380901"/>
    <w:rsid w:val="08404B5B"/>
    <w:rsid w:val="08452DA5"/>
    <w:rsid w:val="084A00FF"/>
    <w:rsid w:val="084A620C"/>
    <w:rsid w:val="085D5B76"/>
    <w:rsid w:val="085D60A0"/>
    <w:rsid w:val="0862155F"/>
    <w:rsid w:val="088B44C7"/>
    <w:rsid w:val="088B7CD3"/>
    <w:rsid w:val="089167E7"/>
    <w:rsid w:val="089B2557"/>
    <w:rsid w:val="08A62E6F"/>
    <w:rsid w:val="08A90B58"/>
    <w:rsid w:val="08AC149D"/>
    <w:rsid w:val="08BC5A79"/>
    <w:rsid w:val="08C03CF3"/>
    <w:rsid w:val="08C1790C"/>
    <w:rsid w:val="08C27269"/>
    <w:rsid w:val="08C65B32"/>
    <w:rsid w:val="08CE193B"/>
    <w:rsid w:val="08D60B84"/>
    <w:rsid w:val="08F74C8E"/>
    <w:rsid w:val="09012B69"/>
    <w:rsid w:val="09140617"/>
    <w:rsid w:val="092B39EC"/>
    <w:rsid w:val="093E058E"/>
    <w:rsid w:val="0961668D"/>
    <w:rsid w:val="0962625D"/>
    <w:rsid w:val="097A52E3"/>
    <w:rsid w:val="09825CB5"/>
    <w:rsid w:val="098843A2"/>
    <w:rsid w:val="099C760F"/>
    <w:rsid w:val="09BA5FF1"/>
    <w:rsid w:val="09D14944"/>
    <w:rsid w:val="09D23EE0"/>
    <w:rsid w:val="09D37EF1"/>
    <w:rsid w:val="09DC43D3"/>
    <w:rsid w:val="09E322FC"/>
    <w:rsid w:val="09E44720"/>
    <w:rsid w:val="09F14CEF"/>
    <w:rsid w:val="09F60FA1"/>
    <w:rsid w:val="09FD4E9E"/>
    <w:rsid w:val="09FE6388"/>
    <w:rsid w:val="0A0B2FB6"/>
    <w:rsid w:val="0A125B00"/>
    <w:rsid w:val="0A127FBD"/>
    <w:rsid w:val="0A14069D"/>
    <w:rsid w:val="0A163E08"/>
    <w:rsid w:val="0A1922BA"/>
    <w:rsid w:val="0A262DEF"/>
    <w:rsid w:val="0A321ED5"/>
    <w:rsid w:val="0A3516A6"/>
    <w:rsid w:val="0A3E5189"/>
    <w:rsid w:val="0A4938EA"/>
    <w:rsid w:val="0A5C49AC"/>
    <w:rsid w:val="0A6543E3"/>
    <w:rsid w:val="0A6772CD"/>
    <w:rsid w:val="0A6800CC"/>
    <w:rsid w:val="0A8732A8"/>
    <w:rsid w:val="0A91029C"/>
    <w:rsid w:val="0AAB4571"/>
    <w:rsid w:val="0AC5096E"/>
    <w:rsid w:val="0AC5537A"/>
    <w:rsid w:val="0ADF733C"/>
    <w:rsid w:val="0AE4533A"/>
    <w:rsid w:val="0AE74A82"/>
    <w:rsid w:val="0AE974F4"/>
    <w:rsid w:val="0B0445F6"/>
    <w:rsid w:val="0B0E5DE3"/>
    <w:rsid w:val="0B101F7E"/>
    <w:rsid w:val="0B155FFE"/>
    <w:rsid w:val="0B157627"/>
    <w:rsid w:val="0B1D64A0"/>
    <w:rsid w:val="0B3173BC"/>
    <w:rsid w:val="0B3B50C2"/>
    <w:rsid w:val="0B4F6AE5"/>
    <w:rsid w:val="0B60300B"/>
    <w:rsid w:val="0B6E2A46"/>
    <w:rsid w:val="0B700137"/>
    <w:rsid w:val="0B790A7A"/>
    <w:rsid w:val="0B7B6D26"/>
    <w:rsid w:val="0B8311BE"/>
    <w:rsid w:val="0B835E23"/>
    <w:rsid w:val="0B904832"/>
    <w:rsid w:val="0B927DFD"/>
    <w:rsid w:val="0B9D4071"/>
    <w:rsid w:val="0BAB7572"/>
    <w:rsid w:val="0BD16306"/>
    <w:rsid w:val="0BD23A2A"/>
    <w:rsid w:val="0BE22435"/>
    <w:rsid w:val="0BEB37EE"/>
    <w:rsid w:val="0BF872B0"/>
    <w:rsid w:val="0BFE65DD"/>
    <w:rsid w:val="0C032981"/>
    <w:rsid w:val="0C0827DB"/>
    <w:rsid w:val="0C1E231B"/>
    <w:rsid w:val="0C251569"/>
    <w:rsid w:val="0C252505"/>
    <w:rsid w:val="0C2A5CC8"/>
    <w:rsid w:val="0C2B1636"/>
    <w:rsid w:val="0C2E7799"/>
    <w:rsid w:val="0C2F6327"/>
    <w:rsid w:val="0C527394"/>
    <w:rsid w:val="0C5B5D16"/>
    <w:rsid w:val="0C622645"/>
    <w:rsid w:val="0C682A01"/>
    <w:rsid w:val="0C7E198A"/>
    <w:rsid w:val="0C8620F2"/>
    <w:rsid w:val="0C8675FF"/>
    <w:rsid w:val="0C8E7702"/>
    <w:rsid w:val="0C926A78"/>
    <w:rsid w:val="0C927F9C"/>
    <w:rsid w:val="0C966AE6"/>
    <w:rsid w:val="0C9A1F96"/>
    <w:rsid w:val="0CAE1360"/>
    <w:rsid w:val="0CDA48BC"/>
    <w:rsid w:val="0CE41FB7"/>
    <w:rsid w:val="0CF141A6"/>
    <w:rsid w:val="0CF319D1"/>
    <w:rsid w:val="0D00773C"/>
    <w:rsid w:val="0D641E23"/>
    <w:rsid w:val="0D6A5594"/>
    <w:rsid w:val="0D7D4B0D"/>
    <w:rsid w:val="0D7E19DF"/>
    <w:rsid w:val="0D8B5744"/>
    <w:rsid w:val="0D8C6337"/>
    <w:rsid w:val="0D8D4E53"/>
    <w:rsid w:val="0D927D60"/>
    <w:rsid w:val="0D960C95"/>
    <w:rsid w:val="0DA256ED"/>
    <w:rsid w:val="0DA46A34"/>
    <w:rsid w:val="0DDA156B"/>
    <w:rsid w:val="0DED6171"/>
    <w:rsid w:val="0E0B788D"/>
    <w:rsid w:val="0E183163"/>
    <w:rsid w:val="0E1B4D7F"/>
    <w:rsid w:val="0E234B91"/>
    <w:rsid w:val="0E2905AB"/>
    <w:rsid w:val="0E2E636B"/>
    <w:rsid w:val="0E2F2D14"/>
    <w:rsid w:val="0E3A6E45"/>
    <w:rsid w:val="0E4B4412"/>
    <w:rsid w:val="0E567C02"/>
    <w:rsid w:val="0E6B2CAF"/>
    <w:rsid w:val="0E8F07C5"/>
    <w:rsid w:val="0E993E04"/>
    <w:rsid w:val="0E9A2E0B"/>
    <w:rsid w:val="0EA13073"/>
    <w:rsid w:val="0EAA0C18"/>
    <w:rsid w:val="0EB9005F"/>
    <w:rsid w:val="0ECD61E4"/>
    <w:rsid w:val="0ED31019"/>
    <w:rsid w:val="0ED8666E"/>
    <w:rsid w:val="0EF752F7"/>
    <w:rsid w:val="0EF963C5"/>
    <w:rsid w:val="0F0336D1"/>
    <w:rsid w:val="0F181082"/>
    <w:rsid w:val="0F2A6338"/>
    <w:rsid w:val="0F2E41E8"/>
    <w:rsid w:val="0F3C59A7"/>
    <w:rsid w:val="0F535EFF"/>
    <w:rsid w:val="0F6D419C"/>
    <w:rsid w:val="0F722E39"/>
    <w:rsid w:val="0F9C1D06"/>
    <w:rsid w:val="0FA650D9"/>
    <w:rsid w:val="0FA740B3"/>
    <w:rsid w:val="0FA90B43"/>
    <w:rsid w:val="0FAD5049"/>
    <w:rsid w:val="0FBF0E91"/>
    <w:rsid w:val="0FCD72F4"/>
    <w:rsid w:val="0FD529B7"/>
    <w:rsid w:val="0FE251D4"/>
    <w:rsid w:val="0FE4385B"/>
    <w:rsid w:val="0FF7769E"/>
    <w:rsid w:val="0FF93820"/>
    <w:rsid w:val="0FFE5EF0"/>
    <w:rsid w:val="10020850"/>
    <w:rsid w:val="1008433E"/>
    <w:rsid w:val="101F6136"/>
    <w:rsid w:val="10316FBF"/>
    <w:rsid w:val="10461228"/>
    <w:rsid w:val="10467BF6"/>
    <w:rsid w:val="10497557"/>
    <w:rsid w:val="10542C94"/>
    <w:rsid w:val="105C36BA"/>
    <w:rsid w:val="106E335A"/>
    <w:rsid w:val="107D7F80"/>
    <w:rsid w:val="107F5AAE"/>
    <w:rsid w:val="108C332D"/>
    <w:rsid w:val="10920EAE"/>
    <w:rsid w:val="109346EC"/>
    <w:rsid w:val="10952116"/>
    <w:rsid w:val="109F2E2F"/>
    <w:rsid w:val="10BC5016"/>
    <w:rsid w:val="10BD4369"/>
    <w:rsid w:val="10C80971"/>
    <w:rsid w:val="10D00805"/>
    <w:rsid w:val="10D40902"/>
    <w:rsid w:val="10E3036E"/>
    <w:rsid w:val="10E60AEF"/>
    <w:rsid w:val="1116362A"/>
    <w:rsid w:val="11315F88"/>
    <w:rsid w:val="11381C05"/>
    <w:rsid w:val="11382394"/>
    <w:rsid w:val="113B4AE2"/>
    <w:rsid w:val="113C07CE"/>
    <w:rsid w:val="113D4AFD"/>
    <w:rsid w:val="11412D42"/>
    <w:rsid w:val="114D01E9"/>
    <w:rsid w:val="115F7113"/>
    <w:rsid w:val="11617A59"/>
    <w:rsid w:val="116C5E00"/>
    <w:rsid w:val="11750C6A"/>
    <w:rsid w:val="117A29C0"/>
    <w:rsid w:val="1191314E"/>
    <w:rsid w:val="11937A14"/>
    <w:rsid w:val="119662CA"/>
    <w:rsid w:val="11AC34A6"/>
    <w:rsid w:val="11AF626D"/>
    <w:rsid w:val="11B739B9"/>
    <w:rsid w:val="11B94260"/>
    <w:rsid w:val="11CF03EF"/>
    <w:rsid w:val="11D319C0"/>
    <w:rsid w:val="11D74A7C"/>
    <w:rsid w:val="11E0561A"/>
    <w:rsid w:val="121425F6"/>
    <w:rsid w:val="121B1136"/>
    <w:rsid w:val="12225491"/>
    <w:rsid w:val="1232593E"/>
    <w:rsid w:val="12561F32"/>
    <w:rsid w:val="125B061F"/>
    <w:rsid w:val="126B2A07"/>
    <w:rsid w:val="126F3E01"/>
    <w:rsid w:val="127506F1"/>
    <w:rsid w:val="12783FE9"/>
    <w:rsid w:val="127B75AC"/>
    <w:rsid w:val="127C0618"/>
    <w:rsid w:val="12883BC6"/>
    <w:rsid w:val="12956A10"/>
    <w:rsid w:val="12A409F4"/>
    <w:rsid w:val="12C6544C"/>
    <w:rsid w:val="12F80D7C"/>
    <w:rsid w:val="130C3A19"/>
    <w:rsid w:val="13127E42"/>
    <w:rsid w:val="1319602E"/>
    <w:rsid w:val="13232076"/>
    <w:rsid w:val="13307778"/>
    <w:rsid w:val="1336733A"/>
    <w:rsid w:val="133A1F9C"/>
    <w:rsid w:val="13445609"/>
    <w:rsid w:val="134C5BF6"/>
    <w:rsid w:val="13524BC7"/>
    <w:rsid w:val="13564850"/>
    <w:rsid w:val="135B34DC"/>
    <w:rsid w:val="13666418"/>
    <w:rsid w:val="136A54B7"/>
    <w:rsid w:val="136A5667"/>
    <w:rsid w:val="13715C8D"/>
    <w:rsid w:val="13872413"/>
    <w:rsid w:val="138C093F"/>
    <w:rsid w:val="1396126E"/>
    <w:rsid w:val="13A6679F"/>
    <w:rsid w:val="13AF7344"/>
    <w:rsid w:val="13B06FCA"/>
    <w:rsid w:val="13BA69F0"/>
    <w:rsid w:val="13BF2150"/>
    <w:rsid w:val="13DB5B47"/>
    <w:rsid w:val="13EB1444"/>
    <w:rsid w:val="13F32D49"/>
    <w:rsid w:val="14042291"/>
    <w:rsid w:val="14285B0B"/>
    <w:rsid w:val="143606BA"/>
    <w:rsid w:val="14456376"/>
    <w:rsid w:val="144E154A"/>
    <w:rsid w:val="146810D3"/>
    <w:rsid w:val="1497432C"/>
    <w:rsid w:val="149D087A"/>
    <w:rsid w:val="149F5969"/>
    <w:rsid w:val="14A71BDD"/>
    <w:rsid w:val="14B35343"/>
    <w:rsid w:val="14B97F65"/>
    <w:rsid w:val="14CD031D"/>
    <w:rsid w:val="14DD748D"/>
    <w:rsid w:val="14E16372"/>
    <w:rsid w:val="150D0BF0"/>
    <w:rsid w:val="151B5FA6"/>
    <w:rsid w:val="151F5D6D"/>
    <w:rsid w:val="15206F03"/>
    <w:rsid w:val="15315ECC"/>
    <w:rsid w:val="154914EE"/>
    <w:rsid w:val="15726B79"/>
    <w:rsid w:val="158D7E64"/>
    <w:rsid w:val="15946221"/>
    <w:rsid w:val="15963293"/>
    <w:rsid w:val="15996A53"/>
    <w:rsid w:val="15A90383"/>
    <w:rsid w:val="15AF3080"/>
    <w:rsid w:val="15AF3985"/>
    <w:rsid w:val="15B33839"/>
    <w:rsid w:val="15BD54D6"/>
    <w:rsid w:val="15CA0F97"/>
    <w:rsid w:val="15DB0171"/>
    <w:rsid w:val="15FF721C"/>
    <w:rsid w:val="160539E8"/>
    <w:rsid w:val="160A1288"/>
    <w:rsid w:val="16151195"/>
    <w:rsid w:val="16250884"/>
    <w:rsid w:val="162656B2"/>
    <w:rsid w:val="16317DB9"/>
    <w:rsid w:val="163373AA"/>
    <w:rsid w:val="163F08DF"/>
    <w:rsid w:val="16422D68"/>
    <w:rsid w:val="16457B09"/>
    <w:rsid w:val="164F2FFD"/>
    <w:rsid w:val="1658171F"/>
    <w:rsid w:val="1667677E"/>
    <w:rsid w:val="16881BEB"/>
    <w:rsid w:val="168E1ADE"/>
    <w:rsid w:val="169517E0"/>
    <w:rsid w:val="16966736"/>
    <w:rsid w:val="169E0F06"/>
    <w:rsid w:val="16A668FB"/>
    <w:rsid w:val="16AA440F"/>
    <w:rsid w:val="16B152E9"/>
    <w:rsid w:val="16B71620"/>
    <w:rsid w:val="16BC5BCC"/>
    <w:rsid w:val="16C20708"/>
    <w:rsid w:val="16EA7319"/>
    <w:rsid w:val="16F12AA8"/>
    <w:rsid w:val="16F23CE8"/>
    <w:rsid w:val="16F93014"/>
    <w:rsid w:val="16FD2109"/>
    <w:rsid w:val="16FF6BDC"/>
    <w:rsid w:val="1702128C"/>
    <w:rsid w:val="170920AF"/>
    <w:rsid w:val="170C1819"/>
    <w:rsid w:val="170C3519"/>
    <w:rsid w:val="171011A1"/>
    <w:rsid w:val="1715511F"/>
    <w:rsid w:val="1729356F"/>
    <w:rsid w:val="17301D81"/>
    <w:rsid w:val="173D5FDF"/>
    <w:rsid w:val="17456B8F"/>
    <w:rsid w:val="17537D54"/>
    <w:rsid w:val="17580C68"/>
    <w:rsid w:val="17590E7E"/>
    <w:rsid w:val="176271CE"/>
    <w:rsid w:val="176A23B6"/>
    <w:rsid w:val="176E1BB6"/>
    <w:rsid w:val="176E2C60"/>
    <w:rsid w:val="1776604C"/>
    <w:rsid w:val="177B584D"/>
    <w:rsid w:val="178019D6"/>
    <w:rsid w:val="178062AA"/>
    <w:rsid w:val="17852D07"/>
    <w:rsid w:val="179D3697"/>
    <w:rsid w:val="179E7C0D"/>
    <w:rsid w:val="17AD1BD1"/>
    <w:rsid w:val="17C95935"/>
    <w:rsid w:val="17CB599E"/>
    <w:rsid w:val="17D1406E"/>
    <w:rsid w:val="17E56D17"/>
    <w:rsid w:val="17EB2502"/>
    <w:rsid w:val="17F105FC"/>
    <w:rsid w:val="180055BA"/>
    <w:rsid w:val="18157EB5"/>
    <w:rsid w:val="18302CD8"/>
    <w:rsid w:val="184031D8"/>
    <w:rsid w:val="18492C5C"/>
    <w:rsid w:val="1853450D"/>
    <w:rsid w:val="18537112"/>
    <w:rsid w:val="185D54A9"/>
    <w:rsid w:val="186265A4"/>
    <w:rsid w:val="1865012D"/>
    <w:rsid w:val="186816D4"/>
    <w:rsid w:val="188D5607"/>
    <w:rsid w:val="189A3FFD"/>
    <w:rsid w:val="18AA70E0"/>
    <w:rsid w:val="18C11B1C"/>
    <w:rsid w:val="18CB789E"/>
    <w:rsid w:val="18CC16C9"/>
    <w:rsid w:val="18D20938"/>
    <w:rsid w:val="18D80C3E"/>
    <w:rsid w:val="18DD3FAE"/>
    <w:rsid w:val="18E13E81"/>
    <w:rsid w:val="18E53FC3"/>
    <w:rsid w:val="18E634D8"/>
    <w:rsid w:val="18F61B61"/>
    <w:rsid w:val="19072FDB"/>
    <w:rsid w:val="19094682"/>
    <w:rsid w:val="192224EF"/>
    <w:rsid w:val="193D3E46"/>
    <w:rsid w:val="194559A1"/>
    <w:rsid w:val="19475C0A"/>
    <w:rsid w:val="195174AE"/>
    <w:rsid w:val="19570E74"/>
    <w:rsid w:val="197C0C26"/>
    <w:rsid w:val="19835EA0"/>
    <w:rsid w:val="19872183"/>
    <w:rsid w:val="1989662F"/>
    <w:rsid w:val="199D53C3"/>
    <w:rsid w:val="19A446BA"/>
    <w:rsid w:val="19B332E5"/>
    <w:rsid w:val="19C03AA6"/>
    <w:rsid w:val="19CD6987"/>
    <w:rsid w:val="19D65BBE"/>
    <w:rsid w:val="19DA116A"/>
    <w:rsid w:val="19E0153C"/>
    <w:rsid w:val="19E850A2"/>
    <w:rsid w:val="19EE5412"/>
    <w:rsid w:val="19F47D85"/>
    <w:rsid w:val="1A037D47"/>
    <w:rsid w:val="1A2A6B46"/>
    <w:rsid w:val="1A397C42"/>
    <w:rsid w:val="1A3C2D35"/>
    <w:rsid w:val="1A3D33C4"/>
    <w:rsid w:val="1A4E2C1E"/>
    <w:rsid w:val="1A5042C5"/>
    <w:rsid w:val="1A6273AD"/>
    <w:rsid w:val="1A721DCC"/>
    <w:rsid w:val="1A733053"/>
    <w:rsid w:val="1A781BEC"/>
    <w:rsid w:val="1AA038F0"/>
    <w:rsid w:val="1AA41FB6"/>
    <w:rsid w:val="1AA70534"/>
    <w:rsid w:val="1AA81BC3"/>
    <w:rsid w:val="1AB42275"/>
    <w:rsid w:val="1AB76259"/>
    <w:rsid w:val="1ABE6A69"/>
    <w:rsid w:val="1AC573D0"/>
    <w:rsid w:val="1AD77015"/>
    <w:rsid w:val="1ADC3F50"/>
    <w:rsid w:val="1ADE104D"/>
    <w:rsid w:val="1AE273A2"/>
    <w:rsid w:val="1AF628B8"/>
    <w:rsid w:val="1AFE629C"/>
    <w:rsid w:val="1B0210C2"/>
    <w:rsid w:val="1B064573"/>
    <w:rsid w:val="1B0864E6"/>
    <w:rsid w:val="1B27424F"/>
    <w:rsid w:val="1B2A3FC2"/>
    <w:rsid w:val="1B3C2B93"/>
    <w:rsid w:val="1B4B4E6A"/>
    <w:rsid w:val="1B5819FE"/>
    <w:rsid w:val="1B755F8F"/>
    <w:rsid w:val="1B7B7983"/>
    <w:rsid w:val="1B891711"/>
    <w:rsid w:val="1B8A2CC4"/>
    <w:rsid w:val="1B94625D"/>
    <w:rsid w:val="1B9E1568"/>
    <w:rsid w:val="1BCA519E"/>
    <w:rsid w:val="1BCE0EED"/>
    <w:rsid w:val="1BD36BA8"/>
    <w:rsid w:val="1BD42B79"/>
    <w:rsid w:val="1BDA5D12"/>
    <w:rsid w:val="1BE32F61"/>
    <w:rsid w:val="1BEE0A66"/>
    <w:rsid w:val="1C012714"/>
    <w:rsid w:val="1C0718F3"/>
    <w:rsid w:val="1C215C75"/>
    <w:rsid w:val="1C2E050B"/>
    <w:rsid w:val="1C380CB7"/>
    <w:rsid w:val="1C3D75C5"/>
    <w:rsid w:val="1C4838DD"/>
    <w:rsid w:val="1C535A2A"/>
    <w:rsid w:val="1C684223"/>
    <w:rsid w:val="1C7B508E"/>
    <w:rsid w:val="1C89374E"/>
    <w:rsid w:val="1C8946EB"/>
    <w:rsid w:val="1C8A67DE"/>
    <w:rsid w:val="1C947CB8"/>
    <w:rsid w:val="1C971F1D"/>
    <w:rsid w:val="1C984EF7"/>
    <w:rsid w:val="1CA064A9"/>
    <w:rsid w:val="1CAC221B"/>
    <w:rsid w:val="1CAC6CD9"/>
    <w:rsid w:val="1CB273A5"/>
    <w:rsid w:val="1CBE5341"/>
    <w:rsid w:val="1CCC218B"/>
    <w:rsid w:val="1CDD4867"/>
    <w:rsid w:val="1CF35210"/>
    <w:rsid w:val="1CF5486C"/>
    <w:rsid w:val="1CF72825"/>
    <w:rsid w:val="1D0306C8"/>
    <w:rsid w:val="1D17684B"/>
    <w:rsid w:val="1D1D7DAE"/>
    <w:rsid w:val="1D1F285A"/>
    <w:rsid w:val="1D250D8C"/>
    <w:rsid w:val="1D263500"/>
    <w:rsid w:val="1D275547"/>
    <w:rsid w:val="1D2A66E5"/>
    <w:rsid w:val="1D4370B1"/>
    <w:rsid w:val="1D483B96"/>
    <w:rsid w:val="1D4A30BB"/>
    <w:rsid w:val="1D4D4FF5"/>
    <w:rsid w:val="1D5F1111"/>
    <w:rsid w:val="1D6608DE"/>
    <w:rsid w:val="1D69170A"/>
    <w:rsid w:val="1D6B175E"/>
    <w:rsid w:val="1D7A6AAE"/>
    <w:rsid w:val="1D8752CF"/>
    <w:rsid w:val="1D8B5ADA"/>
    <w:rsid w:val="1D934881"/>
    <w:rsid w:val="1D99634A"/>
    <w:rsid w:val="1DA11BEF"/>
    <w:rsid w:val="1DA31F7F"/>
    <w:rsid w:val="1DA95478"/>
    <w:rsid w:val="1DC3274B"/>
    <w:rsid w:val="1DC427B9"/>
    <w:rsid w:val="1DCD679D"/>
    <w:rsid w:val="1DE11DFD"/>
    <w:rsid w:val="1DEF3711"/>
    <w:rsid w:val="1DF3146A"/>
    <w:rsid w:val="1DF336B6"/>
    <w:rsid w:val="1DF47F1D"/>
    <w:rsid w:val="1DFA50A7"/>
    <w:rsid w:val="1DFC13E9"/>
    <w:rsid w:val="1DFE4082"/>
    <w:rsid w:val="1E1110DE"/>
    <w:rsid w:val="1E1212F3"/>
    <w:rsid w:val="1E14273D"/>
    <w:rsid w:val="1E156886"/>
    <w:rsid w:val="1E1E202C"/>
    <w:rsid w:val="1E224406"/>
    <w:rsid w:val="1E2E41C0"/>
    <w:rsid w:val="1E2F0F02"/>
    <w:rsid w:val="1E300EF5"/>
    <w:rsid w:val="1E383252"/>
    <w:rsid w:val="1E47263C"/>
    <w:rsid w:val="1E4E0739"/>
    <w:rsid w:val="1E4E171E"/>
    <w:rsid w:val="1E6775C8"/>
    <w:rsid w:val="1E753C85"/>
    <w:rsid w:val="1E993AE7"/>
    <w:rsid w:val="1EA402C3"/>
    <w:rsid w:val="1EB105B7"/>
    <w:rsid w:val="1EB346E7"/>
    <w:rsid w:val="1EC240D1"/>
    <w:rsid w:val="1EE9707B"/>
    <w:rsid w:val="1EEA47CF"/>
    <w:rsid w:val="1EF30FCB"/>
    <w:rsid w:val="1EFD371F"/>
    <w:rsid w:val="1F0577FC"/>
    <w:rsid w:val="1F082DC5"/>
    <w:rsid w:val="1F0D50D3"/>
    <w:rsid w:val="1F0E0DB1"/>
    <w:rsid w:val="1F127AFB"/>
    <w:rsid w:val="1F267439"/>
    <w:rsid w:val="1F380468"/>
    <w:rsid w:val="1F3D6237"/>
    <w:rsid w:val="1F4673F6"/>
    <w:rsid w:val="1F6C0389"/>
    <w:rsid w:val="1F7623CB"/>
    <w:rsid w:val="1F872880"/>
    <w:rsid w:val="1F9C6A45"/>
    <w:rsid w:val="1FA72845"/>
    <w:rsid w:val="1FB23370"/>
    <w:rsid w:val="1FB40A80"/>
    <w:rsid w:val="1FBD452A"/>
    <w:rsid w:val="1FF16241"/>
    <w:rsid w:val="20037A04"/>
    <w:rsid w:val="20212C11"/>
    <w:rsid w:val="204115B8"/>
    <w:rsid w:val="20442218"/>
    <w:rsid w:val="204760A8"/>
    <w:rsid w:val="205A5587"/>
    <w:rsid w:val="20640477"/>
    <w:rsid w:val="20644CFD"/>
    <w:rsid w:val="20785A9F"/>
    <w:rsid w:val="20996255"/>
    <w:rsid w:val="209C2667"/>
    <w:rsid w:val="209C5870"/>
    <w:rsid w:val="20A57288"/>
    <w:rsid w:val="20AC2CBF"/>
    <w:rsid w:val="20AF54EE"/>
    <w:rsid w:val="20C00531"/>
    <w:rsid w:val="20C07502"/>
    <w:rsid w:val="20C920EE"/>
    <w:rsid w:val="20EA3466"/>
    <w:rsid w:val="20EB55F6"/>
    <w:rsid w:val="20EC1BFF"/>
    <w:rsid w:val="20FD1C5A"/>
    <w:rsid w:val="210142B4"/>
    <w:rsid w:val="21130C4E"/>
    <w:rsid w:val="211A68C4"/>
    <w:rsid w:val="211B5C9E"/>
    <w:rsid w:val="212458BD"/>
    <w:rsid w:val="212E6DBB"/>
    <w:rsid w:val="2152386F"/>
    <w:rsid w:val="21562045"/>
    <w:rsid w:val="21626111"/>
    <w:rsid w:val="216511EC"/>
    <w:rsid w:val="21837A80"/>
    <w:rsid w:val="218957F3"/>
    <w:rsid w:val="218E7732"/>
    <w:rsid w:val="21981FC1"/>
    <w:rsid w:val="21997456"/>
    <w:rsid w:val="21A42DAC"/>
    <w:rsid w:val="21B608E5"/>
    <w:rsid w:val="21B83C8E"/>
    <w:rsid w:val="21CA5431"/>
    <w:rsid w:val="21DC761D"/>
    <w:rsid w:val="21F31BC0"/>
    <w:rsid w:val="21FE3F4B"/>
    <w:rsid w:val="22034667"/>
    <w:rsid w:val="22073A22"/>
    <w:rsid w:val="22140979"/>
    <w:rsid w:val="2219360E"/>
    <w:rsid w:val="22272DBD"/>
    <w:rsid w:val="22302E3B"/>
    <w:rsid w:val="22313509"/>
    <w:rsid w:val="22430680"/>
    <w:rsid w:val="22486143"/>
    <w:rsid w:val="224C4E45"/>
    <w:rsid w:val="22632EF6"/>
    <w:rsid w:val="226C21AF"/>
    <w:rsid w:val="227113D8"/>
    <w:rsid w:val="22805D7A"/>
    <w:rsid w:val="22884979"/>
    <w:rsid w:val="22894B77"/>
    <w:rsid w:val="228F54E7"/>
    <w:rsid w:val="229730B0"/>
    <w:rsid w:val="229831F9"/>
    <w:rsid w:val="22993629"/>
    <w:rsid w:val="22A04BD9"/>
    <w:rsid w:val="22A159F0"/>
    <w:rsid w:val="22AD563F"/>
    <w:rsid w:val="22BC2425"/>
    <w:rsid w:val="22D62AA1"/>
    <w:rsid w:val="23024217"/>
    <w:rsid w:val="23054B01"/>
    <w:rsid w:val="231B53BD"/>
    <w:rsid w:val="231E048D"/>
    <w:rsid w:val="232C575B"/>
    <w:rsid w:val="235D2362"/>
    <w:rsid w:val="23670B3E"/>
    <w:rsid w:val="236C5781"/>
    <w:rsid w:val="23833FC3"/>
    <w:rsid w:val="238C21E2"/>
    <w:rsid w:val="238E279C"/>
    <w:rsid w:val="23991FAC"/>
    <w:rsid w:val="23BD5FB2"/>
    <w:rsid w:val="23D05D73"/>
    <w:rsid w:val="23F14838"/>
    <w:rsid w:val="23FA57D8"/>
    <w:rsid w:val="23FF1A8B"/>
    <w:rsid w:val="24016188"/>
    <w:rsid w:val="240D0C41"/>
    <w:rsid w:val="241A6186"/>
    <w:rsid w:val="241B26ED"/>
    <w:rsid w:val="241F19B7"/>
    <w:rsid w:val="24285D01"/>
    <w:rsid w:val="242B4C8C"/>
    <w:rsid w:val="2434712A"/>
    <w:rsid w:val="243A3EF5"/>
    <w:rsid w:val="24405BA0"/>
    <w:rsid w:val="244C4D70"/>
    <w:rsid w:val="245028D0"/>
    <w:rsid w:val="24527DEB"/>
    <w:rsid w:val="245B7BAB"/>
    <w:rsid w:val="2462444F"/>
    <w:rsid w:val="24647204"/>
    <w:rsid w:val="2485658E"/>
    <w:rsid w:val="248F7DBF"/>
    <w:rsid w:val="24965D54"/>
    <w:rsid w:val="24A33AED"/>
    <w:rsid w:val="24A5452E"/>
    <w:rsid w:val="24D5180B"/>
    <w:rsid w:val="24D63590"/>
    <w:rsid w:val="24D66FA8"/>
    <w:rsid w:val="24E05728"/>
    <w:rsid w:val="24EA326B"/>
    <w:rsid w:val="24EE7A97"/>
    <w:rsid w:val="24F02B93"/>
    <w:rsid w:val="24F04074"/>
    <w:rsid w:val="24F405ED"/>
    <w:rsid w:val="24FF05C8"/>
    <w:rsid w:val="25224489"/>
    <w:rsid w:val="253F0240"/>
    <w:rsid w:val="256F4C0A"/>
    <w:rsid w:val="257D0720"/>
    <w:rsid w:val="257D4800"/>
    <w:rsid w:val="25880690"/>
    <w:rsid w:val="258914CC"/>
    <w:rsid w:val="258E6F3E"/>
    <w:rsid w:val="2598611A"/>
    <w:rsid w:val="259A0444"/>
    <w:rsid w:val="25A42BE5"/>
    <w:rsid w:val="25AA02A4"/>
    <w:rsid w:val="25B63CE0"/>
    <w:rsid w:val="25B6646B"/>
    <w:rsid w:val="25BA4B28"/>
    <w:rsid w:val="25C741D5"/>
    <w:rsid w:val="25CD752E"/>
    <w:rsid w:val="25DC47A1"/>
    <w:rsid w:val="25E47BC7"/>
    <w:rsid w:val="25E57525"/>
    <w:rsid w:val="25F502F7"/>
    <w:rsid w:val="25FD68EE"/>
    <w:rsid w:val="260B0844"/>
    <w:rsid w:val="26352F07"/>
    <w:rsid w:val="263547E9"/>
    <w:rsid w:val="263A1B2B"/>
    <w:rsid w:val="263C64A6"/>
    <w:rsid w:val="264578CD"/>
    <w:rsid w:val="26534E44"/>
    <w:rsid w:val="26541AF1"/>
    <w:rsid w:val="265E7411"/>
    <w:rsid w:val="26892606"/>
    <w:rsid w:val="26AE0CBD"/>
    <w:rsid w:val="26B85525"/>
    <w:rsid w:val="26C5588A"/>
    <w:rsid w:val="26C65F0E"/>
    <w:rsid w:val="26C87886"/>
    <w:rsid w:val="26CF229D"/>
    <w:rsid w:val="26DE53DE"/>
    <w:rsid w:val="26E9738B"/>
    <w:rsid w:val="26EE4D61"/>
    <w:rsid w:val="26FF5C47"/>
    <w:rsid w:val="270F774B"/>
    <w:rsid w:val="271A5FC2"/>
    <w:rsid w:val="27231B5A"/>
    <w:rsid w:val="272D53A4"/>
    <w:rsid w:val="272E2805"/>
    <w:rsid w:val="275606AE"/>
    <w:rsid w:val="275A68DB"/>
    <w:rsid w:val="27604DF2"/>
    <w:rsid w:val="27613899"/>
    <w:rsid w:val="277167DA"/>
    <w:rsid w:val="27836738"/>
    <w:rsid w:val="27920F02"/>
    <w:rsid w:val="27A0439F"/>
    <w:rsid w:val="27A44EE3"/>
    <w:rsid w:val="27AA6C6E"/>
    <w:rsid w:val="27B200DA"/>
    <w:rsid w:val="27B32700"/>
    <w:rsid w:val="27CB5FEC"/>
    <w:rsid w:val="27E740FD"/>
    <w:rsid w:val="28085F4C"/>
    <w:rsid w:val="28104805"/>
    <w:rsid w:val="281A0399"/>
    <w:rsid w:val="281C0E10"/>
    <w:rsid w:val="281C3956"/>
    <w:rsid w:val="2821490B"/>
    <w:rsid w:val="282E0FC0"/>
    <w:rsid w:val="282E37C2"/>
    <w:rsid w:val="284F025C"/>
    <w:rsid w:val="285631D9"/>
    <w:rsid w:val="285F3DB8"/>
    <w:rsid w:val="28602C8C"/>
    <w:rsid w:val="286301A8"/>
    <w:rsid w:val="2869047E"/>
    <w:rsid w:val="287E7FD5"/>
    <w:rsid w:val="28847A3F"/>
    <w:rsid w:val="288A1D2F"/>
    <w:rsid w:val="28907EDB"/>
    <w:rsid w:val="28924C0B"/>
    <w:rsid w:val="28953ED9"/>
    <w:rsid w:val="289D5238"/>
    <w:rsid w:val="28AB375E"/>
    <w:rsid w:val="28BB40ED"/>
    <w:rsid w:val="28BD5A23"/>
    <w:rsid w:val="28CB0161"/>
    <w:rsid w:val="28D6740B"/>
    <w:rsid w:val="28E107C5"/>
    <w:rsid w:val="28E803BB"/>
    <w:rsid w:val="28EB0CA5"/>
    <w:rsid w:val="28F82E4C"/>
    <w:rsid w:val="28FC20F0"/>
    <w:rsid w:val="290B0624"/>
    <w:rsid w:val="291857A5"/>
    <w:rsid w:val="29191296"/>
    <w:rsid w:val="29244641"/>
    <w:rsid w:val="29474FF8"/>
    <w:rsid w:val="29480C4D"/>
    <w:rsid w:val="29615C87"/>
    <w:rsid w:val="296E3648"/>
    <w:rsid w:val="296F0FB4"/>
    <w:rsid w:val="2975747D"/>
    <w:rsid w:val="297A7F88"/>
    <w:rsid w:val="29816C98"/>
    <w:rsid w:val="29896488"/>
    <w:rsid w:val="2989675B"/>
    <w:rsid w:val="298E1BA0"/>
    <w:rsid w:val="299D3852"/>
    <w:rsid w:val="299E7320"/>
    <w:rsid w:val="29AA100A"/>
    <w:rsid w:val="29BB17AF"/>
    <w:rsid w:val="29BD2CE4"/>
    <w:rsid w:val="29C53D6B"/>
    <w:rsid w:val="29C93DE5"/>
    <w:rsid w:val="29CB6CCF"/>
    <w:rsid w:val="29D2217A"/>
    <w:rsid w:val="29D86261"/>
    <w:rsid w:val="29DD5019"/>
    <w:rsid w:val="29E523F8"/>
    <w:rsid w:val="29EA6628"/>
    <w:rsid w:val="29EB683F"/>
    <w:rsid w:val="29EB756C"/>
    <w:rsid w:val="29F4089F"/>
    <w:rsid w:val="2A087C8B"/>
    <w:rsid w:val="2A1167C4"/>
    <w:rsid w:val="2A154B16"/>
    <w:rsid w:val="2A2374C3"/>
    <w:rsid w:val="2A253F5E"/>
    <w:rsid w:val="2A2B2B09"/>
    <w:rsid w:val="2A32061C"/>
    <w:rsid w:val="2A347B96"/>
    <w:rsid w:val="2A3D1F8C"/>
    <w:rsid w:val="2A3D5A4A"/>
    <w:rsid w:val="2A4C5BE6"/>
    <w:rsid w:val="2A5965ED"/>
    <w:rsid w:val="2A5A07E7"/>
    <w:rsid w:val="2A600653"/>
    <w:rsid w:val="2A6447AF"/>
    <w:rsid w:val="2A652001"/>
    <w:rsid w:val="2A656B25"/>
    <w:rsid w:val="2A741A7F"/>
    <w:rsid w:val="2A9E193B"/>
    <w:rsid w:val="2A9F5519"/>
    <w:rsid w:val="2AA06EF2"/>
    <w:rsid w:val="2AA51AD1"/>
    <w:rsid w:val="2AAB23BC"/>
    <w:rsid w:val="2AAD20FC"/>
    <w:rsid w:val="2AB5339D"/>
    <w:rsid w:val="2AC0682E"/>
    <w:rsid w:val="2AC33626"/>
    <w:rsid w:val="2AEC5408"/>
    <w:rsid w:val="2AF513DA"/>
    <w:rsid w:val="2AF83813"/>
    <w:rsid w:val="2B065009"/>
    <w:rsid w:val="2B072595"/>
    <w:rsid w:val="2B0D3725"/>
    <w:rsid w:val="2B19624C"/>
    <w:rsid w:val="2B215C90"/>
    <w:rsid w:val="2B322B7D"/>
    <w:rsid w:val="2B3D7498"/>
    <w:rsid w:val="2B464240"/>
    <w:rsid w:val="2B586319"/>
    <w:rsid w:val="2B5B263E"/>
    <w:rsid w:val="2B5B3239"/>
    <w:rsid w:val="2B6B63D4"/>
    <w:rsid w:val="2B863A83"/>
    <w:rsid w:val="2BA13D44"/>
    <w:rsid w:val="2BAA3AF3"/>
    <w:rsid w:val="2BAD1915"/>
    <w:rsid w:val="2BB0455F"/>
    <w:rsid w:val="2BB20D00"/>
    <w:rsid w:val="2BC876FF"/>
    <w:rsid w:val="2BD7785A"/>
    <w:rsid w:val="2BDA76F4"/>
    <w:rsid w:val="2BDF7CCC"/>
    <w:rsid w:val="2BE555F9"/>
    <w:rsid w:val="2BE56108"/>
    <w:rsid w:val="2BE77C30"/>
    <w:rsid w:val="2BEF614E"/>
    <w:rsid w:val="2BF93119"/>
    <w:rsid w:val="2BFA4CFF"/>
    <w:rsid w:val="2BFC5707"/>
    <w:rsid w:val="2BFC61DA"/>
    <w:rsid w:val="2BFF0DE7"/>
    <w:rsid w:val="2C061036"/>
    <w:rsid w:val="2C1C0108"/>
    <w:rsid w:val="2C1F4AE1"/>
    <w:rsid w:val="2C2152B3"/>
    <w:rsid w:val="2C2D70B9"/>
    <w:rsid w:val="2C33025B"/>
    <w:rsid w:val="2C3E5B72"/>
    <w:rsid w:val="2C412F81"/>
    <w:rsid w:val="2C414FAC"/>
    <w:rsid w:val="2C467357"/>
    <w:rsid w:val="2C485B14"/>
    <w:rsid w:val="2C6541AB"/>
    <w:rsid w:val="2C761471"/>
    <w:rsid w:val="2C912066"/>
    <w:rsid w:val="2CA91F68"/>
    <w:rsid w:val="2CB121B0"/>
    <w:rsid w:val="2CC02EED"/>
    <w:rsid w:val="2CDB061D"/>
    <w:rsid w:val="2CDF4F7F"/>
    <w:rsid w:val="2CE040FB"/>
    <w:rsid w:val="2CF1003F"/>
    <w:rsid w:val="2CF808DC"/>
    <w:rsid w:val="2CFF3CFD"/>
    <w:rsid w:val="2D067546"/>
    <w:rsid w:val="2D0B3966"/>
    <w:rsid w:val="2D0E0DAC"/>
    <w:rsid w:val="2D132FD9"/>
    <w:rsid w:val="2D163D9B"/>
    <w:rsid w:val="2D163E78"/>
    <w:rsid w:val="2D1F0462"/>
    <w:rsid w:val="2D254550"/>
    <w:rsid w:val="2D2B2570"/>
    <w:rsid w:val="2D2B27A6"/>
    <w:rsid w:val="2D2B725E"/>
    <w:rsid w:val="2D300CDE"/>
    <w:rsid w:val="2D3C2062"/>
    <w:rsid w:val="2D3F6623"/>
    <w:rsid w:val="2D447E1E"/>
    <w:rsid w:val="2D46005E"/>
    <w:rsid w:val="2D477377"/>
    <w:rsid w:val="2D4C7F6A"/>
    <w:rsid w:val="2D5C3D13"/>
    <w:rsid w:val="2D6C6FE3"/>
    <w:rsid w:val="2D743803"/>
    <w:rsid w:val="2D76268D"/>
    <w:rsid w:val="2D780DD7"/>
    <w:rsid w:val="2D8063D7"/>
    <w:rsid w:val="2D8075B4"/>
    <w:rsid w:val="2D8562FB"/>
    <w:rsid w:val="2DB01078"/>
    <w:rsid w:val="2DB461B2"/>
    <w:rsid w:val="2DBD11A0"/>
    <w:rsid w:val="2DD87A67"/>
    <w:rsid w:val="2DE76C99"/>
    <w:rsid w:val="2DE97B8B"/>
    <w:rsid w:val="2DF634B5"/>
    <w:rsid w:val="2DF73BB2"/>
    <w:rsid w:val="2DFE617D"/>
    <w:rsid w:val="2E0A0E55"/>
    <w:rsid w:val="2E0B3F94"/>
    <w:rsid w:val="2E1B5B7C"/>
    <w:rsid w:val="2E1F12B3"/>
    <w:rsid w:val="2E222F24"/>
    <w:rsid w:val="2E24224E"/>
    <w:rsid w:val="2E2468AC"/>
    <w:rsid w:val="2E27559B"/>
    <w:rsid w:val="2E28155D"/>
    <w:rsid w:val="2E3E12E3"/>
    <w:rsid w:val="2E651496"/>
    <w:rsid w:val="2E82221D"/>
    <w:rsid w:val="2E98248F"/>
    <w:rsid w:val="2E983998"/>
    <w:rsid w:val="2E9B5294"/>
    <w:rsid w:val="2EB00A2F"/>
    <w:rsid w:val="2EB12282"/>
    <w:rsid w:val="2EB37CC6"/>
    <w:rsid w:val="2ECC4AE8"/>
    <w:rsid w:val="2EE02478"/>
    <w:rsid w:val="2EF95BEC"/>
    <w:rsid w:val="2F062BEE"/>
    <w:rsid w:val="2F130FA0"/>
    <w:rsid w:val="2F2C2F1B"/>
    <w:rsid w:val="2F2D52A9"/>
    <w:rsid w:val="2F3B3F4C"/>
    <w:rsid w:val="2F417C39"/>
    <w:rsid w:val="2F475E86"/>
    <w:rsid w:val="2F530437"/>
    <w:rsid w:val="2F5D382F"/>
    <w:rsid w:val="2F63028B"/>
    <w:rsid w:val="2F866065"/>
    <w:rsid w:val="2F9B39EE"/>
    <w:rsid w:val="2FB20DAB"/>
    <w:rsid w:val="2FBA10B4"/>
    <w:rsid w:val="2FBF57DC"/>
    <w:rsid w:val="2FC44D47"/>
    <w:rsid w:val="2FCB35DD"/>
    <w:rsid w:val="2FD270A6"/>
    <w:rsid w:val="301C65FE"/>
    <w:rsid w:val="302A4A47"/>
    <w:rsid w:val="30703BAA"/>
    <w:rsid w:val="30743F15"/>
    <w:rsid w:val="308A4785"/>
    <w:rsid w:val="30992FD1"/>
    <w:rsid w:val="30AA355C"/>
    <w:rsid w:val="30AF7F12"/>
    <w:rsid w:val="30B85426"/>
    <w:rsid w:val="30C10E9E"/>
    <w:rsid w:val="30D33E03"/>
    <w:rsid w:val="30DF72B1"/>
    <w:rsid w:val="30E654BD"/>
    <w:rsid w:val="30FC708B"/>
    <w:rsid w:val="30FF0BAE"/>
    <w:rsid w:val="310F5431"/>
    <w:rsid w:val="3118023A"/>
    <w:rsid w:val="311F76E1"/>
    <w:rsid w:val="311F7F49"/>
    <w:rsid w:val="31245F7A"/>
    <w:rsid w:val="31272B06"/>
    <w:rsid w:val="314E7286"/>
    <w:rsid w:val="31566A9E"/>
    <w:rsid w:val="315B3A42"/>
    <w:rsid w:val="315B675C"/>
    <w:rsid w:val="316001CC"/>
    <w:rsid w:val="31663AF2"/>
    <w:rsid w:val="31845E4E"/>
    <w:rsid w:val="31881FC8"/>
    <w:rsid w:val="318A7F7C"/>
    <w:rsid w:val="31954CCF"/>
    <w:rsid w:val="3195727B"/>
    <w:rsid w:val="31A52F78"/>
    <w:rsid w:val="31AC066F"/>
    <w:rsid w:val="31BD68C8"/>
    <w:rsid w:val="31CD2762"/>
    <w:rsid w:val="31D253CB"/>
    <w:rsid w:val="31D265D3"/>
    <w:rsid w:val="31D270FE"/>
    <w:rsid w:val="31FE4BB1"/>
    <w:rsid w:val="320F7774"/>
    <w:rsid w:val="32181F06"/>
    <w:rsid w:val="321B7352"/>
    <w:rsid w:val="32370528"/>
    <w:rsid w:val="323A25BB"/>
    <w:rsid w:val="324037B7"/>
    <w:rsid w:val="324F50CF"/>
    <w:rsid w:val="32510B78"/>
    <w:rsid w:val="3252781D"/>
    <w:rsid w:val="32536AB4"/>
    <w:rsid w:val="32583917"/>
    <w:rsid w:val="325C2E7A"/>
    <w:rsid w:val="326865C4"/>
    <w:rsid w:val="327D2A75"/>
    <w:rsid w:val="328D05EA"/>
    <w:rsid w:val="3295153F"/>
    <w:rsid w:val="329B5D36"/>
    <w:rsid w:val="32B82563"/>
    <w:rsid w:val="32BC210F"/>
    <w:rsid w:val="32D311B2"/>
    <w:rsid w:val="32D5224E"/>
    <w:rsid w:val="32DA372C"/>
    <w:rsid w:val="32DC6951"/>
    <w:rsid w:val="32DE5F8C"/>
    <w:rsid w:val="32E1094B"/>
    <w:rsid w:val="32E560C7"/>
    <w:rsid w:val="32F32A3B"/>
    <w:rsid w:val="32FC3246"/>
    <w:rsid w:val="330B5872"/>
    <w:rsid w:val="330F77A9"/>
    <w:rsid w:val="33116A6B"/>
    <w:rsid w:val="33144866"/>
    <w:rsid w:val="332A77CD"/>
    <w:rsid w:val="332F1072"/>
    <w:rsid w:val="3340752C"/>
    <w:rsid w:val="334520A9"/>
    <w:rsid w:val="335F3B2C"/>
    <w:rsid w:val="33662E59"/>
    <w:rsid w:val="336836B7"/>
    <w:rsid w:val="336C4C17"/>
    <w:rsid w:val="336D301E"/>
    <w:rsid w:val="336E5746"/>
    <w:rsid w:val="337238CE"/>
    <w:rsid w:val="3380785A"/>
    <w:rsid w:val="3383388F"/>
    <w:rsid w:val="33844E74"/>
    <w:rsid w:val="339A5A70"/>
    <w:rsid w:val="339E5F52"/>
    <w:rsid w:val="33A04D41"/>
    <w:rsid w:val="33A55F81"/>
    <w:rsid w:val="33B84E3B"/>
    <w:rsid w:val="33D778B5"/>
    <w:rsid w:val="33E011D9"/>
    <w:rsid w:val="33EA1C98"/>
    <w:rsid w:val="33EA4C11"/>
    <w:rsid w:val="33EB0D9E"/>
    <w:rsid w:val="33F21955"/>
    <w:rsid w:val="33F94CE4"/>
    <w:rsid w:val="33FA47B8"/>
    <w:rsid w:val="33FD1EC6"/>
    <w:rsid w:val="33FD3389"/>
    <w:rsid w:val="3406324E"/>
    <w:rsid w:val="34187EB5"/>
    <w:rsid w:val="341C252B"/>
    <w:rsid w:val="342A3972"/>
    <w:rsid w:val="344015CD"/>
    <w:rsid w:val="344660D0"/>
    <w:rsid w:val="34483412"/>
    <w:rsid w:val="3450562C"/>
    <w:rsid w:val="34563639"/>
    <w:rsid w:val="34641CC1"/>
    <w:rsid w:val="346D1C66"/>
    <w:rsid w:val="346F74EC"/>
    <w:rsid w:val="34747A42"/>
    <w:rsid w:val="347E008D"/>
    <w:rsid w:val="348971A4"/>
    <w:rsid w:val="348C0260"/>
    <w:rsid w:val="34910DDC"/>
    <w:rsid w:val="349A6CE2"/>
    <w:rsid w:val="34A300BD"/>
    <w:rsid w:val="34B20306"/>
    <w:rsid w:val="34C60E74"/>
    <w:rsid w:val="34CE4967"/>
    <w:rsid w:val="34D045DB"/>
    <w:rsid w:val="34D72E4C"/>
    <w:rsid w:val="34E640B3"/>
    <w:rsid w:val="35012551"/>
    <w:rsid w:val="3503019D"/>
    <w:rsid w:val="35100668"/>
    <w:rsid w:val="35123A56"/>
    <w:rsid w:val="3520573F"/>
    <w:rsid w:val="35296B9F"/>
    <w:rsid w:val="352E6268"/>
    <w:rsid w:val="3532552E"/>
    <w:rsid w:val="353A64A5"/>
    <w:rsid w:val="35496F47"/>
    <w:rsid w:val="35596973"/>
    <w:rsid w:val="357258D8"/>
    <w:rsid w:val="358F3DD5"/>
    <w:rsid w:val="35A65292"/>
    <w:rsid w:val="35B54D95"/>
    <w:rsid w:val="35C64AB2"/>
    <w:rsid w:val="35CD1943"/>
    <w:rsid w:val="35D30811"/>
    <w:rsid w:val="35D4045D"/>
    <w:rsid w:val="35ED78BF"/>
    <w:rsid w:val="35F86D95"/>
    <w:rsid w:val="35FA10BA"/>
    <w:rsid w:val="3608569B"/>
    <w:rsid w:val="360D76A2"/>
    <w:rsid w:val="361B07AD"/>
    <w:rsid w:val="3627687B"/>
    <w:rsid w:val="36454C3C"/>
    <w:rsid w:val="364D7B7E"/>
    <w:rsid w:val="3662731B"/>
    <w:rsid w:val="366A52B0"/>
    <w:rsid w:val="36700FFF"/>
    <w:rsid w:val="368A148B"/>
    <w:rsid w:val="3691292A"/>
    <w:rsid w:val="36981099"/>
    <w:rsid w:val="36991926"/>
    <w:rsid w:val="36A94F78"/>
    <w:rsid w:val="36AB7A74"/>
    <w:rsid w:val="36B8715F"/>
    <w:rsid w:val="36E55D9F"/>
    <w:rsid w:val="36ED74B4"/>
    <w:rsid w:val="36F26C2D"/>
    <w:rsid w:val="36FB7E44"/>
    <w:rsid w:val="370F1648"/>
    <w:rsid w:val="37471FDE"/>
    <w:rsid w:val="374A5B16"/>
    <w:rsid w:val="374F794C"/>
    <w:rsid w:val="37504050"/>
    <w:rsid w:val="375E48A0"/>
    <w:rsid w:val="37682F86"/>
    <w:rsid w:val="37774F3B"/>
    <w:rsid w:val="3786085B"/>
    <w:rsid w:val="3788649B"/>
    <w:rsid w:val="379C54B8"/>
    <w:rsid w:val="37AC7B2A"/>
    <w:rsid w:val="37B51276"/>
    <w:rsid w:val="37C17EC2"/>
    <w:rsid w:val="37C74DC3"/>
    <w:rsid w:val="37C92AB7"/>
    <w:rsid w:val="37D953FD"/>
    <w:rsid w:val="37DD0E80"/>
    <w:rsid w:val="37E02D32"/>
    <w:rsid w:val="37F17D4E"/>
    <w:rsid w:val="37F741D8"/>
    <w:rsid w:val="380611F7"/>
    <w:rsid w:val="38063540"/>
    <w:rsid w:val="380B2AB7"/>
    <w:rsid w:val="38150283"/>
    <w:rsid w:val="38271066"/>
    <w:rsid w:val="38342548"/>
    <w:rsid w:val="38430681"/>
    <w:rsid w:val="384B17BB"/>
    <w:rsid w:val="384D0D11"/>
    <w:rsid w:val="38506114"/>
    <w:rsid w:val="385814D8"/>
    <w:rsid w:val="38591445"/>
    <w:rsid w:val="3859776B"/>
    <w:rsid w:val="38683396"/>
    <w:rsid w:val="38762638"/>
    <w:rsid w:val="387670A4"/>
    <w:rsid w:val="38863B66"/>
    <w:rsid w:val="38886E70"/>
    <w:rsid w:val="388D5419"/>
    <w:rsid w:val="38B2669F"/>
    <w:rsid w:val="38B31C46"/>
    <w:rsid w:val="38BB1AB5"/>
    <w:rsid w:val="38C45933"/>
    <w:rsid w:val="38D24C8C"/>
    <w:rsid w:val="38DB0F62"/>
    <w:rsid w:val="38E7612A"/>
    <w:rsid w:val="38F479A0"/>
    <w:rsid w:val="390766CE"/>
    <w:rsid w:val="39086E49"/>
    <w:rsid w:val="390C2177"/>
    <w:rsid w:val="391A6D7A"/>
    <w:rsid w:val="392A74BF"/>
    <w:rsid w:val="39447F47"/>
    <w:rsid w:val="39450B65"/>
    <w:rsid w:val="39585796"/>
    <w:rsid w:val="396066EA"/>
    <w:rsid w:val="396358F0"/>
    <w:rsid w:val="39720215"/>
    <w:rsid w:val="39917498"/>
    <w:rsid w:val="39955403"/>
    <w:rsid w:val="39975430"/>
    <w:rsid w:val="399821FC"/>
    <w:rsid w:val="39B91271"/>
    <w:rsid w:val="39BC728C"/>
    <w:rsid w:val="39BD1083"/>
    <w:rsid w:val="39F50A7D"/>
    <w:rsid w:val="39FE14D5"/>
    <w:rsid w:val="3A10474E"/>
    <w:rsid w:val="3A125128"/>
    <w:rsid w:val="3A2569DF"/>
    <w:rsid w:val="3A312B04"/>
    <w:rsid w:val="3A3B2C8D"/>
    <w:rsid w:val="3A570404"/>
    <w:rsid w:val="3A5A4A0A"/>
    <w:rsid w:val="3A6D7561"/>
    <w:rsid w:val="3A780DFF"/>
    <w:rsid w:val="3A7A2324"/>
    <w:rsid w:val="3A7D5E52"/>
    <w:rsid w:val="3A8169F8"/>
    <w:rsid w:val="3A835282"/>
    <w:rsid w:val="3A8C6370"/>
    <w:rsid w:val="3A9257E5"/>
    <w:rsid w:val="3A9D057C"/>
    <w:rsid w:val="3AA72DD8"/>
    <w:rsid w:val="3ACF42D1"/>
    <w:rsid w:val="3AEC488E"/>
    <w:rsid w:val="3AF44902"/>
    <w:rsid w:val="3B0B1170"/>
    <w:rsid w:val="3B2134B6"/>
    <w:rsid w:val="3B264233"/>
    <w:rsid w:val="3B30293D"/>
    <w:rsid w:val="3B47166E"/>
    <w:rsid w:val="3B484A70"/>
    <w:rsid w:val="3B49514B"/>
    <w:rsid w:val="3B4E12C0"/>
    <w:rsid w:val="3B4F6352"/>
    <w:rsid w:val="3B6C568B"/>
    <w:rsid w:val="3B8002CA"/>
    <w:rsid w:val="3B8A3209"/>
    <w:rsid w:val="3B9D21B3"/>
    <w:rsid w:val="3BAC1F96"/>
    <w:rsid w:val="3BC44773"/>
    <w:rsid w:val="3BCB4E43"/>
    <w:rsid w:val="3BCF7ED3"/>
    <w:rsid w:val="3BDD3D91"/>
    <w:rsid w:val="3BDD74B7"/>
    <w:rsid w:val="3BE24E93"/>
    <w:rsid w:val="3BF24A83"/>
    <w:rsid w:val="3BF2677B"/>
    <w:rsid w:val="3C0E2519"/>
    <w:rsid w:val="3C193856"/>
    <w:rsid w:val="3C2428C2"/>
    <w:rsid w:val="3C2B772F"/>
    <w:rsid w:val="3C312C48"/>
    <w:rsid w:val="3C31596C"/>
    <w:rsid w:val="3C316D08"/>
    <w:rsid w:val="3C682275"/>
    <w:rsid w:val="3C6C4475"/>
    <w:rsid w:val="3C774010"/>
    <w:rsid w:val="3C8B0784"/>
    <w:rsid w:val="3C905BE4"/>
    <w:rsid w:val="3C924CF3"/>
    <w:rsid w:val="3C99793A"/>
    <w:rsid w:val="3C9B1C2C"/>
    <w:rsid w:val="3CA1177C"/>
    <w:rsid w:val="3CA43C67"/>
    <w:rsid w:val="3CA9518C"/>
    <w:rsid w:val="3CB33B17"/>
    <w:rsid w:val="3CB8639B"/>
    <w:rsid w:val="3CB90D8F"/>
    <w:rsid w:val="3CBE6D55"/>
    <w:rsid w:val="3CCB2204"/>
    <w:rsid w:val="3CDB1B50"/>
    <w:rsid w:val="3CEE79A3"/>
    <w:rsid w:val="3D085264"/>
    <w:rsid w:val="3D136882"/>
    <w:rsid w:val="3D180E16"/>
    <w:rsid w:val="3D18379F"/>
    <w:rsid w:val="3D1C7589"/>
    <w:rsid w:val="3D2D2EC2"/>
    <w:rsid w:val="3D3312AF"/>
    <w:rsid w:val="3D477AF8"/>
    <w:rsid w:val="3D4C093D"/>
    <w:rsid w:val="3D58615F"/>
    <w:rsid w:val="3D643C2B"/>
    <w:rsid w:val="3D713280"/>
    <w:rsid w:val="3D7B1168"/>
    <w:rsid w:val="3D7E68E9"/>
    <w:rsid w:val="3D921A28"/>
    <w:rsid w:val="3D952336"/>
    <w:rsid w:val="3D9640C4"/>
    <w:rsid w:val="3D9943E5"/>
    <w:rsid w:val="3DA20FBB"/>
    <w:rsid w:val="3DAA3429"/>
    <w:rsid w:val="3DAC1DFA"/>
    <w:rsid w:val="3DC27EE2"/>
    <w:rsid w:val="3DD44A98"/>
    <w:rsid w:val="3E022E97"/>
    <w:rsid w:val="3E0A056C"/>
    <w:rsid w:val="3E13597C"/>
    <w:rsid w:val="3E1F2A4A"/>
    <w:rsid w:val="3E29171B"/>
    <w:rsid w:val="3E2A20B2"/>
    <w:rsid w:val="3E2E7972"/>
    <w:rsid w:val="3E363BBF"/>
    <w:rsid w:val="3E5767B1"/>
    <w:rsid w:val="3E5B716B"/>
    <w:rsid w:val="3E814B58"/>
    <w:rsid w:val="3E8B72FC"/>
    <w:rsid w:val="3E8E4F94"/>
    <w:rsid w:val="3EA94997"/>
    <w:rsid w:val="3EB83E15"/>
    <w:rsid w:val="3ED2431D"/>
    <w:rsid w:val="3ED2557E"/>
    <w:rsid w:val="3EE80F28"/>
    <w:rsid w:val="3EF04621"/>
    <w:rsid w:val="3F035FC9"/>
    <w:rsid w:val="3F2C4C54"/>
    <w:rsid w:val="3F4F53BA"/>
    <w:rsid w:val="3F5E3843"/>
    <w:rsid w:val="3F687974"/>
    <w:rsid w:val="3F6E18B3"/>
    <w:rsid w:val="3F7300D9"/>
    <w:rsid w:val="3F8546E3"/>
    <w:rsid w:val="3F8F3BA7"/>
    <w:rsid w:val="3F911246"/>
    <w:rsid w:val="3F9D2653"/>
    <w:rsid w:val="3FA32317"/>
    <w:rsid w:val="3FB529B5"/>
    <w:rsid w:val="3FB939BF"/>
    <w:rsid w:val="3FCA58DB"/>
    <w:rsid w:val="3FD53D7F"/>
    <w:rsid w:val="3FD72254"/>
    <w:rsid w:val="3FD859B5"/>
    <w:rsid w:val="3FD961D3"/>
    <w:rsid w:val="3FE36B62"/>
    <w:rsid w:val="3FF8363E"/>
    <w:rsid w:val="3FFD7278"/>
    <w:rsid w:val="40174884"/>
    <w:rsid w:val="402E1D38"/>
    <w:rsid w:val="40304C10"/>
    <w:rsid w:val="403B576B"/>
    <w:rsid w:val="404E178F"/>
    <w:rsid w:val="404F01B2"/>
    <w:rsid w:val="40533A4E"/>
    <w:rsid w:val="405540A3"/>
    <w:rsid w:val="405A52E6"/>
    <w:rsid w:val="405C327D"/>
    <w:rsid w:val="405F62E7"/>
    <w:rsid w:val="40650D1C"/>
    <w:rsid w:val="40651453"/>
    <w:rsid w:val="4068536F"/>
    <w:rsid w:val="406E0B3E"/>
    <w:rsid w:val="406F4BBE"/>
    <w:rsid w:val="40731A02"/>
    <w:rsid w:val="407E7BF4"/>
    <w:rsid w:val="408578E8"/>
    <w:rsid w:val="408C4E4E"/>
    <w:rsid w:val="409106D4"/>
    <w:rsid w:val="40A4679E"/>
    <w:rsid w:val="40AA56BB"/>
    <w:rsid w:val="40B152C8"/>
    <w:rsid w:val="40B83DBD"/>
    <w:rsid w:val="40E33A66"/>
    <w:rsid w:val="40ED6AF3"/>
    <w:rsid w:val="40FB286F"/>
    <w:rsid w:val="40FE25BA"/>
    <w:rsid w:val="41006EB4"/>
    <w:rsid w:val="4102669F"/>
    <w:rsid w:val="410D6406"/>
    <w:rsid w:val="410F7E1B"/>
    <w:rsid w:val="41193850"/>
    <w:rsid w:val="413476EA"/>
    <w:rsid w:val="41397714"/>
    <w:rsid w:val="413F1C76"/>
    <w:rsid w:val="41441569"/>
    <w:rsid w:val="414F09DC"/>
    <w:rsid w:val="416332B4"/>
    <w:rsid w:val="41680597"/>
    <w:rsid w:val="416B0505"/>
    <w:rsid w:val="417519A1"/>
    <w:rsid w:val="417660CC"/>
    <w:rsid w:val="417A517C"/>
    <w:rsid w:val="418F232B"/>
    <w:rsid w:val="419317A3"/>
    <w:rsid w:val="41A257C6"/>
    <w:rsid w:val="41A81E9F"/>
    <w:rsid w:val="41B7361A"/>
    <w:rsid w:val="41BE6864"/>
    <w:rsid w:val="41BF3D01"/>
    <w:rsid w:val="41C439BA"/>
    <w:rsid w:val="41D56429"/>
    <w:rsid w:val="41DF4710"/>
    <w:rsid w:val="41E13AB8"/>
    <w:rsid w:val="41E86F26"/>
    <w:rsid w:val="41ED44CB"/>
    <w:rsid w:val="41F003CC"/>
    <w:rsid w:val="420556C0"/>
    <w:rsid w:val="4208591C"/>
    <w:rsid w:val="422917AC"/>
    <w:rsid w:val="422E0D5A"/>
    <w:rsid w:val="423D6D8A"/>
    <w:rsid w:val="42457CC8"/>
    <w:rsid w:val="4246623F"/>
    <w:rsid w:val="424D0325"/>
    <w:rsid w:val="42585760"/>
    <w:rsid w:val="425E698F"/>
    <w:rsid w:val="42687231"/>
    <w:rsid w:val="426F405F"/>
    <w:rsid w:val="428B7DD4"/>
    <w:rsid w:val="42903515"/>
    <w:rsid w:val="42AF480E"/>
    <w:rsid w:val="42B70B76"/>
    <w:rsid w:val="42BB536D"/>
    <w:rsid w:val="42BC77D4"/>
    <w:rsid w:val="42CC6326"/>
    <w:rsid w:val="42D31F78"/>
    <w:rsid w:val="42D60E10"/>
    <w:rsid w:val="42DB4C5C"/>
    <w:rsid w:val="42E602EE"/>
    <w:rsid w:val="42E714E2"/>
    <w:rsid w:val="430037B8"/>
    <w:rsid w:val="430145A6"/>
    <w:rsid w:val="43102206"/>
    <w:rsid w:val="431E0D59"/>
    <w:rsid w:val="43242A0E"/>
    <w:rsid w:val="432517CE"/>
    <w:rsid w:val="432A2BA1"/>
    <w:rsid w:val="432C2638"/>
    <w:rsid w:val="432D4A0D"/>
    <w:rsid w:val="43352413"/>
    <w:rsid w:val="43464076"/>
    <w:rsid w:val="43565597"/>
    <w:rsid w:val="435B5013"/>
    <w:rsid w:val="435E65E3"/>
    <w:rsid w:val="43750FF5"/>
    <w:rsid w:val="437C4E68"/>
    <w:rsid w:val="4399764F"/>
    <w:rsid w:val="439B0A26"/>
    <w:rsid w:val="43AC67EF"/>
    <w:rsid w:val="43AC681B"/>
    <w:rsid w:val="43BB0E88"/>
    <w:rsid w:val="43BD19B6"/>
    <w:rsid w:val="43C52964"/>
    <w:rsid w:val="43D118DB"/>
    <w:rsid w:val="43D369A7"/>
    <w:rsid w:val="43D47810"/>
    <w:rsid w:val="442536DE"/>
    <w:rsid w:val="443250E8"/>
    <w:rsid w:val="444332D5"/>
    <w:rsid w:val="444F0EC1"/>
    <w:rsid w:val="445861D6"/>
    <w:rsid w:val="446A7D6A"/>
    <w:rsid w:val="446C15BC"/>
    <w:rsid w:val="446E2B62"/>
    <w:rsid w:val="44711281"/>
    <w:rsid w:val="44757D27"/>
    <w:rsid w:val="448256C5"/>
    <w:rsid w:val="449C2EB2"/>
    <w:rsid w:val="44A81190"/>
    <w:rsid w:val="44B31F86"/>
    <w:rsid w:val="44B730FF"/>
    <w:rsid w:val="44BA38EC"/>
    <w:rsid w:val="44BB7935"/>
    <w:rsid w:val="44D0604B"/>
    <w:rsid w:val="44D57031"/>
    <w:rsid w:val="44DA74B7"/>
    <w:rsid w:val="44DD4FC1"/>
    <w:rsid w:val="44E33468"/>
    <w:rsid w:val="44F12817"/>
    <w:rsid w:val="44FF0450"/>
    <w:rsid w:val="44FF7D79"/>
    <w:rsid w:val="450131FF"/>
    <w:rsid w:val="450177CD"/>
    <w:rsid w:val="45086B5F"/>
    <w:rsid w:val="4518000D"/>
    <w:rsid w:val="452349AE"/>
    <w:rsid w:val="45274C27"/>
    <w:rsid w:val="45321E8C"/>
    <w:rsid w:val="45375DEC"/>
    <w:rsid w:val="453A3552"/>
    <w:rsid w:val="453A7BD9"/>
    <w:rsid w:val="455B41BC"/>
    <w:rsid w:val="456C6CC1"/>
    <w:rsid w:val="457F4BE4"/>
    <w:rsid w:val="458D7086"/>
    <w:rsid w:val="459B73EC"/>
    <w:rsid w:val="45A94056"/>
    <w:rsid w:val="45B8195A"/>
    <w:rsid w:val="45C15FA0"/>
    <w:rsid w:val="45CB2EC5"/>
    <w:rsid w:val="45D508BD"/>
    <w:rsid w:val="45E6688B"/>
    <w:rsid w:val="45E87833"/>
    <w:rsid w:val="46012AE4"/>
    <w:rsid w:val="460B081F"/>
    <w:rsid w:val="460D6BC4"/>
    <w:rsid w:val="462A04BF"/>
    <w:rsid w:val="46385CD6"/>
    <w:rsid w:val="463A2127"/>
    <w:rsid w:val="464C065B"/>
    <w:rsid w:val="464F1A7F"/>
    <w:rsid w:val="466E197F"/>
    <w:rsid w:val="466F3C52"/>
    <w:rsid w:val="46753CB5"/>
    <w:rsid w:val="46761A4B"/>
    <w:rsid w:val="46806DD7"/>
    <w:rsid w:val="468B0629"/>
    <w:rsid w:val="468C34FE"/>
    <w:rsid w:val="46906540"/>
    <w:rsid w:val="46996F6C"/>
    <w:rsid w:val="469C39BA"/>
    <w:rsid w:val="46A3139B"/>
    <w:rsid w:val="46A673FE"/>
    <w:rsid w:val="46AF7B37"/>
    <w:rsid w:val="46BF487E"/>
    <w:rsid w:val="46BF4F72"/>
    <w:rsid w:val="46BF5C6C"/>
    <w:rsid w:val="46CC2C28"/>
    <w:rsid w:val="46CD0BB8"/>
    <w:rsid w:val="46D4535F"/>
    <w:rsid w:val="46D831EA"/>
    <w:rsid w:val="46EE6CF6"/>
    <w:rsid w:val="46F31BCD"/>
    <w:rsid w:val="46F4119D"/>
    <w:rsid w:val="46FD45C6"/>
    <w:rsid w:val="47053800"/>
    <w:rsid w:val="472C35F0"/>
    <w:rsid w:val="4737114F"/>
    <w:rsid w:val="47387545"/>
    <w:rsid w:val="473B0285"/>
    <w:rsid w:val="47464AF2"/>
    <w:rsid w:val="47495B8F"/>
    <w:rsid w:val="475549DF"/>
    <w:rsid w:val="475C763C"/>
    <w:rsid w:val="475F7A4F"/>
    <w:rsid w:val="476033C1"/>
    <w:rsid w:val="47670157"/>
    <w:rsid w:val="47692F96"/>
    <w:rsid w:val="47763995"/>
    <w:rsid w:val="47A72E91"/>
    <w:rsid w:val="47AA3932"/>
    <w:rsid w:val="47CF3A4D"/>
    <w:rsid w:val="47D56256"/>
    <w:rsid w:val="47DD19C3"/>
    <w:rsid w:val="47E8416A"/>
    <w:rsid w:val="47E9581C"/>
    <w:rsid w:val="481139EE"/>
    <w:rsid w:val="48215C79"/>
    <w:rsid w:val="48226480"/>
    <w:rsid w:val="4828239F"/>
    <w:rsid w:val="482D561F"/>
    <w:rsid w:val="48523AF4"/>
    <w:rsid w:val="48536331"/>
    <w:rsid w:val="48576EE0"/>
    <w:rsid w:val="48664029"/>
    <w:rsid w:val="486D49FE"/>
    <w:rsid w:val="48700ABD"/>
    <w:rsid w:val="487F5013"/>
    <w:rsid w:val="48837D50"/>
    <w:rsid w:val="48944CB9"/>
    <w:rsid w:val="48972BAC"/>
    <w:rsid w:val="48A03FBC"/>
    <w:rsid w:val="48BA2007"/>
    <w:rsid w:val="48BF7A0C"/>
    <w:rsid w:val="48C35DC8"/>
    <w:rsid w:val="48D17FD4"/>
    <w:rsid w:val="48DA0C4E"/>
    <w:rsid w:val="48EB0631"/>
    <w:rsid w:val="48F25775"/>
    <w:rsid w:val="48F53EBC"/>
    <w:rsid w:val="48FA66F3"/>
    <w:rsid w:val="490138DD"/>
    <w:rsid w:val="49032024"/>
    <w:rsid w:val="490A1B73"/>
    <w:rsid w:val="49330BE1"/>
    <w:rsid w:val="495E5D09"/>
    <w:rsid w:val="49633237"/>
    <w:rsid w:val="496E5DE4"/>
    <w:rsid w:val="49881B13"/>
    <w:rsid w:val="498F7572"/>
    <w:rsid w:val="49937A9A"/>
    <w:rsid w:val="49964F16"/>
    <w:rsid w:val="49A703B5"/>
    <w:rsid w:val="49AF5B1D"/>
    <w:rsid w:val="49B432B5"/>
    <w:rsid w:val="49B54332"/>
    <w:rsid w:val="49B87C66"/>
    <w:rsid w:val="49B904DF"/>
    <w:rsid w:val="49BA1413"/>
    <w:rsid w:val="49BF1FB5"/>
    <w:rsid w:val="49C01EF5"/>
    <w:rsid w:val="49C9552D"/>
    <w:rsid w:val="49D81128"/>
    <w:rsid w:val="49D86E00"/>
    <w:rsid w:val="49D971D6"/>
    <w:rsid w:val="49DD77DB"/>
    <w:rsid w:val="49DF69E2"/>
    <w:rsid w:val="49E65669"/>
    <w:rsid w:val="4A000F6D"/>
    <w:rsid w:val="4A0B3B9B"/>
    <w:rsid w:val="4A0E567B"/>
    <w:rsid w:val="4A0E5ECA"/>
    <w:rsid w:val="4A191B0A"/>
    <w:rsid w:val="4A1C59A1"/>
    <w:rsid w:val="4A36163D"/>
    <w:rsid w:val="4A3F3795"/>
    <w:rsid w:val="4A4B6053"/>
    <w:rsid w:val="4A596D89"/>
    <w:rsid w:val="4A5E6CC3"/>
    <w:rsid w:val="4A61539F"/>
    <w:rsid w:val="4A7252FC"/>
    <w:rsid w:val="4A897595"/>
    <w:rsid w:val="4A94146C"/>
    <w:rsid w:val="4A9A293E"/>
    <w:rsid w:val="4AA53AFB"/>
    <w:rsid w:val="4AAD25EE"/>
    <w:rsid w:val="4ABF179A"/>
    <w:rsid w:val="4ACC051F"/>
    <w:rsid w:val="4ACD0BC5"/>
    <w:rsid w:val="4AD048FF"/>
    <w:rsid w:val="4AD11410"/>
    <w:rsid w:val="4ADB4731"/>
    <w:rsid w:val="4AE525B8"/>
    <w:rsid w:val="4AE64232"/>
    <w:rsid w:val="4AEA4B6B"/>
    <w:rsid w:val="4AF31332"/>
    <w:rsid w:val="4B0200EC"/>
    <w:rsid w:val="4B061CB5"/>
    <w:rsid w:val="4B066AB7"/>
    <w:rsid w:val="4B353DE7"/>
    <w:rsid w:val="4B41500C"/>
    <w:rsid w:val="4B4831DD"/>
    <w:rsid w:val="4B5116AB"/>
    <w:rsid w:val="4B61779A"/>
    <w:rsid w:val="4B6416D9"/>
    <w:rsid w:val="4B645063"/>
    <w:rsid w:val="4B6C36FD"/>
    <w:rsid w:val="4B866ED8"/>
    <w:rsid w:val="4B8C1A62"/>
    <w:rsid w:val="4B902F26"/>
    <w:rsid w:val="4B9036D7"/>
    <w:rsid w:val="4BB01726"/>
    <w:rsid w:val="4BBF1593"/>
    <w:rsid w:val="4BD86D42"/>
    <w:rsid w:val="4BF35FBF"/>
    <w:rsid w:val="4C1113E2"/>
    <w:rsid w:val="4C166BC0"/>
    <w:rsid w:val="4C243968"/>
    <w:rsid w:val="4C2A7478"/>
    <w:rsid w:val="4C304E5C"/>
    <w:rsid w:val="4C402BF5"/>
    <w:rsid w:val="4C4038B9"/>
    <w:rsid w:val="4C501A69"/>
    <w:rsid w:val="4C731E9F"/>
    <w:rsid w:val="4C816362"/>
    <w:rsid w:val="4C842132"/>
    <w:rsid w:val="4C886AF2"/>
    <w:rsid w:val="4C9974EF"/>
    <w:rsid w:val="4CA562E0"/>
    <w:rsid w:val="4CCB6089"/>
    <w:rsid w:val="4CCE63E9"/>
    <w:rsid w:val="4CDD4471"/>
    <w:rsid w:val="4CE145C2"/>
    <w:rsid w:val="4CE256CC"/>
    <w:rsid w:val="4CE51F8C"/>
    <w:rsid w:val="4CE60066"/>
    <w:rsid w:val="4CEF41F5"/>
    <w:rsid w:val="4CF41F83"/>
    <w:rsid w:val="4CF91230"/>
    <w:rsid w:val="4CFC4A89"/>
    <w:rsid w:val="4D0544CC"/>
    <w:rsid w:val="4D0D790F"/>
    <w:rsid w:val="4D144FEB"/>
    <w:rsid w:val="4D1D6923"/>
    <w:rsid w:val="4D3444F5"/>
    <w:rsid w:val="4D470F76"/>
    <w:rsid w:val="4D5379D8"/>
    <w:rsid w:val="4D612EE6"/>
    <w:rsid w:val="4D662833"/>
    <w:rsid w:val="4D6A04F8"/>
    <w:rsid w:val="4D6B7185"/>
    <w:rsid w:val="4D6C1FF5"/>
    <w:rsid w:val="4D761FB5"/>
    <w:rsid w:val="4D880453"/>
    <w:rsid w:val="4D8978C0"/>
    <w:rsid w:val="4D9707AA"/>
    <w:rsid w:val="4D9730CA"/>
    <w:rsid w:val="4D984819"/>
    <w:rsid w:val="4DA80073"/>
    <w:rsid w:val="4DB279F5"/>
    <w:rsid w:val="4DB7629C"/>
    <w:rsid w:val="4DBD0292"/>
    <w:rsid w:val="4DC05E8F"/>
    <w:rsid w:val="4DC26675"/>
    <w:rsid w:val="4DC705C0"/>
    <w:rsid w:val="4DCE1FBB"/>
    <w:rsid w:val="4DD7110C"/>
    <w:rsid w:val="4DDC5B92"/>
    <w:rsid w:val="4DE554B8"/>
    <w:rsid w:val="4DEA12C2"/>
    <w:rsid w:val="4E0C1847"/>
    <w:rsid w:val="4E0D6A2F"/>
    <w:rsid w:val="4E1267B2"/>
    <w:rsid w:val="4E1607DB"/>
    <w:rsid w:val="4E205551"/>
    <w:rsid w:val="4E3147FF"/>
    <w:rsid w:val="4E372F72"/>
    <w:rsid w:val="4E381C3A"/>
    <w:rsid w:val="4E3C3FD9"/>
    <w:rsid w:val="4E493EAC"/>
    <w:rsid w:val="4E525D71"/>
    <w:rsid w:val="4E572B46"/>
    <w:rsid w:val="4E596C05"/>
    <w:rsid w:val="4E5C68DD"/>
    <w:rsid w:val="4E61048C"/>
    <w:rsid w:val="4E6903CE"/>
    <w:rsid w:val="4E834184"/>
    <w:rsid w:val="4E8B41B5"/>
    <w:rsid w:val="4E953B50"/>
    <w:rsid w:val="4E9810BD"/>
    <w:rsid w:val="4E9A1057"/>
    <w:rsid w:val="4E9D4A05"/>
    <w:rsid w:val="4EA679F1"/>
    <w:rsid w:val="4EAF4AE8"/>
    <w:rsid w:val="4EBB2746"/>
    <w:rsid w:val="4EC11291"/>
    <w:rsid w:val="4EC80E09"/>
    <w:rsid w:val="4ECA7784"/>
    <w:rsid w:val="4ECB26AD"/>
    <w:rsid w:val="4EFF2545"/>
    <w:rsid w:val="4F037A2C"/>
    <w:rsid w:val="4F2A4A5C"/>
    <w:rsid w:val="4F3A6D88"/>
    <w:rsid w:val="4F562CDC"/>
    <w:rsid w:val="4F5F2A10"/>
    <w:rsid w:val="4F6B4164"/>
    <w:rsid w:val="4F7C0F4D"/>
    <w:rsid w:val="4F8A2097"/>
    <w:rsid w:val="4F8D410D"/>
    <w:rsid w:val="4F8E5C7E"/>
    <w:rsid w:val="4F907F1C"/>
    <w:rsid w:val="4F9432C0"/>
    <w:rsid w:val="4F9459F7"/>
    <w:rsid w:val="4F96748E"/>
    <w:rsid w:val="4F9D172E"/>
    <w:rsid w:val="4FB17A29"/>
    <w:rsid w:val="4FC351F6"/>
    <w:rsid w:val="4FC45FA4"/>
    <w:rsid w:val="4FCA7F4E"/>
    <w:rsid w:val="4FCD2B79"/>
    <w:rsid w:val="4FD213F5"/>
    <w:rsid w:val="4FD4098B"/>
    <w:rsid w:val="4FD60F9C"/>
    <w:rsid w:val="4FF06841"/>
    <w:rsid w:val="500E5868"/>
    <w:rsid w:val="50121ED0"/>
    <w:rsid w:val="50172612"/>
    <w:rsid w:val="502B29B6"/>
    <w:rsid w:val="50360646"/>
    <w:rsid w:val="503B3D8E"/>
    <w:rsid w:val="504A14A6"/>
    <w:rsid w:val="504A30A0"/>
    <w:rsid w:val="504A4D66"/>
    <w:rsid w:val="504E1DD2"/>
    <w:rsid w:val="50595BF1"/>
    <w:rsid w:val="505B6E5D"/>
    <w:rsid w:val="506C4D74"/>
    <w:rsid w:val="506D5B05"/>
    <w:rsid w:val="50720F01"/>
    <w:rsid w:val="509544C2"/>
    <w:rsid w:val="509719F3"/>
    <w:rsid w:val="50975FE0"/>
    <w:rsid w:val="50A60153"/>
    <w:rsid w:val="50B66F2A"/>
    <w:rsid w:val="50C26382"/>
    <w:rsid w:val="50C61290"/>
    <w:rsid w:val="50C71052"/>
    <w:rsid w:val="50DE6234"/>
    <w:rsid w:val="50E018AA"/>
    <w:rsid w:val="50EE3D5A"/>
    <w:rsid w:val="50F21F5C"/>
    <w:rsid w:val="5102109C"/>
    <w:rsid w:val="5112213D"/>
    <w:rsid w:val="511B15BC"/>
    <w:rsid w:val="51245CB2"/>
    <w:rsid w:val="512D0FB4"/>
    <w:rsid w:val="512F627D"/>
    <w:rsid w:val="5135296D"/>
    <w:rsid w:val="513D702D"/>
    <w:rsid w:val="514A535B"/>
    <w:rsid w:val="514B3AF2"/>
    <w:rsid w:val="514C22AA"/>
    <w:rsid w:val="516613B4"/>
    <w:rsid w:val="516E4F8B"/>
    <w:rsid w:val="517A0127"/>
    <w:rsid w:val="517B7325"/>
    <w:rsid w:val="51832D49"/>
    <w:rsid w:val="51A21C66"/>
    <w:rsid w:val="51A41108"/>
    <w:rsid w:val="51AF40E9"/>
    <w:rsid w:val="51DD57E1"/>
    <w:rsid w:val="51F50746"/>
    <w:rsid w:val="51FC62C3"/>
    <w:rsid w:val="51FC7ED8"/>
    <w:rsid w:val="521342CF"/>
    <w:rsid w:val="52191191"/>
    <w:rsid w:val="521C2A48"/>
    <w:rsid w:val="52270E58"/>
    <w:rsid w:val="522D088D"/>
    <w:rsid w:val="522D2365"/>
    <w:rsid w:val="523A6711"/>
    <w:rsid w:val="5249115E"/>
    <w:rsid w:val="524D67B1"/>
    <w:rsid w:val="525B7408"/>
    <w:rsid w:val="526318CB"/>
    <w:rsid w:val="52686F5E"/>
    <w:rsid w:val="52780BC6"/>
    <w:rsid w:val="52886857"/>
    <w:rsid w:val="52970320"/>
    <w:rsid w:val="529A24EB"/>
    <w:rsid w:val="52A24890"/>
    <w:rsid w:val="52A92284"/>
    <w:rsid w:val="52AA3E04"/>
    <w:rsid w:val="52AB1C29"/>
    <w:rsid w:val="52B53EE9"/>
    <w:rsid w:val="52B6433F"/>
    <w:rsid w:val="52BE0E6F"/>
    <w:rsid w:val="52BF094F"/>
    <w:rsid w:val="52E33992"/>
    <w:rsid w:val="52E84F29"/>
    <w:rsid w:val="52F40192"/>
    <w:rsid w:val="52FA6EAD"/>
    <w:rsid w:val="52FB460E"/>
    <w:rsid w:val="53033B55"/>
    <w:rsid w:val="53396DB6"/>
    <w:rsid w:val="53412C6A"/>
    <w:rsid w:val="5354687A"/>
    <w:rsid w:val="535F7525"/>
    <w:rsid w:val="53713EDA"/>
    <w:rsid w:val="53777C46"/>
    <w:rsid w:val="537E5DD1"/>
    <w:rsid w:val="53852730"/>
    <w:rsid w:val="53965D87"/>
    <w:rsid w:val="53972CB7"/>
    <w:rsid w:val="539E7E37"/>
    <w:rsid w:val="53AD3D09"/>
    <w:rsid w:val="53B011F3"/>
    <w:rsid w:val="53B63E67"/>
    <w:rsid w:val="53BB4D3D"/>
    <w:rsid w:val="53C63643"/>
    <w:rsid w:val="53EC3411"/>
    <w:rsid w:val="53F46E16"/>
    <w:rsid w:val="53FA180A"/>
    <w:rsid w:val="54165C25"/>
    <w:rsid w:val="542B111B"/>
    <w:rsid w:val="5437395C"/>
    <w:rsid w:val="5445371B"/>
    <w:rsid w:val="544564AC"/>
    <w:rsid w:val="544C29DF"/>
    <w:rsid w:val="54506112"/>
    <w:rsid w:val="54511BD0"/>
    <w:rsid w:val="54581FA6"/>
    <w:rsid w:val="54593C0E"/>
    <w:rsid w:val="545968AC"/>
    <w:rsid w:val="545A031B"/>
    <w:rsid w:val="545D13D1"/>
    <w:rsid w:val="547544A5"/>
    <w:rsid w:val="547D7E48"/>
    <w:rsid w:val="5484524B"/>
    <w:rsid w:val="548A6BF6"/>
    <w:rsid w:val="548B7FAF"/>
    <w:rsid w:val="548D647D"/>
    <w:rsid w:val="54986428"/>
    <w:rsid w:val="549B4F1D"/>
    <w:rsid w:val="549D0E8F"/>
    <w:rsid w:val="54B22AD2"/>
    <w:rsid w:val="54B463D6"/>
    <w:rsid w:val="54B503AF"/>
    <w:rsid w:val="54B95854"/>
    <w:rsid w:val="54CB4E11"/>
    <w:rsid w:val="54DE3F21"/>
    <w:rsid w:val="54EE78FD"/>
    <w:rsid w:val="550648AC"/>
    <w:rsid w:val="550861D8"/>
    <w:rsid w:val="55113C6A"/>
    <w:rsid w:val="55233BFE"/>
    <w:rsid w:val="5524326D"/>
    <w:rsid w:val="552F094D"/>
    <w:rsid w:val="55344A70"/>
    <w:rsid w:val="553C5163"/>
    <w:rsid w:val="553E738C"/>
    <w:rsid w:val="55414C01"/>
    <w:rsid w:val="5547456B"/>
    <w:rsid w:val="5548195C"/>
    <w:rsid w:val="55572610"/>
    <w:rsid w:val="555C1F34"/>
    <w:rsid w:val="556C22EF"/>
    <w:rsid w:val="55787620"/>
    <w:rsid w:val="5590108E"/>
    <w:rsid w:val="55936046"/>
    <w:rsid w:val="55951BD8"/>
    <w:rsid w:val="55952761"/>
    <w:rsid w:val="559A4D75"/>
    <w:rsid w:val="55A51C54"/>
    <w:rsid w:val="55AA09C3"/>
    <w:rsid w:val="55B243E1"/>
    <w:rsid w:val="55C231F5"/>
    <w:rsid w:val="55D35506"/>
    <w:rsid w:val="55DC2173"/>
    <w:rsid w:val="55E0719B"/>
    <w:rsid w:val="55FD4C36"/>
    <w:rsid w:val="56057A05"/>
    <w:rsid w:val="560E6D72"/>
    <w:rsid w:val="56135FEC"/>
    <w:rsid w:val="56162242"/>
    <w:rsid w:val="562B079E"/>
    <w:rsid w:val="563E327A"/>
    <w:rsid w:val="5647783D"/>
    <w:rsid w:val="565503CC"/>
    <w:rsid w:val="56551CBC"/>
    <w:rsid w:val="56691ADB"/>
    <w:rsid w:val="566E0CBD"/>
    <w:rsid w:val="566F7303"/>
    <w:rsid w:val="567B4798"/>
    <w:rsid w:val="567C31D6"/>
    <w:rsid w:val="5683393C"/>
    <w:rsid w:val="56942320"/>
    <w:rsid w:val="56A26183"/>
    <w:rsid w:val="56AA1A4B"/>
    <w:rsid w:val="56AB66E3"/>
    <w:rsid w:val="56AE1D60"/>
    <w:rsid w:val="56B35F91"/>
    <w:rsid w:val="56B429A4"/>
    <w:rsid w:val="56BB09D7"/>
    <w:rsid w:val="56C7769E"/>
    <w:rsid w:val="56CF5541"/>
    <w:rsid w:val="56D50D91"/>
    <w:rsid w:val="56F42A27"/>
    <w:rsid w:val="56F44361"/>
    <w:rsid w:val="57004E0C"/>
    <w:rsid w:val="570960B1"/>
    <w:rsid w:val="570C1886"/>
    <w:rsid w:val="5713343A"/>
    <w:rsid w:val="571D47E4"/>
    <w:rsid w:val="5725760F"/>
    <w:rsid w:val="574A5BA7"/>
    <w:rsid w:val="574F42D0"/>
    <w:rsid w:val="575E013A"/>
    <w:rsid w:val="5789005F"/>
    <w:rsid w:val="578A5A6C"/>
    <w:rsid w:val="57977147"/>
    <w:rsid w:val="579B7703"/>
    <w:rsid w:val="579C0422"/>
    <w:rsid w:val="57A64FA8"/>
    <w:rsid w:val="57A87F69"/>
    <w:rsid w:val="57C333E1"/>
    <w:rsid w:val="57C971A5"/>
    <w:rsid w:val="57DE7E21"/>
    <w:rsid w:val="57E46422"/>
    <w:rsid w:val="57EE6C2E"/>
    <w:rsid w:val="57EF78F3"/>
    <w:rsid w:val="57F069C0"/>
    <w:rsid w:val="57F276E6"/>
    <w:rsid w:val="58146D71"/>
    <w:rsid w:val="582348AF"/>
    <w:rsid w:val="5824156F"/>
    <w:rsid w:val="583E1B37"/>
    <w:rsid w:val="584815B7"/>
    <w:rsid w:val="58544C21"/>
    <w:rsid w:val="585D058B"/>
    <w:rsid w:val="586C3B0E"/>
    <w:rsid w:val="587D0336"/>
    <w:rsid w:val="588849D9"/>
    <w:rsid w:val="589256EC"/>
    <w:rsid w:val="58925C59"/>
    <w:rsid w:val="5899020B"/>
    <w:rsid w:val="589C70EB"/>
    <w:rsid w:val="589C775D"/>
    <w:rsid w:val="58B501FC"/>
    <w:rsid w:val="58CB73F5"/>
    <w:rsid w:val="58DB1A30"/>
    <w:rsid w:val="58E319D4"/>
    <w:rsid w:val="58E441A1"/>
    <w:rsid w:val="58E5276C"/>
    <w:rsid w:val="58E64E04"/>
    <w:rsid w:val="58EB4F9E"/>
    <w:rsid w:val="5903226C"/>
    <w:rsid w:val="59087AAE"/>
    <w:rsid w:val="592D1DD3"/>
    <w:rsid w:val="59396925"/>
    <w:rsid w:val="593C59D8"/>
    <w:rsid w:val="59452B34"/>
    <w:rsid w:val="594A1C60"/>
    <w:rsid w:val="594F7A96"/>
    <w:rsid w:val="595D717C"/>
    <w:rsid w:val="595F7989"/>
    <w:rsid w:val="5962482D"/>
    <w:rsid w:val="59677DB0"/>
    <w:rsid w:val="596A02DE"/>
    <w:rsid w:val="596F0FB7"/>
    <w:rsid w:val="597153B2"/>
    <w:rsid w:val="5973551B"/>
    <w:rsid w:val="59911D1F"/>
    <w:rsid w:val="59957BDE"/>
    <w:rsid w:val="599E70D0"/>
    <w:rsid w:val="59B10CD2"/>
    <w:rsid w:val="59C32302"/>
    <w:rsid w:val="59C46B0D"/>
    <w:rsid w:val="59D51E3A"/>
    <w:rsid w:val="59F8330C"/>
    <w:rsid w:val="5A04335C"/>
    <w:rsid w:val="5A283E77"/>
    <w:rsid w:val="5A2B4785"/>
    <w:rsid w:val="5A3518D4"/>
    <w:rsid w:val="5A3805DA"/>
    <w:rsid w:val="5A3E79A1"/>
    <w:rsid w:val="5A3F472A"/>
    <w:rsid w:val="5A492DDB"/>
    <w:rsid w:val="5A6B6BE4"/>
    <w:rsid w:val="5A6D23C1"/>
    <w:rsid w:val="5A7E582D"/>
    <w:rsid w:val="5A9C71C7"/>
    <w:rsid w:val="5AA55402"/>
    <w:rsid w:val="5ABB00F2"/>
    <w:rsid w:val="5AC30A19"/>
    <w:rsid w:val="5AD124D2"/>
    <w:rsid w:val="5ADC0FE8"/>
    <w:rsid w:val="5AF57D9C"/>
    <w:rsid w:val="5AFC1258"/>
    <w:rsid w:val="5AFF0647"/>
    <w:rsid w:val="5B170146"/>
    <w:rsid w:val="5B312D76"/>
    <w:rsid w:val="5B3A35B1"/>
    <w:rsid w:val="5B3D31A3"/>
    <w:rsid w:val="5B4209F6"/>
    <w:rsid w:val="5B4C6FCF"/>
    <w:rsid w:val="5B4D089A"/>
    <w:rsid w:val="5B5E0577"/>
    <w:rsid w:val="5B615C63"/>
    <w:rsid w:val="5B6D5710"/>
    <w:rsid w:val="5B757D1B"/>
    <w:rsid w:val="5B783A40"/>
    <w:rsid w:val="5B8957D3"/>
    <w:rsid w:val="5B9002CD"/>
    <w:rsid w:val="5B9019B4"/>
    <w:rsid w:val="5BA93DC8"/>
    <w:rsid w:val="5BBD7317"/>
    <w:rsid w:val="5BCE1409"/>
    <w:rsid w:val="5BE4704E"/>
    <w:rsid w:val="5BEF7913"/>
    <w:rsid w:val="5BF81C13"/>
    <w:rsid w:val="5C067730"/>
    <w:rsid w:val="5C096887"/>
    <w:rsid w:val="5C0F3E27"/>
    <w:rsid w:val="5C11376A"/>
    <w:rsid w:val="5C25029A"/>
    <w:rsid w:val="5C2F4CF5"/>
    <w:rsid w:val="5C390E0B"/>
    <w:rsid w:val="5C3B1123"/>
    <w:rsid w:val="5C3C5F8A"/>
    <w:rsid w:val="5C49705E"/>
    <w:rsid w:val="5C4E45D4"/>
    <w:rsid w:val="5C5528FD"/>
    <w:rsid w:val="5C5E0824"/>
    <w:rsid w:val="5C60484C"/>
    <w:rsid w:val="5C630AD6"/>
    <w:rsid w:val="5C630B64"/>
    <w:rsid w:val="5C643C23"/>
    <w:rsid w:val="5C661251"/>
    <w:rsid w:val="5C6D1A40"/>
    <w:rsid w:val="5C7A0D2A"/>
    <w:rsid w:val="5C88342F"/>
    <w:rsid w:val="5C9D6635"/>
    <w:rsid w:val="5CA81DE0"/>
    <w:rsid w:val="5CB0205C"/>
    <w:rsid w:val="5CB344AE"/>
    <w:rsid w:val="5CCA0079"/>
    <w:rsid w:val="5CCB2BEA"/>
    <w:rsid w:val="5CD51221"/>
    <w:rsid w:val="5CE34324"/>
    <w:rsid w:val="5CE850EE"/>
    <w:rsid w:val="5CF512ED"/>
    <w:rsid w:val="5CF80C4F"/>
    <w:rsid w:val="5CFA27FD"/>
    <w:rsid w:val="5D073813"/>
    <w:rsid w:val="5D084A44"/>
    <w:rsid w:val="5D0B3EFC"/>
    <w:rsid w:val="5D102499"/>
    <w:rsid w:val="5D170189"/>
    <w:rsid w:val="5D393856"/>
    <w:rsid w:val="5D3B02CC"/>
    <w:rsid w:val="5D3B7BB0"/>
    <w:rsid w:val="5D52712E"/>
    <w:rsid w:val="5D533668"/>
    <w:rsid w:val="5D562286"/>
    <w:rsid w:val="5D586FE2"/>
    <w:rsid w:val="5D5D6F1A"/>
    <w:rsid w:val="5D814C32"/>
    <w:rsid w:val="5D847614"/>
    <w:rsid w:val="5D88170B"/>
    <w:rsid w:val="5D8F1666"/>
    <w:rsid w:val="5D9A6E77"/>
    <w:rsid w:val="5DA51BC8"/>
    <w:rsid w:val="5DAE0A72"/>
    <w:rsid w:val="5DB13AD0"/>
    <w:rsid w:val="5DB41721"/>
    <w:rsid w:val="5DD30180"/>
    <w:rsid w:val="5DD56FFF"/>
    <w:rsid w:val="5DEC30CA"/>
    <w:rsid w:val="5DED7C2C"/>
    <w:rsid w:val="5E021D1C"/>
    <w:rsid w:val="5E0B0E6C"/>
    <w:rsid w:val="5E182162"/>
    <w:rsid w:val="5E1861F8"/>
    <w:rsid w:val="5E1942DA"/>
    <w:rsid w:val="5E24370F"/>
    <w:rsid w:val="5E2E1C1D"/>
    <w:rsid w:val="5E4D2FD3"/>
    <w:rsid w:val="5E4D3E40"/>
    <w:rsid w:val="5E6E6975"/>
    <w:rsid w:val="5E955DB8"/>
    <w:rsid w:val="5E956D48"/>
    <w:rsid w:val="5E957149"/>
    <w:rsid w:val="5EA25A8B"/>
    <w:rsid w:val="5EB130B3"/>
    <w:rsid w:val="5EC4335B"/>
    <w:rsid w:val="5EC70799"/>
    <w:rsid w:val="5EE11663"/>
    <w:rsid w:val="5EE22DF3"/>
    <w:rsid w:val="5EE76CA4"/>
    <w:rsid w:val="5F0A756D"/>
    <w:rsid w:val="5F13535A"/>
    <w:rsid w:val="5F1860C1"/>
    <w:rsid w:val="5F243E90"/>
    <w:rsid w:val="5F327BD9"/>
    <w:rsid w:val="5F342F3A"/>
    <w:rsid w:val="5F3F55B3"/>
    <w:rsid w:val="5F573871"/>
    <w:rsid w:val="5F590D30"/>
    <w:rsid w:val="5F5B1F92"/>
    <w:rsid w:val="5F64282B"/>
    <w:rsid w:val="5F7748CE"/>
    <w:rsid w:val="5F7809D5"/>
    <w:rsid w:val="5F812683"/>
    <w:rsid w:val="5F880CC3"/>
    <w:rsid w:val="5F8F07FF"/>
    <w:rsid w:val="5F91796C"/>
    <w:rsid w:val="5F980FC3"/>
    <w:rsid w:val="5FB329F0"/>
    <w:rsid w:val="5FCE6C63"/>
    <w:rsid w:val="5FD04D96"/>
    <w:rsid w:val="5FD604EA"/>
    <w:rsid w:val="5FEA1EE9"/>
    <w:rsid w:val="5FEB0F56"/>
    <w:rsid w:val="5FF67966"/>
    <w:rsid w:val="60055F6B"/>
    <w:rsid w:val="60073C73"/>
    <w:rsid w:val="60143567"/>
    <w:rsid w:val="601E5CD6"/>
    <w:rsid w:val="60295480"/>
    <w:rsid w:val="602F74DE"/>
    <w:rsid w:val="603D7CB1"/>
    <w:rsid w:val="60482996"/>
    <w:rsid w:val="6056115F"/>
    <w:rsid w:val="60594597"/>
    <w:rsid w:val="605F17A7"/>
    <w:rsid w:val="60685398"/>
    <w:rsid w:val="60945342"/>
    <w:rsid w:val="60995BC2"/>
    <w:rsid w:val="609A222E"/>
    <w:rsid w:val="60BD4677"/>
    <w:rsid w:val="60C34E64"/>
    <w:rsid w:val="60CC3223"/>
    <w:rsid w:val="60CE7097"/>
    <w:rsid w:val="60DB5B33"/>
    <w:rsid w:val="60DC0CDC"/>
    <w:rsid w:val="60E5735E"/>
    <w:rsid w:val="60EF6246"/>
    <w:rsid w:val="60F53AA7"/>
    <w:rsid w:val="6106658C"/>
    <w:rsid w:val="61083F00"/>
    <w:rsid w:val="610B5E94"/>
    <w:rsid w:val="61103FDF"/>
    <w:rsid w:val="61136B1C"/>
    <w:rsid w:val="611459FB"/>
    <w:rsid w:val="61277194"/>
    <w:rsid w:val="612B0567"/>
    <w:rsid w:val="61373744"/>
    <w:rsid w:val="61383277"/>
    <w:rsid w:val="61413CED"/>
    <w:rsid w:val="61416067"/>
    <w:rsid w:val="61465EDC"/>
    <w:rsid w:val="61542096"/>
    <w:rsid w:val="615A7100"/>
    <w:rsid w:val="616146EB"/>
    <w:rsid w:val="61716869"/>
    <w:rsid w:val="617234CA"/>
    <w:rsid w:val="6174154F"/>
    <w:rsid w:val="617F50D8"/>
    <w:rsid w:val="61807958"/>
    <w:rsid w:val="618D0666"/>
    <w:rsid w:val="618E6274"/>
    <w:rsid w:val="619B141F"/>
    <w:rsid w:val="61A23A0E"/>
    <w:rsid w:val="61A31BC8"/>
    <w:rsid w:val="61A34ACC"/>
    <w:rsid w:val="61A41DAE"/>
    <w:rsid w:val="61A920B8"/>
    <w:rsid w:val="61B52CA7"/>
    <w:rsid w:val="61BA2424"/>
    <w:rsid w:val="61BE1E74"/>
    <w:rsid w:val="61C53D2D"/>
    <w:rsid w:val="61CF1E84"/>
    <w:rsid w:val="61EB6983"/>
    <w:rsid w:val="61F24C1C"/>
    <w:rsid w:val="61FA7702"/>
    <w:rsid w:val="61FD5969"/>
    <w:rsid w:val="61FE26E5"/>
    <w:rsid w:val="620C6E8D"/>
    <w:rsid w:val="620D2D07"/>
    <w:rsid w:val="621B3D6F"/>
    <w:rsid w:val="622F6BEF"/>
    <w:rsid w:val="62374A27"/>
    <w:rsid w:val="62412AE3"/>
    <w:rsid w:val="624729BB"/>
    <w:rsid w:val="624E11E6"/>
    <w:rsid w:val="6264315B"/>
    <w:rsid w:val="626446C0"/>
    <w:rsid w:val="626C1DB6"/>
    <w:rsid w:val="626D1D8F"/>
    <w:rsid w:val="627562B1"/>
    <w:rsid w:val="62796974"/>
    <w:rsid w:val="627D49AC"/>
    <w:rsid w:val="627D570A"/>
    <w:rsid w:val="62825182"/>
    <w:rsid w:val="628F6237"/>
    <w:rsid w:val="62966B81"/>
    <w:rsid w:val="62993EA8"/>
    <w:rsid w:val="629A16AB"/>
    <w:rsid w:val="629D4565"/>
    <w:rsid w:val="62A30384"/>
    <w:rsid w:val="62A32CF8"/>
    <w:rsid w:val="62B14227"/>
    <w:rsid w:val="62B14B18"/>
    <w:rsid w:val="62C16CA7"/>
    <w:rsid w:val="62D8796C"/>
    <w:rsid w:val="62E81B3C"/>
    <w:rsid w:val="62F52C8E"/>
    <w:rsid w:val="62F52F09"/>
    <w:rsid w:val="6304274F"/>
    <w:rsid w:val="6304387D"/>
    <w:rsid w:val="63192EF1"/>
    <w:rsid w:val="631A61B6"/>
    <w:rsid w:val="632E2539"/>
    <w:rsid w:val="63347B6E"/>
    <w:rsid w:val="633B27AB"/>
    <w:rsid w:val="634614B6"/>
    <w:rsid w:val="634968EB"/>
    <w:rsid w:val="63597EEB"/>
    <w:rsid w:val="636043CF"/>
    <w:rsid w:val="6369543D"/>
    <w:rsid w:val="636A0038"/>
    <w:rsid w:val="636F1BD1"/>
    <w:rsid w:val="63765ACE"/>
    <w:rsid w:val="63A43394"/>
    <w:rsid w:val="63C66713"/>
    <w:rsid w:val="63D53FE8"/>
    <w:rsid w:val="640C43A2"/>
    <w:rsid w:val="642B6A16"/>
    <w:rsid w:val="643A2C10"/>
    <w:rsid w:val="644901B9"/>
    <w:rsid w:val="645D1ECE"/>
    <w:rsid w:val="645F18DE"/>
    <w:rsid w:val="648E1C4C"/>
    <w:rsid w:val="649412B1"/>
    <w:rsid w:val="64A63F6C"/>
    <w:rsid w:val="64AC5835"/>
    <w:rsid w:val="64AE546C"/>
    <w:rsid w:val="64B9790A"/>
    <w:rsid w:val="64BF5BDE"/>
    <w:rsid w:val="64C2015F"/>
    <w:rsid w:val="64C76935"/>
    <w:rsid w:val="64C901C6"/>
    <w:rsid w:val="64D8463A"/>
    <w:rsid w:val="64F238C3"/>
    <w:rsid w:val="64F67A17"/>
    <w:rsid w:val="64F954D8"/>
    <w:rsid w:val="64FA046A"/>
    <w:rsid w:val="650318AB"/>
    <w:rsid w:val="65037DA3"/>
    <w:rsid w:val="650E564F"/>
    <w:rsid w:val="650F5A14"/>
    <w:rsid w:val="65180104"/>
    <w:rsid w:val="6528652B"/>
    <w:rsid w:val="65431D8D"/>
    <w:rsid w:val="65521644"/>
    <w:rsid w:val="655854B3"/>
    <w:rsid w:val="656E0578"/>
    <w:rsid w:val="657410CA"/>
    <w:rsid w:val="658E75BD"/>
    <w:rsid w:val="65911571"/>
    <w:rsid w:val="659671FB"/>
    <w:rsid w:val="65BC7650"/>
    <w:rsid w:val="65C807FF"/>
    <w:rsid w:val="65CF4715"/>
    <w:rsid w:val="65D002E1"/>
    <w:rsid w:val="65DD117A"/>
    <w:rsid w:val="65E2138C"/>
    <w:rsid w:val="65E55AF2"/>
    <w:rsid w:val="65EF42FB"/>
    <w:rsid w:val="65F44533"/>
    <w:rsid w:val="660F2BB7"/>
    <w:rsid w:val="66113B73"/>
    <w:rsid w:val="6611596F"/>
    <w:rsid w:val="661C37F2"/>
    <w:rsid w:val="661D5D77"/>
    <w:rsid w:val="66233476"/>
    <w:rsid w:val="66370584"/>
    <w:rsid w:val="663A4240"/>
    <w:rsid w:val="663D280E"/>
    <w:rsid w:val="664349A3"/>
    <w:rsid w:val="664D55A1"/>
    <w:rsid w:val="66653D64"/>
    <w:rsid w:val="666845DC"/>
    <w:rsid w:val="66967DDF"/>
    <w:rsid w:val="66A547E6"/>
    <w:rsid w:val="66C5475E"/>
    <w:rsid w:val="66C66405"/>
    <w:rsid w:val="66C73C03"/>
    <w:rsid w:val="66EA61F0"/>
    <w:rsid w:val="66EB6B42"/>
    <w:rsid w:val="66F54778"/>
    <w:rsid w:val="67131ED7"/>
    <w:rsid w:val="67163ABE"/>
    <w:rsid w:val="671D03D4"/>
    <w:rsid w:val="671D1882"/>
    <w:rsid w:val="671D5451"/>
    <w:rsid w:val="671E47CF"/>
    <w:rsid w:val="672B32ED"/>
    <w:rsid w:val="6737577F"/>
    <w:rsid w:val="67394634"/>
    <w:rsid w:val="67454727"/>
    <w:rsid w:val="6754437E"/>
    <w:rsid w:val="676D4986"/>
    <w:rsid w:val="67795EE2"/>
    <w:rsid w:val="678022EC"/>
    <w:rsid w:val="67877A54"/>
    <w:rsid w:val="67934C67"/>
    <w:rsid w:val="67997ED5"/>
    <w:rsid w:val="679C14BF"/>
    <w:rsid w:val="679C16A8"/>
    <w:rsid w:val="679F27A8"/>
    <w:rsid w:val="67C2756A"/>
    <w:rsid w:val="67C930AB"/>
    <w:rsid w:val="67CB2D4F"/>
    <w:rsid w:val="67D17741"/>
    <w:rsid w:val="67EA0191"/>
    <w:rsid w:val="68036A7B"/>
    <w:rsid w:val="68057668"/>
    <w:rsid w:val="680965A8"/>
    <w:rsid w:val="681740A3"/>
    <w:rsid w:val="68210407"/>
    <w:rsid w:val="682B0781"/>
    <w:rsid w:val="682C1D8F"/>
    <w:rsid w:val="68421172"/>
    <w:rsid w:val="68445E0D"/>
    <w:rsid w:val="684F62A3"/>
    <w:rsid w:val="68510F6F"/>
    <w:rsid w:val="685279FD"/>
    <w:rsid w:val="68535A8A"/>
    <w:rsid w:val="68552DC1"/>
    <w:rsid w:val="68723E95"/>
    <w:rsid w:val="68812E18"/>
    <w:rsid w:val="6893639F"/>
    <w:rsid w:val="6899684A"/>
    <w:rsid w:val="689F588B"/>
    <w:rsid w:val="689F5ABE"/>
    <w:rsid w:val="68A56C71"/>
    <w:rsid w:val="68AE2722"/>
    <w:rsid w:val="68AF2BC2"/>
    <w:rsid w:val="68B35FA0"/>
    <w:rsid w:val="68C22834"/>
    <w:rsid w:val="68CC029A"/>
    <w:rsid w:val="68D27F39"/>
    <w:rsid w:val="69091E49"/>
    <w:rsid w:val="690F7D35"/>
    <w:rsid w:val="691A42D9"/>
    <w:rsid w:val="691B4862"/>
    <w:rsid w:val="691E6E35"/>
    <w:rsid w:val="69212BFF"/>
    <w:rsid w:val="693C1EFC"/>
    <w:rsid w:val="693D6FEE"/>
    <w:rsid w:val="694C5000"/>
    <w:rsid w:val="695B43BD"/>
    <w:rsid w:val="69662F9B"/>
    <w:rsid w:val="69692F8F"/>
    <w:rsid w:val="6978793E"/>
    <w:rsid w:val="697F3631"/>
    <w:rsid w:val="69804BE9"/>
    <w:rsid w:val="6985310D"/>
    <w:rsid w:val="69890FB5"/>
    <w:rsid w:val="698C1E23"/>
    <w:rsid w:val="699F385A"/>
    <w:rsid w:val="69BB3A10"/>
    <w:rsid w:val="69CA7DD7"/>
    <w:rsid w:val="69CE7BDC"/>
    <w:rsid w:val="69D02BDB"/>
    <w:rsid w:val="69F258FC"/>
    <w:rsid w:val="6A165320"/>
    <w:rsid w:val="6A17107B"/>
    <w:rsid w:val="6A1C411D"/>
    <w:rsid w:val="6A1D1480"/>
    <w:rsid w:val="6A291D8B"/>
    <w:rsid w:val="6A423EBF"/>
    <w:rsid w:val="6A4C7484"/>
    <w:rsid w:val="6A4C75BE"/>
    <w:rsid w:val="6A4E209B"/>
    <w:rsid w:val="6A506ACE"/>
    <w:rsid w:val="6A5117B4"/>
    <w:rsid w:val="6A636803"/>
    <w:rsid w:val="6A675C99"/>
    <w:rsid w:val="6A6823B5"/>
    <w:rsid w:val="6A6922A3"/>
    <w:rsid w:val="6A700CB0"/>
    <w:rsid w:val="6A705B5F"/>
    <w:rsid w:val="6A7B2E3B"/>
    <w:rsid w:val="6A7F310E"/>
    <w:rsid w:val="6A87200F"/>
    <w:rsid w:val="6AAC5276"/>
    <w:rsid w:val="6AAD1542"/>
    <w:rsid w:val="6AB16B63"/>
    <w:rsid w:val="6ABF406A"/>
    <w:rsid w:val="6AD54D26"/>
    <w:rsid w:val="6AD903BC"/>
    <w:rsid w:val="6AE33C3F"/>
    <w:rsid w:val="6AE346BF"/>
    <w:rsid w:val="6B2255D9"/>
    <w:rsid w:val="6B2653CC"/>
    <w:rsid w:val="6B2B0562"/>
    <w:rsid w:val="6B36194B"/>
    <w:rsid w:val="6B3E6AF3"/>
    <w:rsid w:val="6B6868A6"/>
    <w:rsid w:val="6B6C7D8F"/>
    <w:rsid w:val="6B7074E2"/>
    <w:rsid w:val="6B790C5E"/>
    <w:rsid w:val="6B805C72"/>
    <w:rsid w:val="6B82440F"/>
    <w:rsid w:val="6B842F83"/>
    <w:rsid w:val="6B877C6F"/>
    <w:rsid w:val="6BBA0517"/>
    <w:rsid w:val="6BBE20BA"/>
    <w:rsid w:val="6BBF27EC"/>
    <w:rsid w:val="6BD83CA9"/>
    <w:rsid w:val="6BDA1BC7"/>
    <w:rsid w:val="6BEA36E9"/>
    <w:rsid w:val="6C02405D"/>
    <w:rsid w:val="6C0B49D0"/>
    <w:rsid w:val="6C110AEA"/>
    <w:rsid w:val="6C1C5C43"/>
    <w:rsid w:val="6C251A9E"/>
    <w:rsid w:val="6C253F09"/>
    <w:rsid w:val="6C2A4B74"/>
    <w:rsid w:val="6C314E22"/>
    <w:rsid w:val="6C441F00"/>
    <w:rsid w:val="6C5D3667"/>
    <w:rsid w:val="6C5E4A1C"/>
    <w:rsid w:val="6C635A8B"/>
    <w:rsid w:val="6C675AE0"/>
    <w:rsid w:val="6C825018"/>
    <w:rsid w:val="6C853729"/>
    <w:rsid w:val="6C8F4EAF"/>
    <w:rsid w:val="6C977695"/>
    <w:rsid w:val="6C98359B"/>
    <w:rsid w:val="6CA220C7"/>
    <w:rsid w:val="6CA729D7"/>
    <w:rsid w:val="6CAE542C"/>
    <w:rsid w:val="6CB75A85"/>
    <w:rsid w:val="6CCD3400"/>
    <w:rsid w:val="6CCE7152"/>
    <w:rsid w:val="6CD025F9"/>
    <w:rsid w:val="6CD2150B"/>
    <w:rsid w:val="6CD825BB"/>
    <w:rsid w:val="6CEA544C"/>
    <w:rsid w:val="6CFA1681"/>
    <w:rsid w:val="6D0D4AC4"/>
    <w:rsid w:val="6D0E40F5"/>
    <w:rsid w:val="6D137259"/>
    <w:rsid w:val="6D18052E"/>
    <w:rsid w:val="6D1C390A"/>
    <w:rsid w:val="6D257071"/>
    <w:rsid w:val="6D376B04"/>
    <w:rsid w:val="6D426B21"/>
    <w:rsid w:val="6D4334FC"/>
    <w:rsid w:val="6D5267BC"/>
    <w:rsid w:val="6D6825C3"/>
    <w:rsid w:val="6D696798"/>
    <w:rsid w:val="6D6F48E1"/>
    <w:rsid w:val="6D721E85"/>
    <w:rsid w:val="6D73623F"/>
    <w:rsid w:val="6D9865EF"/>
    <w:rsid w:val="6D9C2C5F"/>
    <w:rsid w:val="6DA403A1"/>
    <w:rsid w:val="6DA407A4"/>
    <w:rsid w:val="6DA84577"/>
    <w:rsid w:val="6DBB79B4"/>
    <w:rsid w:val="6DC24172"/>
    <w:rsid w:val="6DC7479D"/>
    <w:rsid w:val="6DD73C42"/>
    <w:rsid w:val="6DE114BE"/>
    <w:rsid w:val="6DE81F76"/>
    <w:rsid w:val="6DED5102"/>
    <w:rsid w:val="6DF47F88"/>
    <w:rsid w:val="6DF74718"/>
    <w:rsid w:val="6E090B08"/>
    <w:rsid w:val="6E101EC4"/>
    <w:rsid w:val="6E14697C"/>
    <w:rsid w:val="6E2354F1"/>
    <w:rsid w:val="6E276428"/>
    <w:rsid w:val="6E39643D"/>
    <w:rsid w:val="6E426A1E"/>
    <w:rsid w:val="6E4270D8"/>
    <w:rsid w:val="6E4459AB"/>
    <w:rsid w:val="6E4D593F"/>
    <w:rsid w:val="6E596E12"/>
    <w:rsid w:val="6E673D53"/>
    <w:rsid w:val="6E6E2F5E"/>
    <w:rsid w:val="6E8F5CCD"/>
    <w:rsid w:val="6EA63D9B"/>
    <w:rsid w:val="6EC370FD"/>
    <w:rsid w:val="6ED450BE"/>
    <w:rsid w:val="6ED6310A"/>
    <w:rsid w:val="6ED809BE"/>
    <w:rsid w:val="6EE3260C"/>
    <w:rsid w:val="6EE47C15"/>
    <w:rsid w:val="6EEA5E1D"/>
    <w:rsid w:val="6EF05591"/>
    <w:rsid w:val="6EF315BB"/>
    <w:rsid w:val="6EF33298"/>
    <w:rsid w:val="6EF367CE"/>
    <w:rsid w:val="6F0C06A4"/>
    <w:rsid w:val="6F161F30"/>
    <w:rsid w:val="6F2175DA"/>
    <w:rsid w:val="6F2C5DCB"/>
    <w:rsid w:val="6F33052C"/>
    <w:rsid w:val="6F3616C7"/>
    <w:rsid w:val="6F3B2D52"/>
    <w:rsid w:val="6F3C2D73"/>
    <w:rsid w:val="6F402C93"/>
    <w:rsid w:val="6F6D758E"/>
    <w:rsid w:val="6F865CDE"/>
    <w:rsid w:val="6F9A10B7"/>
    <w:rsid w:val="6F9C5DD7"/>
    <w:rsid w:val="6FA65C56"/>
    <w:rsid w:val="6FB30360"/>
    <w:rsid w:val="6FBA7965"/>
    <w:rsid w:val="6FC12A6E"/>
    <w:rsid w:val="6FCC6D9C"/>
    <w:rsid w:val="6FD410FA"/>
    <w:rsid w:val="6FD769B6"/>
    <w:rsid w:val="6FE853B1"/>
    <w:rsid w:val="6FF129B2"/>
    <w:rsid w:val="6FF60350"/>
    <w:rsid w:val="7008408A"/>
    <w:rsid w:val="70107B59"/>
    <w:rsid w:val="70156F67"/>
    <w:rsid w:val="70345F80"/>
    <w:rsid w:val="7039499C"/>
    <w:rsid w:val="703C1D7F"/>
    <w:rsid w:val="704208E1"/>
    <w:rsid w:val="704D5578"/>
    <w:rsid w:val="707F29AD"/>
    <w:rsid w:val="70805D7F"/>
    <w:rsid w:val="708F47FC"/>
    <w:rsid w:val="709313E3"/>
    <w:rsid w:val="70A43592"/>
    <w:rsid w:val="70B61DB3"/>
    <w:rsid w:val="70BC66AA"/>
    <w:rsid w:val="70C132C0"/>
    <w:rsid w:val="70C60F77"/>
    <w:rsid w:val="70CA14BE"/>
    <w:rsid w:val="70D70528"/>
    <w:rsid w:val="70D8360F"/>
    <w:rsid w:val="70DB28B7"/>
    <w:rsid w:val="70F0241D"/>
    <w:rsid w:val="70FA30C6"/>
    <w:rsid w:val="710F4DDA"/>
    <w:rsid w:val="711835EE"/>
    <w:rsid w:val="712532D2"/>
    <w:rsid w:val="712855A7"/>
    <w:rsid w:val="712B36D9"/>
    <w:rsid w:val="713339BD"/>
    <w:rsid w:val="713F685E"/>
    <w:rsid w:val="714F0EC7"/>
    <w:rsid w:val="716B2405"/>
    <w:rsid w:val="71700EBA"/>
    <w:rsid w:val="71757A43"/>
    <w:rsid w:val="71846ACB"/>
    <w:rsid w:val="718714B2"/>
    <w:rsid w:val="71917886"/>
    <w:rsid w:val="719D38C1"/>
    <w:rsid w:val="719F71EF"/>
    <w:rsid w:val="71AB15FF"/>
    <w:rsid w:val="71B26A4D"/>
    <w:rsid w:val="71BA5D0F"/>
    <w:rsid w:val="71BD4513"/>
    <w:rsid w:val="71C57091"/>
    <w:rsid w:val="71CB50EE"/>
    <w:rsid w:val="71CD64A9"/>
    <w:rsid w:val="71CE06B6"/>
    <w:rsid w:val="71F63FD6"/>
    <w:rsid w:val="71FF1C02"/>
    <w:rsid w:val="72207FA0"/>
    <w:rsid w:val="722F7751"/>
    <w:rsid w:val="723758F2"/>
    <w:rsid w:val="723E6790"/>
    <w:rsid w:val="72407DC7"/>
    <w:rsid w:val="724334C2"/>
    <w:rsid w:val="724829EE"/>
    <w:rsid w:val="724B1EB6"/>
    <w:rsid w:val="727629F1"/>
    <w:rsid w:val="72A855C1"/>
    <w:rsid w:val="72BB6FE8"/>
    <w:rsid w:val="72C81605"/>
    <w:rsid w:val="72CA5336"/>
    <w:rsid w:val="72D35F8D"/>
    <w:rsid w:val="72F4373E"/>
    <w:rsid w:val="72FC3E56"/>
    <w:rsid w:val="73006C4C"/>
    <w:rsid w:val="7313373B"/>
    <w:rsid w:val="73224A50"/>
    <w:rsid w:val="73285ED8"/>
    <w:rsid w:val="73295C86"/>
    <w:rsid w:val="73307250"/>
    <w:rsid w:val="73330849"/>
    <w:rsid w:val="733765C3"/>
    <w:rsid w:val="735169F4"/>
    <w:rsid w:val="73605FEB"/>
    <w:rsid w:val="737D01FB"/>
    <w:rsid w:val="738D62DA"/>
    <w:rsid w:val="7392751E"/>
    <w:rsid w:val="73957EE4"/>
    <w:rsid w:val="73B07AC1"/>
    <w:rsid w:val="73CA52FE"/>
    <w:rsid w:val="73D4782F"/>
    <w:rsid w:val="73E22D37"/>
    <w:rsid w:val="73EE5EEA"/>
    <w:rsid w:val="73F05F31"/>
    <w:rsid w:val="74153BC7"/>
    <w:rsid w:val="74166F1C"/>
    <w:rsid w:val="74186E4F"/>
    <w:rsid w:val="742E73FB"/>
    <w:rsid w:val="7430395C"/>
    <w:rsid w:val="743B1A54"/>
    <w:rsid w:val="7441160A"/>
    <w:rsid w:val="746F6A5E"/>
    <w:rsid w:val="7473600D"/>
    <w:rsid w:val="747F2783"/>
    <w:rsid w:val="748D55E6"/>
    <w:rsid w:val="74916C5E"/>
    <w:rsid w:val="749F3E24"/>
    <w:rsid w:val="74A20795"/>
    <w:rsid w:val="74AC1B0C"/>
    <w:rsid w:val="74C16EA4"/>
    <w:rsid w:val="74C307F8"/>
    <w:rsid w:val="74CC60E9"/>
    <w:rsid w:val="74CF43DA"/>
    <w:rsid w:val="74EF5AD6"/>
    <w:rsid w:val="74F01B54"/>
    <w:rsid w:val="74F44598"/>
    <w:rsid w:val="74F662DF"/>
    <w:rsid w:val="750D5E77"/>
    <w:rsid w:val="751A4C0E"/>
    <w:rsid w:val="752238B4"/>
    <w:rsid w:val="75224794"/>
    <w:rsid w:val="752835AD"/>
    <w:rsid w:val="753F7C20"/>
    <w:rsid w:val="75427DF7"/>
    <w:rsid w:val="7550393B"/>
    <w:rsid w:val="755232C5"/>
    <w:rsid w:val="755C6656"/>
    <w:rsid w:val="756232FA"/>
    <w:rsid w:val="75625974"/>
    <w:rsid w:val="75646984"/>
    <w:rsid w:val="75681F0B"/>
    <w:rsid w:val="756A2FA8"/>
    <w:rsid w:val="75796E40"/>
    <w:rsid w:val="758031A1"/>
    <w:rsid w:val="75815850"/>
    <w:rsid w:val="75862635"/>
    <w:rsid w:val="7589134B"/>
    <w:rsid w:val="758D304D"/>
    <w:rsid w:val="75930E1E"/>
    <w:rsid w:val="75A333FE"/>
    <w:rsid w:val="75B16831"/>
    <w:rsid w:val="75C53B83"/>
    <w:rsid w:val="75C8309A"/>
    <w:rsid w:val="75CC09CD"/>
    <w:rsid w:val="75CE6A71"/>
    <w:rsid w:val="75D24AF4"/>
    <w:rsid w:val="75D6475D"/>
    <w:rsid w:val="75F12B76"/>
    <w:rsid w:val="75F879DD"/>
    <w:rsid w:val="76055879"/>
    <w:rsid w:val="76080055"/>
    <w:rsid w:val="7612462D"/>
    <w:rsid w:val="7617631A"/>
    <w:rsid w:val="761B49BF"/>
    <w:rsid w:val="76260407"/>
    <w:rsid w:val="763F7DFB"/>
    <w:rsid w:val="764F28B5"/>
    <w:rsid w:val="765224FF"/>
    <w:rsid w:val="767012DE"/>
    <w:rsid w:val="767020CE"/>
    <w:rsid w:val="76706645"/>
    <w:rsid w:val="767604C8"/>
    <w:rsid w:val="767713E8"/>
    <w:rsid w:val="76803DA2"/>
    <w:rsid w:val="76812A23"/>
    <w:rsid w:val="76B94E04"/>
    <w:rsid w:val="76C21A95"/>
    <w:rsid w:val="76C471DA"/>
    <w:rsid w:val="76CA4FDF"/>
    <w:rsid w:val="76E14963"/>
    <w:rsid w:val="76E414F3"/>
    <w:rsid w:val="76E41FA1"/>
    <w:rsid w:val="76EC5B97"/>
    <w:rsid w:val="76F0284E"/>
    <w:rsid w:val="770A7100"/>
    <w:rsid w:val="771D39CB"/>
    <w:rsid w:val="774F6D09"/>
    <w:rsid w:val="77583AFD"/>
    <w:rsid w:val="775B414B"/>
    <w:rsid w:val="775D5BE0"/>
    <w:rsid w:val="776A3822"/>
    <w:rsid w:val="778B51D6"/>
    <w:rsid w:val="77907D8B"/>
    <w:rsid w:val="779229C4"/>
    <w:rsid w:val="77B809AB"/>
    <w:rsid w:val="77C13C9E"/>
    <w:rsid w:val="77C436AD"/>
    <w:rsid w:val="77DF54B8"/>
    <w:rsid w:val="77FB6B27"/>
    <w:rsid w:val="77FC3441"/>
    <w:rsid w:val="77FC6686"/>
    <w:rsid w:val="7801724F"/>
    <w:rsid w:val="78073825"/>
    <w:rsid w:val="78274414"/>
    <w:rsid w:val="784408E7"/>
    <w:rsid w:val="78502440"/>
    <w:rsid w:val="78523ED3"/>
    <w:rsid w:val="786447A6"/>
    <w:rsid w:val="78653063"/>
    <w:rsid w:val="7871691E"/>
    <w:rsid w:val="78730FEB"/>
    <w:rsid w:val="787D01AF"/>
    <w:rsid w:val="787E0362"/>
    <w:rsid w:val="78867058"/>
    <w:rsid w:val="7889794E"/>
    <w:rsid w:val="78977C2B"/>
    <w:rsid w:val="78A22234"/>
    <w:rsid w:val="78AE253D"/>
    <w:rsid w:val="78C93BB2"/>
    <w:rsid w:val="78D52A0D"/>
    <w:rsid w:val="78E2400A"/>
    <w:rsid w:val="78EB28EF"/>
    <w:rsid w:val="78FE45CC"/>
    <w:rsid w:val="78FE5B69"/>
    <w:rsid w:val="79062A16"/>
    <w:rsid w:val="791D593C"/>
    <w:rsid w:val="791E05EC"/>
    <w:rsid w:val="791F11F1"/>
    <w:rsid w:val="794164DE"/>
    <w:rsid w:val="79446B5D"/>
    <w:rsid w:val="79447E01"/>
    <w:rsid w:val="794D7CD7"/>
    <w:rsid w:val="794F7119"/>
    <w:rsid w:val="79594A2E"/>
    <w:rsid w:val="79612869"/>
    <w:rsid w:val="79673E3A"/>
    <w:rsid w:val="796B2F74"/>
    <w:rsid w:val="79775D44"/>
    <w:rsid w:val="797F3859"/>
    <w:rsid w:val="799F0290"/>
    <w:rsid w:val="79A1066B"/>
    <w:rsid w:val="79A52478"/>
    <w:rsid w:val="79B23D15"/>
    <w:rsid w:val="79BC1885"/>
    <w:rsid w:val="79BE1CE1"/>
    <w:rsid w:val="79CD6003"/>
    <w:rsid w:val="79DB763D"/>
    <w:rsid w:val="79E04270"/>
    <w:rsid w:val="79FB7514"/>
    <w:rsid w:val="7A012099"/>
    <w:rsid w:val="7A1244D9"/>
    <w:rsid w:val="7A1E1D8A"/>
    <w:rsid w:val="7A274D00"/>
    <w:rsid w:val="7A2C655F"/>
    <w:rsid w:val="7A2F367A"/>
    <w:rsid w:val="7A3C7FE0"/>
    <w:rsid w:val="7A3D6BE7"/>
    <w:rsid w:val="7A4D36D7"/>
    <w:rsid w:val="7A4D6994"/>
    <w:rsid w:val="7A5F7A38"/>
    <w:rsid w:val="7A6E0A9F"/>
    <w:rsid w:val="7A73288D"/>
    <w:rsid w:val="7A827143"/>
    <w:rsid w:val="7A9054F5"/>
    <w:rsid w:val="7AA142A2"/>
    <w:rsid w:val="7AAA54E5"/>
    <w:rsid w:val="7AAA7F95"/>
    <w:rsid w:val="7ABC7EC9"/>
    <w:rsid w:val="7AE45114"/>
    <w:rsid w:val="7AE457F3"/>
    <w:rsid w:val="7B072685"/>
    <w:rsid w:val="7B073D71"/>
    <w:rsid w:val="7B0D4044"/>
    <w:rsid w:val="7B13242B"/>
    <w:rsid w:val="7B2B1882"/>
    <w:rsid w:val="7B3B4575"/>
    <w:rsid w:val="7B4047FC"/>
    <w:rsid w:val="7B527833"/>
    <w:rsid w:val="7B5278C3"/>
    <w:rsid w:val="7B540B13"/>
    <w:rsid w:val="7B5B507B"/>
    <w:rsid w:val="7B70311F"/>
    <w:rsid w:val="7B7155A9"/>
    <w:rsid w:val="7B751EA6"/>
    <w:rsid w:val="7B7905E9"/>
    <w:rsid w:val="7B7E58B2"/>
    <w:rsid w:val="7BB47189"/>
    <w:rsid w:val="7BB665F4"/>
    <w:rsid w:val="7BC36859"/>
    <w:rsid w:val="7BE42BE6"/>
    <w:rsid w:val="7BEB6850"/>
    <w:rsid w:val="7BED4772"/>
    <w:rsid w:val="7BED76CA"/>
    <w:rsid w:val="7BF4478D"/>
    <w:rsid w:val="7BF97E0A"/>
    <w:rsid w:val="7BFE57AD"/>
    <w:rsid w:val="7C066FB2"/>
    <w:rsid w:val="7C0A01DA"/>
    <w:rsid w:val="7C0D6F06"/>
    <w:rsid w:val="7C182C6B"/>
    <w:rsid w:val="7C375C12"/>
    <w:rsid w:val="7C3F11B7"/>
    <w:rsid w:val="7C502AB9"/>
    <w:rsid w:val="7C5A3914"/>
    <w:rsid w:val="7C5F7EE6"/>
    <w:rsid w:val="7C7C2D1E"/>
    <w:rsid w:val="7C800C2E"/>
    <w:rsid w:val="7C8B128D"/>
    <w:rsid w:val="7C992616"/>
    <w:rsid w:val="7C9A2120"/>
    <w:rsid w:val="7C9B2B06"/>
    <w:rsid w:val="7CA70630"/>
    <w:rsid w:val="7CC27D3D"/>
    <w:rsid w:val="7CCC47A6"/>
    <w:rsid w:val="7CE149FE"/>
    <w:rsid w:val="7CF05B90"/>
    <w:rsid w:val="7CF07D46"/>
    <w:rsid w:val="7CFF739B"/>
    <w:rsid w:val="7D1D27BA"/>
    <w:rsid w:val="7D200574"/>
    <w:rsid w:val="7D205354"/>
    <w:rsid w:val="7D2327F1"/>
    <w:rsid w:val="7D233E65"/>
    <w:rsid w:val="7D2D684D"/>
    <w:rsid w:val="7D33282F"/>
    <w:rsid w:val="7D3B439B"/>
    <w:rsid w:val="7D490611"/>
    <w:rsid w:val="7D9320A9"/>
    <w:rsid w:val="7DA62995"/>
    <w:rsid w:val="7DAA7AC6"/>
    <w:rsid w:val="7DAD69AE"/>
    <w:rsid w:val="7DB0658D"/>
    <w:rsid w:val="7DB7023A"/>
    <w:rsid w:val="7DBD7629"/>
    <w:rsid w:val="7DCF2E28"/>
    <w:rsid w:val="7DD300BD"/>
    <w:rsid w:val="7DE35750"/>
    <w:rsid w:val="7DF240EC"/>
    <w:rsid w:val="7DF24E9B"/>
    <w:rsid w:val="7DF2792F"/>
    <w:rsid w:val="7DF926A7"/>
    <w:rsid w:val="7DFA500F"/>
    <w:rsid w:val="7E031DA9"/>
    <w:rsid w:val="7E035C29"/>
    <w:rsid w:val="7E092753"/>
    <w:rsid w:val="7E0C30DF"/>
    <w:rsid w:val="7E14563C"/>
    <w:rsid w:val="7E156091"/>
    <w:rsid w:val="7E240781"/>
    <w:rsid w:val="7E28289C"/>
    <w:rsid w:val="7E346538"/>
    <w:rsid w:val="7E3713B9"/>
    <w:rsid w:val="7E3B363F"/>
    <w:rsid w:val="7E41539C"/>
    <w:rsid w:val="7E437109"/>
    <w:rsid w:val="7E4C0509"/>
    <w:rsid w:val="7E51412C"/>
    <w:rsid w:val="7E524885"/>
    <w:rsid w:val="7E6E5B70"/>
    <w:rsid w:val="7E7C4BAD"/>
    <w:rsid w:val="7E850508"/>
    <w:rsid w:val="7E8A7AAA"/>
    <w:rsid w:val="7E8B630F"/>
    <w:rsid w:val="7E927AE4"/>
    <w:rsid w:val="7EAB6E12"/>
    <w:rsid w:val="7EB51F95"/>
    <w:rsid w:val="7EB8164F"/>
    <w:rsid w:val="7EC10393"/>
    <w:rsid w:val="7EC307F5"/>
    <w:rsid w:val="7EC37BC9"/>
    <w:rsid w:val="7ECA19E1"/>
    <w:rsid w:val="7ED44C86"/>
    <w:rsid w:val="7EEB45C9"/>
    <w:rsid w:val="7EEC149A"/>
    <w:rsid w:val="7EF21104"/>
    <w:rsid w:val="7EFB57D1"/>
    <w:rsid w:val="7F056A2A"/>
    <w:rsid w:val="7F121D59"/>
    <w:rsid w:val="7F1658CD"/>
    <w:rsid w:val="7F1F7770"/>
    <w:rsid w:val="7F2D4D50"/>
    <w:rsid w:val="7F2D7306"/>
    <w:rsid w:val="7F3560C0"/>
    <w:rsid w:val="7F4255CC"/>
    <w:rsid w:val="7F573D32"/>
    <w:rsid w:val="7F5A6E22"/>
    <w:rsid w:val="7F6A3F19"/>
    <w:rsid w:val="7F9160D8"/>
    <w:rsid w:val="7FA32FCF"/>
    <w:rsid w:val="7FAA1C52"/>
    <w:rsid w:val="7FAE3045"/>
    <w:rsid w:val="7FB449BA"/>
    <w:rsid w:val="7FB82A69"/>
    <w:rsid w:val="7FC63A38"/>
    <w:rsid w:val="7FED0EF3"/>
    <w:rsid w:val="7FF409FD"/>
    <w:rsid w:val="7FFB4310"/>
    <w:rsid w:val="7FFC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table" w:styleId="6">
    <w:name w:val="Table Grid"/>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正文-公1"/>
    <w:basedOn w:val="9"/>
    <w:next w:val="10"/>
    <w:qFormat/>
    <w:uiPriority w:val="0"/>
    <w:pPr>
      <w:ind w:firstLine="200" w:firstLineChars="200"/>
    </w:pPr>
    <w:rPr>
      <w:rFonts w:ascii="Calibri" w:hAnsi="Calibri"/>
      <w:color w:val="000000"/>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无间隔1"/>
    <w:basedOn w:val="1"/>
    <w:qFormat/>
    <w:uiPriority w:val="0"/>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1383</Words>
  <Characters>1504</Characters>
  <Lines>0</Lines>
  <Paragraphs>0</Paragraphs>
  <TotalTime>16</TotalTime>
  <ScaleCrop>false</ScaleCrop>
  <LinksUpToDate>false</LinksUpToDate>
  <CharactersWithSpaces>1504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2025-04-24T02:40:00Z</dcterms:created>
  <dc:creator>104233-杨华</dc:creator>
  <cp:lastModifiedBy>124293-刘小兰</cp:lastModifiedBy>
  <dcterms:modified xsi:type="dcterms:W3CDTF">2026-02-03T06:39:01Z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5E032E4995714E80929DB2347CAC5D46</vt:lpwstr>
  </property>
  <property fmtid="{D5CDD505-2E9C-101B-9397-08002B2CF9AE}" pid="4" name="KSOTemplateDocerSaveRecord">
    <vt:lpwstr>eyJoZGlkIjoiM2UzMjkwMmYyMWI3OWQzOWJjMDFkMTVjZWQwZmQ0NmYiLCJ1c2VySWQiOiIyMDYxNjA2NjAifQ==</vt:lpwstr>
  </property>
</Properties>
</file>