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9550" w14:textId="77777777" w:rsidR="00A237CB" w:rsidRPr="000A6075" w:rsidRDefault="00A50E73" w:rsidP="000A6075">
      <w:pPr>
        <w:spacing w:line="600" w:lineRule="exact"/>
        <w:jc w:val="center"/>
        <w:rPr>
          <w:rFonts w:eastAsia="方正小标宋简体"/>
          <w:bCs/>
          <w:sz w:val="44"/>
          <w:szCs w:val="44"/>
        </w:rPr>
      </w:pPr>
      <w:r w:rsidRPr="000A6075">
        <w:rPr>
          <w:rFonts w:eastAsia="方正小标宋简体"/>
          <w:bCs/>
          <w:sz w:val="44"/>
          <w:szCs w:val="44"/>
        </w:rPr>
        <w:t>贵州桐梓农村商业银行股份有限公司关于</w:t>
      </w:r>
      <w:r w:rsidRPr="000A6075">
        <w:rPr>
          <w:rFonts w:eastAsia="方正小标宋简体"/>
          <w:bCs/>
          <w:sz w:val="44"/>
          <w:szCs w:val="44"/>
        </w:rPr>
        <w:t>202</w:t>
      </w:r>
      <w:r w:rsidRPr="000A6075">
        <w:rPr>
          <w:rFonts w:eastAsia="方正小标宋简体"/>
          <w:bCs/>
          <w:sz w:val="44"/>
          <w:szCs w:val="44"/>
        </w:rPr>
        <w:t>5</w:t>
      </w:r>
      <w:r w:rsidRPr="000A6075">
        <w:rPr>
          <w:rFonts w:eastAsia="方正小标宋简体"/>
          <w:bCs/>
          <w:sz w:val="44"/>
          <w:szCs w:val="44"/>
        </w:rPr>
        <w:t>年</w:t>
      </w:r>
      <w:r w:rsidRPr="000A6075">
        <w:rPr>
          <w:rFonts w:eastAsia="方正小标宋简体"/>
          <w:bCs/>
          <w:sz w:val="44"/>
          <w:szCs w:val="44"/>
        </w:rPr>
        <w:t>第</w:t>
      </w:r>
      <w:r w:rsidRPr="000A6075">
        <w:rPr>
          <w:rFonts w:eastAsia="方正小标宋简体"/>
          <w:bCs/>
          <w:sz w:val="44"/>
          <w:szCs w:val="44"/>
        </w:rPr>
        <w:t>四</w:t>
      </w:r>
      <w:r w:rsidRPr="000A6075">
        <w:rPr>
          <w:rFonts w:eastAsia="方正小标宋简体"/>
          <w:bCs/>
          <w:sz w:val="44"/>
          <w:szCs w:val="44"/>
        </w:rPr>
        <w:t>季度</w:t>
      </w:r>
      <w:r w:rsidRPr="000A6075">
        <w:rPr>
          <w:rFonts w:eastAsia="方正小标宋简体"/>
          <w:bCs/>
          <w:sz w:val="44"/>
          <w:szCs w:val="44"/>
        </w:rPr>
        <w:t>关联交易情况</w:t>
      </w:r>
      <w:r w:rsidRPr="000A6075">
        <w:rPr>
          <w:rFonts w:eastAsia="方正小标宋简体"/>
          <w:bCs/>
          <w:sz w:val="44"/>
          <w:szCs w:val="44"/>
        </w:rPr>
        <w:t>信息</w:t>
      </w:r>
    </w:p>
    <w:p w14:paraId="1AE0D49D" w14:textId="77777777" w:rsidR="00A237CB" w:rsidRPr="000A6075" w:rsidRDefault="00A50E73" w:rsidP="000A6075">
      <w:pPr>
        <w:spacing w:line="600" w:lineRule="exact"/>
        <w:jc w:val="center"/>
        <w:rPr>
          <w:rFonts w:eastAsia="方正小标宋简体"/>
          <w:bCs/>
          <w:sz w:val="44"/>
          <w:szCs w:val="44"/>
        </w:rPr>
      </w:pPr>
      <w:r w:rsidRPr="000A6075">
        <w:rPr>
          <w:rFonts w:eastAsia="方正小标宋简体"/>
          <w:bCs/>
          <w:sz w:val="44"/>
          <w:szCs w:val="44"/>
        </w:rPr>
        <w:t>披露</w:t>
      </w:r>
      <w:r w:rsidRPr="000A6075">
        <w:rPr>
          <w:rFonts w:eastAsia="方正小标宋简体"/>
          <w:bCs/>
          <w:sz w:val="44"/>
          <w:szCs w:val="44"/>
        </w:rPr>
        <w:t>报告</w:t>
      </w:r>
    </w:p>
    <w:p w14:paraId="3E494781" w14:textId="77777777" w:rsidR="00A237CB" w:rsidRDefault="00A237CB" w:rsidP="000A6075">
      <w:pPr>
        <w:spacing w:line="600" w:lineRule="exact"/>
      </w:pPr>
    </w:p>
    <w:p w14:paraId="0E53DB15" w14:textId="77777777" w:rsidR="001C406E" w:rsidRDefault="00A50E73" w:rsidP="001C406E">
      <w:pPr>
        <w:spacing w:line="600" w:lineRule="exact"/>
        <w:ind w:firstLineChars="200" w:firstLine="640"/>
        <w:rPr>
          <w:szCs w:val="32"/>
        </w:rPr>
      </w:pPr>
      <w:r w:rsidRPr="000A6075">
        <w:rPr>
          <w:szCs w:val="32"/>
        </w:rPr>
        <w:t>根据银保监会《银行保险机构关联交易管理办法》相关规定，现将</w:t>
      </w:r>
      <w:r w:rsidRPr="000A6075">
        <w:rPr>
          <w:szCs w:val="32"/>
        </w:rPr>
        <w:t>202</w:t>
      </w:r>
      <w:r w:rsidRPr="000A6075">
        <w:rPr>
          <w:szCs w:val="32"/>
        </w:rPr>
        <w:t>5</w:t>
      </w:r>
      <w:r w:rsidRPr="000A6075">
        <w:rPr>
          <w:szCs w:val="32"/>
        </w:rPr>
        <w:t>年第</w:t>
      </w:r>
      <w:r w:rsidRPr="000A6075">
        <w:rPr>
          <w:szCs w:val="32"/>
        </w:rPr>
        <w:t>四</w:t>
      </w:r>
      <w:r w:rsidRPr="000A6075">
        <w:rPr>
          <w:szCs w:val="32"/>
        </w:rPr>
        <w:t>季度关联交易披露如下：</w:t>
      </w:r>
    </w:p>
    <w:p w14:paraId="343BFB9C" w14:textId="42086854" w:rsidR="00A237CB" w:rsidRPr="001C406E" w:rsidRDefault="001C406E" w:rsidP="001C406E">
      <w:pPr>
        <w:spacing w:line="600" w:lineRule="exact"/>
        <w:ind w:firstLineChars="200" w:firstLine="640"/>
        <w:rPr>
          <w:szCs w:val="32"/>
        </w:rPr>
      </w:pPr>
      <w:r w:rsidRPr="001C406E">
        <w:rPr>
          <w:rFonts w:ascii="黑体" w:eastAsia="黑体" w:hAnsi="黑体" w:hint="eastAsia"/>
          <w:szCs w:val="32"/>
        </w:rPr>
        <w:t>一、</w:t>
      </w:r>
      <w:r w:rsidR="00A50E73" w:rsidRPr="001C406E">
        <w:rPr>
          <w:rFonts w:eastAsia="黑体"/>
          <w:szCs w:val="32"/>
        </w:rPr>
        <w:t>关联交易总体情况</w:t>
      </w:r>
    </w:p>
    <w:p w14:paraId="7C30647D" w14:textId="77777777" w:rsidR="00A237CB" w:rsidRPr="000A6075" w:rsidRDefault="00A50E73" w:rsidP="000A6075">
      <w:pPr>
        <w:spacing w:line="600" w:lineRule="exact"/>
        <w:ind w:firstLineChars="200" w:firstLine="640"/>
        <w:rPr>
          <w:szCs w:val="32"/>
        </w:rPr>
      </w:pPr>
      <w:r w:rsidRPr="000A6075">
        <w:rPr>
          <w:szCs w:val="32"/>
        </w:rPr>
        <w:t>截至</w:t>
      </w:r>
      <w:r w:rsidRPr="000A6075">
        <w:rPr>
          <w:szCs w:val="32"/>
        </w:rPr>
        <w:t>202</w:t>
      </w:r>
      <w:r w:rsidRPr="000A6075">
        <w:rPr>
          <w:szCs w:val="32"/>
        </w:rPr>
        <w:t>5</w:t>
      </w:r>
      <w:r w:rsidRPr="000A6075">
        <w:rPr>
          <w:szCs w:val="32"/>
        </w:rPr>
        <w:t>年</w:t>
      </w:r>
      <w:r w:rsidRPr="000A6075">
        <w:rPr>
          <w:szCs w:val="32"/>
        </w:rPr>
        <w:t>12</w:t>
      </w:r>
      <w:r w:rsidRPr="000A6075">
        <w:rPr>
          <w:szCs w:val="32"/>
        </w:rPr>
        <w:t>月末，本行关联</w:t>
      </w:r>
      <w:r w:rsidRPr="000A6075">
        <w:rPr>
          <w:szCs w:val="32"/>
        </w:rPr>
        <w:t>方</w:t>
      </w:r>
      <w:r w:rsidRPr="000A6075">
        <w:rPr>
          <w:szCs w:val="32"/>
        </w:rPr>
        <w:t>授信客户数</w:t>
      </w:r>
      <w:r w:rsidRPr="000A6075">
        <w:rPr>
          <w:szCs w:val="32"/>
        </w:rPr>
        <w:t>62</w:t>
      </w:r>
      <w:r w:rsidRPr="000A6075">
        <w:rPr>
          <w:szCs w:val="32"/>
        </w:rPr>
        <w:t>户，授信</w:t>
      </w:r>
      <w:r w:rsidRPr="000A6075">
        <w:rPr>
          <w:szCs w:val="32"/>
        </w:rPr>
        <w:t>类关联交易</w:t>
      </w:r>
      <w:r w:rsidRPr="000A6075">
        <w:rPr>
          <w:szCs w:val="32"/>
        </w:rPr>
        <w:t>额度为</w:t>
      </w:r>
      <w:r w:rsidRPr="000A6075">
        <w:rPr>
          <w:szCs w:val="32"/>
        </w:rPr>
        <w:t>9958.51</w:t>
      </w:r>
      <w:r w:rsidRPr="000A6075">
        <w:rPr>
          <w:szCs w:val="32"/>
        </w:rPr>
        <w:t>万元，占上季度末资本净额</w:t>
      </w:r>
      <w:r w:rsidRPr="000A6075">
        <w:rPr>
          <w:szCs w:val="32"/>
        </w:rPr>
        <w:t>（</w:t>
      </w:r>
      <w:r w:rsidRPr="000A6075">
        <w:rPr>
          <w:szCs w:val="32"/>
        </w:rPr>
        <w:t>128653.76</w:t>
      </w:r>
      <w:r w:rsidRPr="000A6075">
        <w:rPr>
          <w:szCs w:val="32"/>
        </w:rPr>
        <w:t>万元</w:t>
      </w:r>
      <w:r w:rsidRPr="000A6075">
        <w:rPr>
          <w:szCs w:val="32"/>
        </w:rPr>
        <w:t>）</w:t>
      </w:r>
      <w:r w:rsidRPr="000A6075">
        <w:rPr>
          <w:szCs w:val="32"/>
        </w:rPr>
        <w:t>的</w:t>
      </w:r>
      <w:r w:rsidRPr="000A6075">
        <w:rPr>
          <w:szCs w:val="32"/>
        </w:rPr>
        <w:t>7.74</w:t>
      </w:r>
      <w:r w:rsidRPr="000A6075">
        <w:rPr>
          <w:szCs w:val="32"/>
        </w:rPr>
        <w:t>%</w:t>
      </w:r>
      <w:r w:rsidRPr="000A6075">
        <w:rPr>
          <w:szCs w:val="32"/>
        </w:rPr>
        <w:t>，</w:t>
      </w:r>
      <w:r w:rsidRPr="000A6075">
        <w:rPr>
          <w:szCs w:val="32"/>
        </w:rPr>
        <w:t>关联方非授信客户数</w:t>
      </w:r>
      <w:r w:rsidRPr="000A6075">
        <w:rPr>
          <w:szCs w:val="32"/>
        </w:rPr>
        <w:t>76</w:t>
      </w:r>
      <w:r w:rsidRPr="000A6075">
        <w:rPr>
          <w:szCs w:val="32"/>
        </w:rPr>
        <w:t>户，非授信类关联交易额度</w:t>
      </w:r>
      <w:r w:rsidRPr="000A6075">
        <w:rPr>
          <w:szCs w:val="32"/>
        </w:rPr>
        <w:t>1906.59</w:t>
      </w:r>
      <w:r w:rsidRPr="000A6075">
        <w:rPr>
          <w:szCs w:val="32"/>
        </w:rPr>
        <w:t>万元，占上季度末资本净额</w:t>
      </w:r>
      <w:r w:rsidRPr="000A6075">
        <w:rPr>
          <w:szCs w:val="32"/>
        </w:rPr>
        <w:t>（</w:t>
      </w:r>
      <w:r w:rsidRPr="000A6075">
        <w:rPr>
          <w:szCs w:val="32"/>
        </w:rPr>
        <w:t>128653.76</w:t>
      </w:r>
      <w:r w:rsidRPr="000A6075">
        <w:rPr>
          <w:szCs w:val="32"/>
        </w:rPr>
        <w:t>万元</w:t>
      </w:r>
      <w:r w:rsidRPr="000A6075">
        <w:rPr>
          <w:szCs w:val="32"/>
        </w:rPr>
        <w:t>）</w:t>
      </w:r>
      <w:r w:rsidRPr="000A6075">
        <w:rPr>
          <w:szCs w:val="32"/>
        </w:rPr>
        <w:t>的</w:t>
      </w:r>
      <w:r w:rsidRPr="000A6075">
        <w:rPr>
          <w:szCs w:val="32"/>
        </w:rPr>
        <w:t>1.48%</w:t>
      </w:r>
      <w:r w:rsidRPr="000A6075">
        <w:rPr>
          <w:szCs w:val="32"/>
        </w:rPr>
        <w:t>。</w:t>
      </w:r>
      <w:r w:rsidRPr="000A6075">
        <w:rPr>
          <w:szCs w:val="32"/>
        </w:rPr>
        <w:t>全部关联度未超过资本净额的</w:t>
      </w:r>
      <w:r w:rsidRPr="000A6075">
        <w:rPr>
          <w:szCs w:val="32"/>
        </w:rPr>
        <w:t>50%</w:t>
      </w:r>
      <w:r w:rsidRPr="000A6075">
        <w:rPr>
          <w:szCs w:val="32"/>
        </w:rPr>
        <w:t>。</w:t>
      </w:r>
    </w:p>
    <w:p w14:paraId="678C00ED" w14:textId="77777777" w:rsidR="00A237CB" w:rsidRPr="000A6075" w:rsidRDefault="00A50E73" w:rsidP="000A6075">
      <w:pPr>
        <w:spacing w:line="600" w:lineRule="exact"/>
        <w:ind w:firstLineChars="200" w:firstLine="640"/>
        <w:rPr>
          <w:szCs w:val="32"/>
        </w:rPr>
      </w:pPr>
      <w:r w:rsidRPr="000A6075">
        <w:rPr>
          <w:szCs w:val="32"/>
        </w:rPr>
        <w:t>其中：</w:t>
      </w:r>
      <w:r w:rsidRPr="000A6075">
        <w:rPr>
          <w:szCs w:val="32"/>
        </w:rPr>
        <w:t>授信类</w:t>
      </w:r>
      <w:r w:rsidRPr="000A6075">
        <w:rPr>
          <w:szCs w:val="32"/>
        </w:rPr>
        <w:t>关联自然人客户</w:t>
      </w:r>
      <w:r w:rsidRPr="000A6075">
        <w:rPr>
          <w:szCs w:val="32"/>
        </w:rPr>
        <w:t>120</w:t>
      </w:r>
      <w:r w:rsidRPr="000A6075">
        <w:rPr>
          <w:szCs w:val="32"/>
        </w:rPr>
        <w:t>户，授信</w:t>
      </w:r>
      <w:r w:rsidRPr="000A6075">
        <w:rPr>
          <w:szCs w:val="32"/>
        </w:rPr>
        <w:t>类</w:t>
      </w:r>
      <w:r w:rsidRPr="000A6075">
        <w:rPr>
          <w:szCs w:val="32"/>
        </w:rPr>
        <w:t>总额</w:t>
      </w:r>
      <w:r w:rsidRPr="000A6075">
        <w:rPr>
          <w:szCs w:val="32"/>
        </w:rPr>
        <w:t>1558.51</w:t>
      </w:r>
      <w:r w:rsidRPr="000A6075">
        <w:rPr>
          <w:szCs w:val="32"/>
        </w:rPr>
        <w:t>万元，占上季度末资本净额的</w:t>
      </w:r>
      <w:r w:rsidRPr="000A6075">
        <w:rPr>
          <w:szCs w:val="32"/>
        </w:rPr>
        <w:t>1.21</w:t>
      </w:r>
      <w:r w:rsidRPr="000A6075">
        <w:rPr>
          <w:szCs w:val="32"/>
        </w:rPr>
        <w:t>%</w:t>
      </w:r>
      <w:r w:rsidRPr="000A6075">
        <w:rPr>
          <w:szCs w:val="32"/>
        </w:rPr>
        <w:t>；</w:t>
      </w:r>
      <w:r w:rsidRPr="000A6075">
        <w:rPr>
          <w:szCs w:val="32"/>
        </w:rPr>
        <w:t>非授信类关联自然人客户</w:t>
      </w:r>
      <w:r w:rsidRPr="000A6075">
        <w:rPr>
          <w:szCs w:val="32"/>
        </w:rPr>
        <w:t>76</w:t>
      </w:r>
      <w:r w:rsidRPr="000A6075">
        <w:rPr>
          <w:szCs w:val="32"/>
        </w:rPr>
        <w:t>户，非授信类总额</w:t>
      </w:r>
      <w:r w:rsidRPr="000A6075">
        <w:rPr>
          <w:szCs w:val="32"/>
        </w:rPr>
        <w:t>1906.59</w:t>
      </w:r>
      <w:r w:rsidRPr="000A6075">
        <w:rPr>
          <w:szCs w:val="32"/>
        </w:rPr>
        <w:t>万元，</w:t>
      </w:r>
      <w:r w:rsidRPr="000A6075">
        <w:rPr>
          <w:szCs w:val="32"/>
        </w:rPr>
        <w:t>占上季度末资本净额的</w:t>
      </w:r>
      <w:r w:rsidRPr="000A6075">
        <w:rPr>
          <w:szCs w:val="32"/>
        </w:rPr>
        <w:t>1.48</w:t>
      </w:r>
      <w:r w:rsidRPr="000A6075">
        <w:rPr>
          <w:szCs w:val="32"/>
        </w:rPr>
        <w:t>%</w:t>
      </w:r>
      <w:r w:rsidRPr="000A6075">
        <w:rPr>
          <w:szCs w:val="32"/>
        </w:rPr>
        <w:t>；法人关联客户</w:t>
      </w:r>
      <w:r w:rsidRPr="000A6075">
        <w:rPr>
          <w:szCs w:val="32"/>
        </w:rPr>
        <w:t>3</w:t>
      </w:r>
      <w:r w:rsidRPr="000A6075">
        <w:rPr>
          <w:szCs w:val="32"/>
        </w:rPr>
        <w:t>户，授信</w:t>
      </w:r>
      <w:r w:rsidRPr="000A6075">
        <w:rPr>
          <w:szCs w:val="32"/>
        </w:rPr>
        <w:t>类</w:t>
      </w:r>
      <w:r w:rsidRPr="000A6075">
        <w:rPr>
          <w:szCs w:val="32"/>
        </w:rPr>
        <w:t>总额</w:t>
      </w:r>
      <w:r w:rsidRPr="000A6075">
        <w:rPr>
          <w:szCs w:val="32"/>
        </w:rPr>
        <w:t>8400</w:t>
      </w:r>
      <w:r w:rsidRPr="000A6075">
        <w:rPr>
          <w:szCs w:val="32"/>
        </w:rPr>
        <w:t>万元，占上季度末资本净额的</w:t>
      </w:r>
      <w:r w:rsidRPr="000A6075">
        <w:rPr>
          <w:szCs w:val="32"/>
        </w:rPr>
        <w:t>6.</w:t>
      </w:r>
      <w:r w:rsidRPr="000A6075">
        <w:rPr>
          <w:szCs w:val="32"/>
        </w:rPr>
        <w:t>53</w:t>
      </w:r>
      <w:r w:rsidRPr="000A6075">
        <w:rPr>
          <w:szCs w:val="32"/>
        </w:rPr>
        <w:t>%</w:t>
      </w:r>
      <w:r w:rsidRPr="000A6075">
        <w:rPr>
          <w:szCs w:val="32"/>
        </w:rPr>
        <w:t>。最大单个关联方授信余额为</w:t>
      </w:r>
      <w:r w:rsidRPr="000A6075">
        <w:rPr>
          <w:szCs w:val="32"/>
        </w:rPr>
        <w:t>4900</w:t>
      </w:r>
      <w:r w:rsidRPr="000A6075">
        <w:rPr>
          <w:szCs w:val="32"/>
        </w:rPr>
        <w:t>万元，占上季度末资本净额的</w:t>
      </w:r>
      <w:r w:rsidRPr="000A6075">
        <w:rPr>
          <w:szCs w:val="32"/>
        </w:rPr>
        <w:t>3.81</w:t>
      </w:r>
      <w:r w:rsidRPr="000A6075">
        <w:rPr>
          <w:szCs w:val="32"/>
        </w:rPr>
        <w:t>%</w:t>
      </w:r>
      <w:r w:rsidRPr="000A6075">
        <w:rPr>
          <w:szCs w:val="32"/>
        </w:rPr>
        <w:t>，未超过资本净额的</w:t>
      </w:r>
      <w:r w:rsidRPr="000A6075">
        <w:rPr>
          <w:szCs w:val="32"/>
        </w:rPr>
        <w:t>10%</w:t>
      </w:r>
      <w:r w:rsidRPr="000A6075">
        <w:rPr>
          <w:szCs w:val="32"/>
        </w:rPr>
        <w:t>；最大单个关联方集团客户授信余额为</w:t>
      </w:r>
      <w:r w:rsidRPr="000A6075">
        <w:rPr>
          <w:szCs w:val="32"/>
        </w:rPr>
        <w:t>8400</w:t>
      </w:r>
      <w:r w:rsidRPr="000A6075">
        <w:rPr>
          <w:szCs w:val="32"/>
        </w:rPr>
        <w:t>万元，占上季度末资本净额的</w:t>
      </w:r>
      <w:r w:rsidRPr="000A6075">
        <w:rPr>
          <w:szCs w:val="32"/>
        </w:rPr>
        <w:t>6.53</w:t>
      </w:r>
      <w:r w:rsidRPr="000A6075">
        <w:rPr>
          <w:szCs w:val="32"/>
        </w:rPr>
        <w:t>%</w:t>
      </w:r>
      <w:r w:rsidRPr="000A6075">
        <w:rPr>
          <w:szCs w:val="32"/>
        </w:rPr>
        <w:t>，未超过资本净额的</w:t>
      </w:r>
      <w:r w:rsidRPr="000A6075">
        <w:rPr>
          <w:szCs w:val="32"/>
        </w:rPr>
        <w:t>15%</w:t>
      </w:r>
      <w:r w:rsidRPr="000A6075">
        <w:rPr>
          <w:szCs w:val="32"/>
        </w:rPr>
        <w:t>，均符合监管要求。</w:t>
      </w:r>
    </w:p>
    <w:p w14:paraId="010C6522" w14:textId="77777777" w:rsidR="00A237CB" w:rsidRPr="000A6075" w:rsidRDefault="00A50E73" w:rsidP="000A6075">
      <w:pPr>
        <w:pStyle w:val="a0"/>
        <w:spacing w:line="600" w:lineRule="exact"/>
        <w:ind w:left="640" w:firstLine="200"/>
        <w:rPr>
          <w:rFonts w:eastAsia="黑体"/>
          <w:szCs w:val="32"/>
        </w:rPr>
      </w:pPr>
      <w:r w:rsidRPr="000A6075">
        <w:rPr>
          <w:rFonts w:eastAsia="黑体"/>
          <w:szCs w:val="32"/>
        </w:rPr>
        <w:t>二、一般关联交易情况</w:t>
      </w:r>
    </w:p>
    <w:p w14:paraId="53908571" w14:textId="77777777" w:rsidR="00A237CB" w:rsidRPr="000A6075" w:rsidRDefault="00A50E73" w:rsidP="000A6075">
      <w:pPr>
        <w:spacing w:line="600" w:lineRule="exact"/>
        <w:ind w:firstLineChars="200" w:firstLine="640"/>
        <w:jc w:val="left"/>
        <w:rPr>
          <w:szCs w:val="32"/>
        </w:rPr>
      </w:pPr>
      <w:r w:rsidRPr="000A6075">
        <w:rPr>
          <w:szCs w:val="32"/>
        </w:rPr>
        <w:lastRenderedPageBreak/>
        <w:t>202</w:t>
      </w:r>
      <w:r w:rsidRPr="000A6075">
        <w:rPr>
          <w:szCs w:val="32"/>
        </w:rPr>
        <w:t>5</w:t>
      </w:r>
      <w:r w:rsidRPr="000A6075">
        <w:rPr>
          <w:szCs w:val="32"/>
        </w:rPr>
        <w:t>年</w:t>
      </w:r>
      <w:r w:rsidRPr="000A6075">
        <w:rPr>
          <w:szCs w:val="32"/>
        </w:rPr>
        <w:t>第</w:t>
      </w:r>
      <w:r w:rsidRPr="000A6075">
        <w:rPr>
          <w:szCs w:val="32"/>
        </w:rPr>
        <w:t>四</w:t>
      </w:r>
      <w:r w:rsidRPr="000A6075">
        <w:rPr>
          <w:szCs w:val="32"/>
        </w:rPr>
        <w:t>季度</w:t>
      </w:r>
      <w:r w:rsidRPr="000A6075">
        <w:rPr>
          <w:szCs w:val="32"/>
        </w:rPr>
        <w:t>，</w:t>
      </w:r>
      <w:r w:rsidRPr="000A6075">
        <w:rPr>
          <w:szCs w:val="32"/>
        </w:rPr>
        <w:t>桐梓农商银行</w:t>
      </w:r>
      <w:r w:rsidRPr="000A6075">
        <w:rPr>
          <w:szCs w:val="32"/>
        </w:rPr>
        <w:t>与关联方的交易遵守法律法规和有关监管规定，遵循诚信、公允的原则。</w:t>
      </w:r>
      <w:r w:rsidRPr="000A6075">
        <w:rPr>
          <w:szCs w:val="32"/>
        </w:rPr>
        <w:t xml:space="preserve"> </w:t>
      </w:r>
    </w:p>
    <w:p w14:paraId="6A5C33D0" w14:textId="77777777" w:rsidR="00A237CB" w:rsidRPr="00A27A9A" w:rsidRDefault="00A50E73" w:rsidP="00A27A9A">
      <w:pPr>
        <w:spacing w:line="600" w:lineRule="exact"/>
        <w:ind w:right="210" w:firstLineChars="200" w:firstLine="420"/>
        <w:jc w:val="right"/>
        <w:rPr>
          <w:sz w:val="21"/>
          <w:szCs w:val="21"/>
        </w:rPr>
      </w:pPr>
      <w:r w:rsidRPr="00A27A9A">
        <w:rPr>
          <w:sz w:val="21"/>
          <w:szCs w:val="21"/>
        </w:rPr>
        <w:t>单位：人民币</w:t>
      </w:r>
      <w:r w:rsidRPr="00A27A9A">
        <w:rPr>
          <w:sz w:val="21"/>
          <w:szCs w:val="21"/>
        </w:rPr>
        <w:t xml:space="preserve"> </w:t>
      </w:r>
      <w:r w:rsidRPr="00A27A9A">
        <w:rPr>
          <w:sz w:val="21"/>
          <w:szCs w:val="21"/>
        </w:rPr>
        <w:t>万元</w:t>
      </w:r>
    </w:p>
    <w:tbl>
      <w:tblPr>
        <w:tblStyle w:val="a5"/>
        <w:tblW w:w="8364" w:type="dxa"/>
        <w:jc w:val="center"/>
        <w:tblLook w:val="04A0" w:firstRow="1" w:lastRow="0" w:firstColumn="1" w:lastColumn="0" w:noHBand="0" w:noVBand="1"/>
      </w:tblPr>
      <w:tblGrid>
        <w:gridCol w:w="4962"/>
        <w:gridCol w:w="3402"/>
      </w:tblGrid>
      <w:tr w:rsidR="00A237CB" w:rsidRPr="000A6075" w14:paraId="42598C7B" w14:textId="77777777" w:rsidTr="00F06A31">
        <w:trPr>
          <w:trHeight w:val="596"/>
          <w:jc w:val="center"/>
        </w:trPr>
        <w:tc>
          <w:tcPr>
            <w:tcW w:w="4962" w:type="dxa"/>
            <w:vAlign w:val="center"/>
          </w:tcPr>
          <w:p w14:paraId="6E3CB037" w14:textId="77777777" w:rsidR="00A237CB" w:rsidRPr="00D8546B" w:rsidRDefault="00A50E73" w:rsidP="000A6075">
            <w:pPr>
              <w:widowControl/>
              <w:spacing w:line="600" w:lineRule="exact"/>
              <w:ind w:firstLine="200"/>
              <w:jc w:val="center"/>
              <w:rPr>
                <w:rFonts w:ascii="仿宋_GB2312" w:hint="eastAsia"/>
                <w:b/>
                <w:bCs/>
                <w:sz w:val="24"/>
                <w:szCs w:val="24"/>
              </w:rPr>
            </w:pPr>
            <w:r w:rsidRPr="00D8546B">
              <w:rPr>
                <w:rFonts w:ascii="仿宋_GB2312" w:hint="eastAsia"/>
                <w:b/>
                <w:bCs/>
                <w:sz w:val="24"/>
                <w:szCs w:val="24"/>
              </w:rPr>
              <w:t>关联交易类型</w:t>
            </w:r>
          </w:p>
        </w:tc>
        <w:tc>
          <w:tcPr>
            <w:tcW w:w="3402" w:type="dxa"/>
            <w:vAlign w:val="center"/>
          </w:tcPr>
          <w:p w14:paraId="29411F46" w14:textId="77777777" w:rsidR="00A237CB" w:rsidRPr="00D8546B" w:rsidRDefault="00A50E73" w:rsidP="000A6075">
            <w:pPr>
              <w:widowControl/>
              <w:spacing w:line="600" w:lineRule="exact"/>
              <w:ind w:firstLine="200"/>
              <w:jc w:val="center"/>
              <w:rPr>
                <w:rFonts w:ascii="仿宋_GB2312" w:hint="eastAsia"/>
                <w:b/>
                <w:bCs/>
                <w:sz w:val="24"/>
                <w:szCs w:val="24"/>
              </w:rPr>
            </w:pPr>
            <w:r w:rsidRPr="00D8546B">
              <w:rPr>
                <w:rFonts w:ascii="仿宋_GB2312" w:hint="eastAsia"/>
                <w:b/>
                <w:bCs/>
                <w:sz w:val="24"/>
                <w:szCs w:val="24"/>
              </w:rPr>
              <w:t>交易金额</w:t>
            </w:r>
          </w:p>
        </w:tc>
      </w:tr>
      <w:tr w:rsidR="00A237CB" w:rsidRPr="000A6075" w14:paraId="267881A4" w14:textId="77777777" w:rsidTr="00F06A31">
        <w:trPr>
          <w:trHeight w:val="615"/>
          <w:jc w:val="center"/>
        </w:trPr>
        <w:tc>
          <w:tcPr>
            <w:tcW w:w="4962" w:type="dxa"/>
            <w:vAlign w:val="center"/>
          </w:tcPr>
          <w:p w14:paraId="006F328A" w14:textId="77777777" w:rsidR="00A237CB" w:rsidRPr="00D8546B" w:rsidRDefault="00A50E73" w:rsidP="000A6075">
            <w:pPr>
              <w:widowControl/>
              <w:spacing w:line="600" w:lineRule="exact"/>
              <w:ind w:firstLine="200"/>
              <w:jc w:val="center"/>
              <w:rPr>
                <w:rFonts w:ascii="仿宋_GB2312" w:hint="eastAsia"/>
                <w:sz w:val="24"/>
                <w:szCs w:val="24"/>
              </w:rPr>
            </w:pPr>
            <w:r w:rsidRPr="00D8546B">
              <w:rPr>
                <w:rFonts w:ascii="仿宋_GB2312" w:hint="eastAsia"/>
                <w:sz w:val="24"/>
                <w:szCs w:val="24"/>
              </w:rPr>
              <w:t>授信类关联交易</w:t>
            </w:r>
          </w:p>
        </w:tc>
        <w:tc>
          <w:tcPr>
            <w:tcW w:w="3402" w:type="dxa"/>
            <w:vAlign w:val="center"/>
          </w:tcPr>
          <w:p w14:paraId="44F2822B" w14:textId="77777777" w:rsidR="00A237CB" w:rsidRPr="00D8546B" w:rsidRDefault="00A50E73" w:rsidP="000A6075">
            <w:pPr>
              <w:widowControl/>
              <w:spacing w:line="600" w:lineRule="exact"/>
              <w:ind w:firstLine="200"/>
              <w:jc w:val="center"/>
              <w:rPr>
                <w:rFonts w:ascii="仿宋_GB2312" w:hint="eastAsia"/>
                <w:sz w:val="24"/>
                <w:szCs w:val="24"/>
              </w:rPr>
            </w:pPr>
            <w:r w:rsidRPr="00D8546B">
              <w:rPr>
                <w:rFonts w:ascii="仿宋_GB2312" w:hint="eastAsia"/>
                <w:sz w:val="24"/>
                <w:szCs w:val="24"/>
              </w:rPr>
              <w:t>405.49</w:t>
            </w:r>
          </w:p>
        </w:tc>
      </w:tr>
      <w:tr w:rsidR="00A237CB" w:rsidRPr="000A6075" w14:paraId="06EF55EA" w14:textId="77777777" w:rsidTr="00F06A31">
        <w:trPr>
          <w:trHeight w:val="633"/>
          <w:jc w:val="center"/>
        </w:trPr>
        <w:tc>
          <w:tcPr>
            <w:tcW w:w="4962" w:type="dxa"/>
            <w:vAlign w:val="center"/>
          </w:tcPr>
          <w:p w14:paraId="78124398" w14:textId="77777777" w:rsidR="00A237CB" w:rsidRPr="00D8546B" w:rsidRDefault="00A50E73" w:rsidP="000A6075">
            <w:pPr>
              <w:widowControl/>
              <w:spacing w:line="600" w:lineRule="exact"/>
              <w:ind w:firstLine="200"/>
              <w:jc w:val="center"/>
              <w:rPr>
                <w:rFonts w:ascii="仿宋_GB2312" w:hint="eastAsia"/>
                <w:sz w:val="24"/>
                <w:szCs w:val="24"/>
              </w:rPr>
            </w:pPr>
            <w:r w:rsidRPr="00D8546B">
              <w:rPr>
                <w:rFonts w:ascii="仿宋_GB2312" w:hint="eastAsia"/>
                <w:sz w:val="24"/>
                <w:szCs w:val="24"/>
              </w:rPr>
              <w:t>资产转移类关联交易</w:t>
            </w:r>
          </w:p>
        </w:tc>
        <w:tc>
          <w:tcPr>
            <w:tcW w:w="3402" w:type="dxa"/>
            <w:vAlign w:val="center"/>
          </w:tcPr>
          <w:p w14:paraId="6FB8284F" w14:textId="77777777" w:rsidR="00A237CB" w:rsidRPr="00D8546B" w:rsidRDefault="00A50E73" w:rsidP="000A6075">
            <w:pPr>
              <w:widowControl/>
              <w:spacing w:line="600" w:lineRule="exact"/>
              <w:ind w:firstLine="200"/>
              <w:jc w:val="center"/>
              <w:rPr>
                <w:rFonts w:ascii="仿宋_GB2312" w:hint="eastAsia"/>
                <w:sz w:val="24"/>
                <w:szCs w:val="24"/>
              </w:rPr>
            </w:pPr>
            <w:r w:rsidRPr="00D8546B">
              <w:rPr>
                <w:rFonts w:ascii="仿宋_GB2312" w:hint="eastAsia"/>
                <w:sz w:val="24"/>
                <w:szCs w:val="24"/>
              </w:rPr>
              <w:t>0</w:t>
            </w:r>
          </w:p>
        </w:tc>
      </w:tr>
      <w:tr w:rsidR="00A237CB" w:rsidRPr="000A6075" w14:paraId="69E45FAB" w14:textId="77777777" w:rsidTr="00F06A31">
        <w:trPr>
          <w:trHeight w:val="615"/>
          <w:jc w:val="center"/>
        </w:trPr>
        <w:tc>
          <w:tcPr>
            <w:tcW w:w="4962" w:type="dxa"/>
            <w:vAlign w:val="center"/>
          </w:tcPr>
          <w:p w14:paraId="26BFA530" w14:textId="77777777" w:rsidR="00A237CB" w:rsidRPr="00D8546B" w:rsidRDefault="00A50E73" w:rsidP="000A6075">
            <w:pPr>
              <w:widowControl/>
              <w:spacing w:line="600" w:lineRule="exact"/>
              <w:ind w:firstLine="200"/>
              <w:jc w:val="center"/>
              <w:rPr>
                <w:rFonts w:ascii="仿宋_GB2312" w:hint="eastAsia"/>
                <w:sz w:val="24"/>
                <w:szCs w:val="24"/>
              </w:rPr>
            </w:pPr>
            <w:r w:rsidRPr="00D8546B">
              <w:rPr>
                <w:rFonts w:ascii="仿宋_GB2312" w:hint="eastAsia"/>
                <w:sz w:val="24"/>
                <w:szCs w:val="24"/>
              </w:rPr>
              <w:t>服务类关联交易</w:t>
            </w:r>
          </w:p>
        </w:tc>
        <w:tc>
          <w:tcPr>
            <w:tcW w:w="3402" w:type="dxa"/>
            <w:vAlign w:val="center"/>
          </w:tcPr>
          <w:p w14:paraId="2130D83D" w14:textId="77777777" w:rsidR="00A237CB" w:rsidRPr="00D8546B" w:rsidRDefault="00A50E73" w:rsidP="000A6075">
            <w:pPr>
              <w:widowControl/>
              <w:spacing w:line="600" w:lineRule="exact"/>
              <w:ind w:firstLine="200"/>
              <w:jc w:val="center"/>
              <w:rPr>
                <w:rFonts w:ascii="仿宋_GB2312" w:hint="eastAsia"/>
                <w:sz w:val="24"/>
                <w:szCs w:val="24"/>
              </w:rPr>
            </w:pPr>
            <w:r w:rsidRPr="00D8546B">
              <w:rPr>
                <w:rFonts w:ascii="仿宋_GB2312" w:hint="eastAsia"/>
                <w:sz w:val="24"/>
                <w:szCs w:val="24"/>
              </w:rPr>
              <w:t>0</w:t>
            </w:r>
          </w:p>
        </w:tc>
      </w:tr>
      <w:tr w:rsidR="00A237CB" w:rsidRPr="000A6075" w14:paraId="4EFE2D40" w14:textId="77777777" w:rsidTr="00F06A31">
        <w:trPr>
          <w:trHeight w:val="615"/>
          <w:jc w:val="center"/>
        </w:trPr>
        <w:tc>
          <w:tcPr>
            <w:tcW w:w="4962" w:type="dxa"/>
            <w:vAlign w:val="center"/>
          </w:tcPr>
          <w:p w14:paraId="79371635" w14:textId="77777777" w:rsidR="00A237CB" w:rsidRPr="00D8546B" w:rsidRDefault="00A50E73" w:rsidP="000A6075">
            <w:pPr>
              <w:widowControl/>
              <w:spacing w:line="600" w:lineRule="exact"/>
              <w:ind w:firstLine="200"/>
              <w:jc w:val="center"/>
              <w:rPr>
                <w:rFonts w:ascii="仿宋_GB2312" w:hint="eastAsia"/>
                <w:sz w:val="24"/>
                <w:szCs w:val="24"/>
              </w:rPr>
            </w:pPr>
            <w:r w:rsidRPr="00D8546B">
              <w:rPr>
                <w:rFonts w:ascii="仿宋_GB2312" w:hint="eastAsia"/>
                <w:sz w:val="24"/>
                <w:szCs w:val="24"/>
              </w:rPr>
              <w:t>存款和其他类型关联交易</w:t>
            </w:r>
          </w:p>
        </w:tc>
        <w:tc>
          <w:tcPr>
            <w:tcW w:w="3402" w:type="dxa"/>
            <w:vAlign w:val="center"/>
          </w:tcPr>
          <w:p w14:paraId="515BEF75" w14:textId="77777777" w:rsidR="00A237CB" w:rsidRPr="00D8546B" w:rsidRDefault="00A50E73" w:rsidP="000A6075">
            <w:pPr>
              <w:widowControl/>
              <w:spacing w:line="600" w:lineRule="exact"/>
              <w:ind w:firstLine="200"/>
              <w:jc w:val="center"/>
              <w:rPr>
                <w:rFonts w:ascii="仿宋_GB2312" w:hint="eastAsia"/>
                <w:sz w:val="24"/>
                <w:szCs w:val="24"/>
              </w:rPr>
            </w:pPr>
            <w:r w:rsidRPr="00D8546B">
              <w:rPr>
                <w:rFonts w:ascii="仿宋_GB2312" w:hint="eastAsia"/>
                <w:sz w:val="24"/>
                <w:szCs w:val="24"/>
              </w:rPr>
              <w:t>0.8</w:t>
            </w:r>
          </w:p>
        </w:tc>
      </w:tr>
    </w:tbl>
    <w:p w14:paraId="370B351A" w14:textId="77777777" w:rsidR="006A6445" w:rsidRDefault="00A50E73" w:rsidP="006A6445">
      <w:pPr>
        <w:spacing w:line="600" w:lineRule="exact"/>
        <w:rPr>
          <w:szCs w:val="32"/>
        </w:rPr>
      </w:pPr>
      <w:r w:rsidRPr="000A6075">
        <w:rPr>
          <w:szCs w:val="32"/>
        </w:rPr>
        <w:t>备注</w:t>
      </w:r>
      <w:r w:rsidR="006A6445">
        <w:rPr>
          <w:rFonts w:hint="eastAsia"/>
          <w:szCs w:val="32"/>
        </w:rPr>
        <w:t>：</w:t>
      </w:r>
    </w:p>
    <w:p w14:paraId="1B0C70FB" w14:textId="77777777" w:rsidR="006A6445" w:rsidRDefault="00A50E73" w:rsidP="006A6445">
      <w:pPr>
        <w:spacing w:line="600" w:lineRule="exact"/>
        <w:ind w:firstLineChars="200" w:firstLine="640"/>
        <w:rPr>
          <w:szCs w:val="32"/>
        </w:rPr>
      </w:pPr>
      <w:r w:rsidRPr="000A6075">
        <w:rPr>
          <w:szCs w:val="32"/>
        </w:rPr>
        <w:t>协议存款、协定存款、定期存款业务原则上以签订协议时的存入本金及利息计算关联交易金额。授信类关联交易的金额数据为当季发生额。资产转移类、服务类、其他的关联交易金额为交易发生额。</w:t>
      </w:r>
    </w:p>
    <w:p w14:paraId="7B513850" w14:textId="77777777" w:rsidR="006A6445" w:rsidRDefault="00A50E73" w:rsidP="006A6445">
      <w:pPr>
        <w:spacing w:line="600" w:lineRule="exact"/>
        <w:ind w:firstLineChars="200" w:firstLine="640"/>
        <w:rPr>
          <w:szCs w:val="32"/>
        </w:rPr>
      </w:pPr>
      <w:r w:rsidRPr="000A6075">
        <w:rPr>
          <w:rFonts w:eastAsia="黑体"/>
          <w:szCs w:val="32"/>
        </w:rPr>
        <w:t>三、重大关联交易情况</w:t>
      </w:r>
    </w:p>
    <w:p w14:paraId="2098985E" w14:textId="77777777" w:rsidR="00A50E73" w:rsidRDefault="00A50E73" w:rsidP="00A50E73">
      <w:pPr>
        <w:spacing w:line="600" w:lineRule="exact"/>
        <w:ind w:firstLineChars="200" w:firstLine="640"/>
        <w:rPr>
          <w:szCs w:val="32"/>
        </w:rPr>
      </w:pPr>
      <w:r w:rsidRPr="000A6075">
        <w:rPr>
          <w:szCs w:val="32"/>
        </w:rPr>
        <w:t>本季度无重大关联交易。</w:t>
      </w:r>
    </w:p>
    <w:p w14:paraId="3C8BBD94" w14:textId="191A1F13" w:rsidR="00A237CB" w:rsidRPr="000A6075" w:rsidRDefault="00A50E73" w:rsidP="00A50E73">
      <w:pPr>
        <w:spacing w:line="600" w:lineRule="exact"/>
        <w:ind w:firstLineChars="200" w:firstLine="640"/>
        <w:rPr>
          <w:rFonts w:hint="eastAsia"/>
          <w:szCs w:val="32"/>
        </w:rPr>
      </w:pPr>
      <w:r w:rsidRPr="000A6075">
        <w:rPr>
          <w:szCs w:val="32"/>
        </w:rPr>
        <w:t>特此公告</w:t>
      </w:r>
      <w:r>
        <w:rPr>
          <w:rFonts w:hint="eastAsia"/>
          <w:szCs w:val="32"/>
        </w:rPr>
        <w:t>。</w:t>
      </w:r>
    </w:p>
    <w:p w14:paraId="57F4AD28" w14:textId="77777777" w:rsidR="00A237CB" w:rsidRPr="000A6075" w:rsidRDefault="00A237CB" w:rsidP="000A6075">
      <w:pPr>
        <w:shd w:val="clear" w:color="auto" w:fill="FFFFFF"/>
        <w:spacing w:line="600" w:lineRule="exact"/>
        <w:ind w:firstLine="200"/>
        <w:rPr>
          <w:szCs w:val="32"/>
        </w:rPr>
      </w:pPr>
    </w:p>
    <w:p w14:paraId="60A3C1EE" w14:textId="77777777" w:rsidR="00A237CB" w:rsidRPr="000A6075" w:rsidRDefault="00A237CB" w:rsidP="000A6075">
      <w:pPr>
        <w:pStyle w:val="a0"/>
        <w:spacing w:line="600" w:lineRule="exact"/>
        <w:ind w:left="640" w:firstLine="200"/>
        <w:rPr>
          <w:szCs w:val="32"/>
        </w:rPr>
      </w:pPr>
    </w:p>
    <w:p w14:paraId="05539E9B" w14:textId="77777777" w:rsidR="00A237CB" w:rsidRPr="000A6075" w:rsidRDefault="00A237CB" w:rsidP="000A6075">
      <w:pPr>
        <w:pStyle w:val="a4"/>
        <w:spacing w:line="600" w:lineRule="exact"/>
        <w:ind w:firstLine="200"/>
        <w:rPr>
          <w:rFonts w:ascii="Times New Roman" w:hAnsi="Times New Roman"/>
        </w:rPr>
      </w:pPr>
    </w:p>
    <w:p w14:paraId="73F85D4C" w14:textId="3296D46C" w:rsidR="00A237CB" w:rsidRPr="000A6075" w:rsidRDefault="00A50E73" w:rsidP="000A6075">
      <w:pPr>
        <w:shd w:val="clear" w:color="auto" w:fill="FFFFFF"/>
        <w:spacing w:line="600" w:lineRule="exact"/>
        <w:ind w:firstLine="200"/>
        <w:jc w:val="center"/>
        <w:rPr>
          <w:szCs w:val="32"/>
        </w:rPr>
      </w:pPr>
      <w:r w:rsidRPr="000A6075">
        <w:rPr>
          <w:szCs w:val="32"/>
        </w:rPr>
        <w:t xml:space="preserve">                              </w:t>
      </w:r>
      <w:r w:rsidRPr="000A6075">
        <w:rPr>
          <w:szCs w:val="32"/>
        </w:rPr>
        <w:t xml:space="preserve"> </w:t>
      </w:r>
      <w:r w:rsidR="006A6445">
        <w:rPr>
          <w:szCs w:val="32"/>
        </w:rPr>
        <w:t xml:space="preserve">   </w:t>
      </w:r>
      <w:r w:rsidRPr="000A6075">
        <w:rPr>
          <w:szCs w:val="32"/>
        </w:rPr>
        <w:t>桐梓农商银行</w:t>
      </w:r>
    </w:p>
    <w:p w14:paraId="5E8F42E1" w14:textId="7F38D4D6" w:rsidR="00A237CB" w:rsidRPr="00CC603E" w:rsidRDefault="00A50E73" w:rsidP="00CC603E">
      <w:pPr>
        <w:shd w:val="clear" w:color="auto" w:fill="FFFFFF"/>
        <w:spacing w:line="600" w:lineRule="exact"/>
        <w:ind w:firstLine="200"/>
        <w:jc w:val="right"/>
        <w:rPr>
          <w:rFonts w:hint="eastAsia"/>
          <w:szCs w:val="32"/>
        </w:rPr>
      </w:pPr>
      <w:r w:rsidRPr="000A6075">
        <w:rPr>
          <w:szCs w:val="32"/>
        </w:rPr>
        <w:t>        </w:t>
      </w:r>
      <w:r w:rsidRPr="000A6075">
        <w:rPr>
          <w:szCs w:val="32"/>
        </w:rPr>
        <w:t>2026</w:t>
      </w:r>
      <w:r w:rsidRPr="000A6075">
        <w:rPr>
          <w:szCs w:val="32"/>
        </w:rPr>
        <w:t>年</w:t>
      </w:r>
      <w:r w:rsidRPr="000A6075">
        <w:rPr>
          <w:szCs w:val="32"/>
        </w:rPr>
        <w:t>1</w:t>
      </w:r>
      <w:r w:rsidRPr="000A6075">
        <w:rPr>
          <w:szCs w:val="32"/>
        </w:rPr>
        <w:t>月</w:t>
      </w:r>
      <w:r w:rsidRPr="000A6075">
        <w:rPr>
          <w:szCs w:val="32"/>
        </w:rPr>
        <w:t>30</w:t>
      </w:r>
      <w:r w:rsidRPr="000A6075">
        <w:rPr>
          <w:szCs w:val="32"/>
        </w:rPr>
        <w:t>日</w:t>
      </w:r>
    </w:p>
    <w:sectPr w:rsidR="00A237CB" w:rsidRPr="00CC6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55E8C"/>
    <w:multiLevelType w:val="hybridMultilevel"/>
    <w:tmpl w:val="D7AC78A8"/>
    <w:lvl w:ilvl="0" w:tplc="81F4DD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D9555A"/>
    <w:multiLevelType w:val="singleLevel"/>
    <w:tmpl w:val="4ED9555A"/>
    <w:lvl w:ilvl="0">
      <w:start w:val="1"/>
      <w:numFmt w:val="chineseCounting"/>
      <w:suff w:val="nothing"/>
      <w:lvlText w:val="%1、"/>
      <w:lvlJc w:val="left"/>
      <w:pPr>
        <w:ind w:left="0" w:firstLine="0"/>
      </w:pPr>
    </w:lvl>
  </w:abstractNum>
  <w:num w:numId="1" w16cid:durableId="383915968">
    <w:abstractNumId w:val="1"/>
    <w:lvlOverride w:ilvl="0">
      <w:startOverride w:val="1"/>
    </w:lvlOverride>
  </w:num>
  <w:num w:numId="2" w16cid:durableId="50941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7187AF0"/>
    <w:rsid w:val="000A6075"/>
    <w:rsid w:val="001C406E"/>
    <w:rsid w:val="00581329"/>
    <w:rsid w:val="006A6445"/>
    <w:rsid w:val="006F4CA4"/>
    <w:rsid w:val="007B1A05"/>
    <w:rsid w:val="00A237CB"/>
    <w:rsid w:val="00A27A9A"/>
    <w:rsid w:val="00A50E73"/>
    <w:rsid w:val="00CC603E"/>
    <w:rsid w:val="00D8546B"/>
    <w:rsid w:val="00F06A31"/>
    <w:rsid w:val="10586666"/>
    <w:rsid w:val="14F110E9"/>
    <w:rsid w:val="19415893"/>
    <w:rsid w:val="1CA31503"/>
    <w:rsid w:val="2A810710"/>
    <w:rsid w:val="2FCF344C"/>
    <w:rsid w:val="33EE2714"/>
    <w:rsid w:val="34805420"/>
    <w:rsid w:val="35CA6CA9"/>
    <w:rsid w:val="37536B9D"/>
    <w:rsid w:val="3D0737F4"/>
    <w:rsid w:val="44443099"/>
    <w:rsid w:val="44820F3F"/>
    <w:rsid w:val="4A8B1C60"/>
    <w:rsid w:val="541B1A1F"/>
    <w:rsid w:val="5D6D727C"/>
    <w:rsid w:val="62A11239"/>
    <w:rsid w:val="6485628E"/>
    <w:rsid w:val="6685696B"/>
    <w:rsid w:val="67187AF0"/>
    <w:rsid w:val="6844781F"/>
    <w:rsid w:val="6CFB035A"/>
    <w:rsid w:val="6E551244"/>
    <w:rsid w:val="6ED24EED"/>
    <w:rsid w:val="726B0089"/>
    <w:rsid w:val="735123A4"/>
    <w:rsid w:val="7A3F1A81"/>
    <w:rsid w:val="7CD40DEA"/>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7D68D"/>
  <w15:docId w15:val="{85084F50-95E2-48F8-A26D-8A9A3996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仿宋_GB2312" w:hAnsi="Times New Roman" w:cs="Times New Roman"/>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uiPriority w:val="99"/>
    <w:qFormat/>
    <w:pPr>
      <w:spacing w:after="120"/>
      <w:ind w:leftChars="200" w:left="420"/>
    </w:pPr>
  </w:style>
  <w:style w:type="paragraph" w:styleId="a4">
    <w:name w:val="envelope return"/>
    <w:basedOn w:val="a"/>
    <w:qFormat/>
    <w:pPr>
      <w:snapToGrid w:val="0"/>
    </w:pPr>
    <w:rPr>
      <w:rFonts w:ascii="Arial" w:hAnsi="Arial"/>
    </w:rPr>
  </w:style>
  <w:style w:type="paragraph" w:styleId="2">
    <w:name w:val="Body Text First Indent 2"/>
    <w:basedOn w:val="a0"/>
    <w:uiPriority w:val="99"/>
    <w:qFormat/>
    <w:pPr>
      <w:ind w:firstLineChars="200" w:firstLine="420"/>
    </w:pPr>
    <w:rPr>
      <w:rFonts w:ascii="Calibri" w:hAnsi="Calibri" w:cs="Calibri"/>
      <w:szCs w:val="32"/>
    </w:rPr>
  </w:style>
  <w:style w:type="table" w:styleId="a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rsid w:val="001C40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116767-罗鸿英</cp:lastModifiedBy>
  <cp:revision>12</cp:revision>
  <dcterms:created xsi:type="dcterms:W3CDTF">2025-01-10T06:53:00Z</dcterms:created>
  <dcterms:modified xsi:type="dcterms:W3CDTF">2026-01-30T02:18:00Z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7B66CEC2A5C84040ABC5F8A161991223</vt:lpwstr>
  </property>
</Properties>
</file>