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ind w:firstLine="0" w:firstLineChars="0"/>
        <w:jc w:val="left"/>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附件2</w:t>
      </w:r>
      <w:r>
        <w:rPr>
          <w:rFonts w:hint="eastAsia" w:eastAsia="仿宋_GB2312" w:cs="Times New Roman"/>
          <w:b w:val="0"/>
          <w:bCs w:val="0"/>
          <w:sz w:val="28"/>
          <w:szCs w:val="28"/>
          <w:lang w:val="en-US" w:eastAsia="zh-CN"/>
        </w:rPr>
        <w:t>-1</w:t>
      </w:r>
      <w:r>
        <w:rPr>
          <w:rFonts w:hint="default" w:ascii="Times New Roman" w:hAnsi="Times New Roman" w:eastAsia="仿宋_GB2312" w:cs="Times New Roman"/>
          <w:b w:val="0"/>
          <w:bCs w:val="0"/>
          <w:sz w:val="28"/>
          <w:szCs w:val="28"/>
          <w:lang w:val="en-US" w:eastAsia="zh-CN"/>
        </w:rPr>
        <w:t>：</w:t>
      </w:r>
    </w:p>
    <w:p>
      <w:pPr>
        <w:spacing w:line="560" w:lineRule="exact"/>
        <w:jc w:val="center"/>
        <w:rPr>
          <w:rFonts w:hint="eastAsia" w:ascii="方正小标宋简体" w:hAnsi="方正小标宋简体" w:eastAsia="方正小标宋简体" w:cs="方正小标宋简体"/>
          <w:sz w:val="32"/>
          <w:szCs w:val="32"/>
        </w:rPr>
      </w:pPr>
      <w:commentRangeStart w:id="0"/>
      <w:r>
        <w:rPr>
          <w:rFonts w:hint="eastAsia" w:ascii="方正小标宋简体" w:hAnsi="方正小标宋简体" w:eastAsia="方正小标宋简体" w:cs="方正小标宋简体"/>
          <w:b w:val="0"/>
          <w:bCs w:val="0"/>
          <w:sz w:val="44"/>
          <w:szCs w:val="44"/>
        </w:rPr>
        <w:t>授 权 委 托 书</w:t>
      </w:r>
      <w:commentRangeEnd w:id="0"/>
      <w:r>
        <w:rPr>
          <w:rStyle w:val="7"/>
          <w:rFonts w:hint="eastAsia" w:ascii="方正小标宋简体" w:hAnsi="方正小标宋简体" w:eastAsia="方正小标宋简体" w:cs="方正小标宋简体"/>
          <w:sz w:val="44"/>
          <w:szCs w:val="44"/>
        </w:rPr>
        <w:commentReference w:id="0"/>
      </w:r>
    </w:p>
    <w:p>
      <w:pPr>
        <w:autoSpaceDE w:val="0"/>
        <w:autoSpaceDN w:val="0"/>
        <w:adjustRightInd w:val="0"/>
        <w:spacing w:line="560" w:lineRule="exact"/>
        <w:ind w:firstLine="560" w:firstLineChars="200"/>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本股东委托代理人</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参加</w:t>
      </w:r>
      <w:r>
        <w:rPr>
          <w:rFonts w:hint="eastAsia" w:eastAsia="仿宋_GB2312" w:cs="Times New Roman"/>
          <w:sz w:val="28"/>
          <w:szCs w:val="28"/>
          <w:lang w:val="en-US" w:eastAsia="zh-CN"/>
        </w:rPr>
        <w:t>贵州</w:t>
      </w:r>
      <w:r>
        <w:rPr>
          <w:rFonts w:hint="eastAsia" w:eastAsia="仿宋_GB2312" w:cs="Times New Roman"/>
          <w:sz w:val="28"/>
          <w:szCs w:val="28"/>
          <w:lang w:eastAsia="zh-CN"/>
        </w:rPr>
        <w:t>织金</w:t>
      </w:r>
      <w:r>
        <w:rPr>
          <w:rFonts w:hint="default" w:ascii="Times New Roman" w:hAnsi="Times New Roman" w:eastAsia="仿宋_GB2312" w:cs="Times New Roman"/>
          <w:sz w:val="28"/>
          <w:szCs w:val="28"/>
        </w:rPr>
        <w:t>农村商业银行股份有限公司202</w:t>
      </w:r>
      <w:r>
        <w:rPr>
          <w:rFonts w:hint="eastAsia" w:eastAsia="仿宋_GB2312" w:cs="Times New Roman"/>
          <w:sz w:val="28"/>
          <w:szCs w:val="28"/>
          <w:lang w:val="en-US" w:eastAsia="zh-CN"/>
        </w:rPr>
        <w:t>5</w:t>
      </w:r>
      <w:r>
        <w:rPr>
          <w:rFonts w:hint="default" w:ascii="Times New Roman" w:hAnsi="Times New Roman" w:eastAsia="仿宋_GB2312" w:cs="Times New Roman"/>
          <w:sz w:val="28"/>
          <w:szCs w:val="28"/>
        </w:rPr>
        <w:t>年第</w:t>
      </w:r>
      <w:r>
        <w:rPr>
          <w:rFonts w:hint="eastAsia" w:eastAsia="仿宋_GB2312" w:cs="Times New Roman"/>
          <w:sz w:val="28"/>
          <w:szCs w:val="28"/>
          <w:lang w:eastAsia="zh-CN"/>
        </w:rPr>
        <w:t>二</w:t>
      </w:r>
      <w:r>
        <w:rPr>
          <w:rFonts w:hint="default" w:ascii="Times New Roman" w:hAnsi="Times New Roman" w:eastAsia="仿宋_GB2312" w:cs="Times New Roman"/>
          <w:sz w:val="28"/>
          <w:szCs w:val="28"/>
        </w:rPr>
        <w:t>次临时股东会会议，听取并审议相关议案，代为行使表决权，签署相关会议决议、记录等文件。代理人在授权范围内所进行的表决均视同本股东作出，表决结果对本股东具有法律约束力。本授权委托书自本股东签署之日起生效，有效期至委托事项办结之日止。</w:t>
      </w:r>
    </w:p>
    <w:p>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本股东所持有的股份数：</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，具有有效表决权数：</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w:t>
      </w:r>
    </w:p>
    <w:p>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代理人姓名：</w:t>
      </w:r>
      <w:r>
        <w:rPr>
          <w:rFonts w:hint="default" w:ascii="Times New Roman" w:hAnsi="Times New Roman" w:eastAsia="仿宋_GB2312" w:cs="Times New Roman"/>
          <w:sz w:val="28"/>
          <w:szCs w:val="28"/>
          <w:u w:val="single"/>
        </w:rPr>
        <w:t xml:space="preserve">   </w:t>
      </w:r>
      <w:r>
        <w:rPr>
          <w:rFonts w:hint="eastAsia"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，代理人身份证件号码：</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u w:val="single"/>
          <w:lang w:val="en-US" w:eastAsia="zh-CN"/>
        </w:rPr>
        <w:t xml:space="preserve">    </w:t>
      </w:r>
      <w:r>
        <w:rPr>
          <w:rFonts w:hint="eastAsia"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w:t>
      </w:r>
    </w:p>
    <w:p>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本股东对</w:t>
      </w:r>
      <w:r>
        <w:rPr>
          <w:rFonts w:hint="eastAsia" w:eastAsia="仿宋_GB2312" w:cs="Times New Roman"/>
          <w:sz w:val="28"/>
          <w:szCs w:val="28"/>
          <w:lang w:val="en-US" w:eastAsia="zh-CN"/>
        </w:rPr>
        <w:t>贵州</w:t>
      </w:r>
      <w:r>
        <w:rPr>
          <w:rFonts w:hint="eastAsia" w:eastAsia="仿宋_GB2312" w:cs="Times New Roman"/>
          <w:sz w:val="28"/>
          <w:szCs w:val="28"/>
          <w:lang w:eastAsia="zh-CN"/>
        </w:rPr>
        <w:t>织金</w:t>
      </w:r>
      <w:r>
        <w:rPr>
          <w:rFonts w:hint="default" w:ascii="Times New Roman" w:hAnsi="Times New Roman" w:eastAsia="仿宋_GB2312" w:cs="Times New Roman"/>
          <w:sz w:val="28"/>
          <w:szCs w:val="28"/>
        </w:rPr>
        <w:t>农村商业银行股份有限公司202</w:t>
      </w:r>
      <w:r>
        <w:rPr>
          <w:rFonts w:hint="eastAsia" w:eastAsia="仿宋_GB2312" w:cs="Times New Roman"/>
          <w:sz w:val="28"/>
          <w:szCs w:val="28"/>
          <w:lang w:val="en-US" w:eastAsia="zh-CN"/>
        </w:rPr>
        <w:t>5</w:t>
      </w:r>
      <w:r>
        <w:rPr>
          <w:rFonts w:hint="default" w:ascii="Times New Roman" w:hAnsi="Times New Roman" w:eastAsia="仿宋_GB2312" w:cs="Times New Roman"/>
          <w:sz w:val="28"/>
          <w:szCs w:val="28"/>
        </w:rPr>
        <w:t>年第</w:t>
      </w:r>
      <w:r>
        <w:rPr>
          <w:rFonts w:hint="eastAsia" w:eastAsia="仿宋_GB2312" w:cs="Times New Roman"/>
          <w:sz w:val="28"/>
          <w:szCs w:val="28"/>
          <w:lang w:eastAsia="zh-CN"/>
        </w:rPr>
        <w:t>二</w:t>
      </w:r>
      <w:r>
        <w:rPr>
          <w:rFonts w:hint="default" w:ascii="Times New Roman" w:hAnsi="Times New Roman" w:eastAsia="仿宋_GB2312" w:cs="Times New Roman"/>
          <w:sz w:val="28"/>
          <w:szCs w:val="28"/>
        </w:rPr>
        <w:t>次临时股东大会会议审议事项的表决意见如下：</w:t>
      </w:r>
    </w:p>
    <w:p>
      <w:pPr>
        <w:autoSpaceDE w:val="0"/>
        <w:autoSpaceDN w:val="0"/>
        <w:adjustRightInd w:val="0"/>
        <w:spacing w:line="360" w:lineRule="auto"/>
        <w:ind w:firstLine="560" w:firstLineChars="200"/>
        <w:rPr>
          <w:rFonts w:hint="eastAsia" w:ascii="黑体" w:hAnsi="黑体" w:eastAsia="黑体" w:cs="黑体"/>
          <w:b w:val="0"/>
          <w:bCs w:val="0"/>
          <w:sz w:val="28"/>
          <w:szCs w:val="28"/>
        </w:rPr>
      </w:pPr>
      <w:r>
        <w:rPr>
          <w:rFonts w:hint="eastAsia" w:ascii="黑体" w:hAnsi="黑体" w:eastAsia="黑体" w:cs="黑体"/>
          <w:b w:val="0"/>
          <w:bCs w:val="0"/>
          <w:sz w:val="28"/>
          <w:szCs w:val="28"/>
        </w:rPr>
        <w:t>一、议案表决意见</w:t>
      </w:r>
    </w:p>
    <w:tbl>
      <w:tblPr>
        <w:tblStyle w:val="5"/>
        <w:tblW w:w="8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5507"/>
        <w:gridCol w:w="853"/>
        <w:gridCol w:w="787"/>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序号</w:t>
            </w:r>
          </w:p>
        </w:tc>
        <w:tc>
          <w:tcPr>
            <w:tcW w:w="550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议案</w:t>
            </w: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赞成</w:t>
            </w:r>
          </w:p>
        </w:tc>
        <w:tc>
          <w:tcPr>
            <w:tcW w:w="78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反对</w:t>
            </w: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弃权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pPr>
              <w:tabs>
                <w:tab w:val="left" w:pos="492"/>
              </w:tabs>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55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rPr>
              <w:t>关于提请审议《织金农商银行2025年度预算调整方案》的议案</w:t>
            </w: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ind w:firstLine="420" w:firstLineChars="200"/>
              <w:jc w:val="left"/>
              <w:rPr>
                <w:rFonts w:hint="eastAsia" w:ascii="宋体" w:hAnsi="宋体"/>
                <w:szCs w:val="21"/>
              </w:rPr>
            </w:pPr>
          </w:p>
        </w:tc>
        <w:tc>
          <w:tcPr>
            <w:tcW w:w="78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20" w:firstLineChars="200"/>
              <w:jc w:val="left"/>
              <w:rPr>
                <w:rFonts w:hint="eastAsia"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20" w:firstLineChars="200"/>
              <w:jc w:val="lef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p>
        </w:tc>
        <w:tc>
          <w:tcPr>
            <w:tcW w:w="55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关于提请审议《织金农商银行2021-2025发展战略规划相关指标调整方案》的议案</w:t>
            </w: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ind w:firstLine="420" w:firstLineChars="200"/>
              <w:jc w:val="left"/>
              <w:rPr>
                <w:rFonts w:hint="eastAsia" w:ascii="宋体" w:hAnsi="宋体"/>
                <w:szCs w:val="21"/>
              </w:rPr>
            </w:pPr>
          </w:p>
        </w:tc>
        <w:tc>
          <w:tcPr>
            <w:tcW w:w="78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20" w:firstLineChars="200"/>
              <w:jc w:val="left"/>
              <w:rPr>
                <w:rFonts w:hint="eastAsia"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20" w:firstLineChars="200"/>
              <w:jc w:val="lef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3</w:t>
            </w:r>
          </w:p>
        </w:tc>
        <w:tc>
          <w:tcPr>
            <w:tcW w:w="55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关于提请审议《组建毕节农村商业银行股份有限公司可行性研究报告》的议案</w:t>
            </w: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ind w:firstLine="420" w:firstLineChars="200"/>
              <w:jc w:val="left"/>
              <w:rPr>
                <w:rFonts w:hint="eastAsia" w:ascii="宋体" w:hAnsi="宋体"/>
                <w:szCs w:val="21"/>
              </w:rPr>
            </w:pPr>
          </w:p>
        </w:tc>
        <w:tc>
          <w:tcPr>
            <w:tcW w:w="78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20" w:firstLineChars="200"/>
              <w:jc w:val="left"/>
              <w:rPr>
                <w:rFonts w:hint="eastAsia"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20" w:firstLineChars="200"/>
              <w:jc w:val="lef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w:t>
            </w:r>
          </w:p>
        </w:tc>
        <w:tc>
          <w:tcPr>
            <w:tcW w:w="55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关于提请审议同意组建毕节农村商业银行股份有限公司的议案</w:t>
            </w: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ind w:firstLine="420" w:firstLineChars="200"/>
              <w:jc w:val="left"/>
              <w:rPr>
                <w:rFonts w:hint="eastAsia" w:ascii="宋体" w:hAnsi="宋体"/>
                <w:szCs w:val="21"/>
              </w:rPr>
            </w:pPr>
          </w:p>
        </w:tc>
        <w:tc>
          <w:tcPr>
            <w:tcW w:w="78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20" w:firstLineChars="200"/>
              <w:jc w:val="left"/>
              <w:rPr>
                <w:rFonts w:hint="eastAsia"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20" w:firstLineChars="200"/>
              <w:jc w:val="lef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w:t>
            </w:r>
          </w:p>
        </w:tc>
        <w:tc>
          <w:tcPr>
            <w:tcW w:w="55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关于提请审议成立毕节农村商业银行股份有限公司筹建工作小组及确认组成人员名单的议案</w:t>
            </w: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ind w:firstLine="420" w:firstLineChars="200"/>
              <w:jc w:val="left"/>
              <w:rPr>
                <w:rFonts w:hint="eastAsia" w:ascii="宋体" w:hAnsi="宋体"/>
                <w:szCs w:val="21"/>
              </w:rPr>
            </w:pPr>
          </w:p>
        </w:tc>
        <w:tc>
          <w:tcPr>
            <w:tcW w:w="78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20" w:firstLineChars="200"/>
              <w:jc w:val="left"/>
              <w:rPr>
                <w:rFonts w:hint="eastAsia"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20" w:firstLineChars="200"/>
              <w:jc w:val="lef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w:t>
            </w:r>
          </w:p>
        </w:tc>
        <w:tc>
          <w:tcPr>
            <w:tcW w:w="55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关于提请审议《毕节农村商业银行股份有限公司筹建工作小组授权方案》的议案</w:t>
            </w: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ind w:firstLine="420" w:firstLineChars="200"/>
              <w:jc w:val="left"/>
              <w:rPr>
                <w:rFonts w:hint="eastAsia" w:ascii="宋体" w:hAnsi="宋体"/>
                <w:szCs w:val="21"/>
              </w:rPr>
            </w:pPr>
          </w:p>
        </w:tc>
        <w:tc>
          <w:tcPr>
            <w:tcW w:w="78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20" w:firstLineChars="200"/>
              <w:jc w:val="left"/>
              <w:rPr>
                <w:rFonts w:hint="eastAsia"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20" w:firstLineChars="200"/>
              <w:jc w:val="lef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7</w:t>
            </w:r>
          </w:p>
        </w:tc>
        <w:tc>
          <w:tcPr>
            <w:tcW w:w="55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关于提请审议《毕节农村商业银行股份有限公司筹建工作方案》的议案</w:t>
            </w: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ind w:firstLine="420" w:firstLineChars="200"/>
              <w:jc w:val="left"/>
              <w:rPr>
                <w:rFonts w:hint="eastAsia" w:ascii="宋体" w:hAnsi="宋体"/>
                <w:szCs w:val="21"/>
              </w:rPr>
            </w:pPr>
          </w:p>
        </w:tc>
        <w:tc>
          <w:tcPr>
            <w:tcW w:w="78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20" w:firstLineChars="200"/>
              <w:jc w:val="left"/>
              <w:rPr>
                <w:rFonts w:hint="eastAsia"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20" w:firstLineChars="200"/>
              <w:jc w:val="lef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8</w:t>
            </w:r>
          </w:p>
        </w:tc>
        <w:tc>
          <w:tcPr>
            <w:tcW w:w="55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关于提请审议确定贵州织金农村商业银行股份有限公司清产核资、资产评估基准日的议案</w:t>
            </w: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ind w:firstLine="420" w:firstLineChars="200"/>
              <w:jc w:val="left"/>
              <w:rPr>
                <w:rFonts w:hint="eastAsia" w:ascii="宋体" w:hAnsi="宋体"/>
                <w:szCs w:val="21"/>
              </w:rPr>
            </w:pPr>
          </w:p>
        </w:tc>
        <w:tc>
          <w:tcPr>
            <w:tcW w:w="78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20" w:firstLineChars="200"/>
              <w:jc w:val="left"/>
              <w:rPr>
                <w:rFonts w:hint="eastAsia"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20" w:firstLineChars="200"/>
              <w:jc w:val="lef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9</w:t>
            </w:r>
          </w:p>
        </w:tc>
        <w:tc>
          <w:tcPr>
            <w:tcW w:w="55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关于提请审议《贵州织金农村商业银行股份有限公司清产核资、资产评估及净资产分配工作方案》的议案</w:t>
            </w: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ind w:firstLine="420" w:firstLineChars="200"/>
              <w:jc w:val="left"/>
              <w:rPr>
                <w:rFonts w:hint="eastAsia" w:ascii="宋体" w:hAnsi="宋体"/>
                <w:szCs w:val="21"/>
              </w:rPr>
            </w:pPr>
          </w:p>
        </w:tc>
        <w:tc>
          <w:tcPr>
            <w:tcW w:w="78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20" w:firstLineChars="200"/>
              <w:jc w:val="left"/>
              <w:rPr>
                <w:rFonts w:hint="eastAsia"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20" w:firstLineChars="200"/>
              <w:jc w:val="lef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10</w:t>
            </w:r>
          </w:p>
        </w:tc>
        <w:tc>
          <w:tcPr>
            <w:tcW w:w="55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关于提请审议《贵州织金农村商业银行股份有限公司原股金处置方案》的议案</w:t>
            </w: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ind w:firstLine="420" w:firstLineChars="200"/>
              <w:jc w:val="left"/>
              <w:rPr>
                <w:rFonts w:hint="eastAsia" w:ascii="宋体" w:hAnsi="宋体"/>
                <w:szCs w:val="21"/>
              </w:rPr>
            </w:pPr>
          </w:p>
        </w:tc>
        <w:tc>
          <w:tcPr>
            <w:tcW w:w="78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20" w:firstLineChars="200"/>
              <w:jc w:val="left"/>
              <w:rPr>
                <w:rFonts w:hint="eastAsia"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20" w:firstLineChars="200"/>
              <w:jc w:val="lef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11</w:t>
            </w:r>
          </w:p>
        </w:tc>
        <w:tc>
          <w:tcPr>
            <w:tcW w:w="55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关于提请审议《贵州织金农村商业银行股份有限公司清产核资基准日至开业期间经营成果处置意见》的议案</w:t>
            </w: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ind w:firstLine="420" w:firstLineChars="200"/>
              <w:jc w:val="left"/>
              <w:rPr>
                <w:rFonts w:hint="eastAsia" w:ascii="宋体" w:hAnsi="宋体"/>
                <w:szCs w:val="21"/>
              </w:rPr>
            </w:pPr>
          </w:p>
        </w:tc>
        <w:tc>
          <w:tcPr>
            <w:tcW w:w="78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20" w:firstLineChars="200"/>
              <w:jc w:val="left"/>
              <w:rPr>
                <w:rFonts w:hint="eastAsia"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20" w:firstLineChars="200"/>
              <w:jc w:val="lef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12</w:t>
            </w:r>
          </w:p>
        </w:tc>
        <w:tc>
          <w:tcPr>
            <w:tcW w:w="55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关于提请审议《贵州大方农村商业银行股份有限公司等10家法人机构不良资产处置方案》的议案</w:t>
            </w: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ind w:firstLine="420" w:firstLineChars="200"/>
              <w:jc w:val="left"/>
              <w:rPr>
                <w:rFonts w:hint="eastAsia" w:ascii="宋体" w:hAnsi="宋体"/>
                <w:szCs w:val="21"/>
              </w:rPr>
            </w:pPr>
          </w:p>
        </w:tc>
        <w:tc>
          <w:tcPr>
            <w:tcW w:w="78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20" w:firstLineChars="200"/>
              <w:jc w:val="left"/>
              <w:rPr>
                <w:rFonts w:hint="eastAsia"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20" w:firstLineChars="200"/>
              <w:jc w:val="lef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13</w:t>
            </w:r>
          </w:p>
        </w:tc>
        <w:tc>
          <w:tcPr>
            <w:tcW w:w="55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关于提请审议委托授权法定代表人签署净资产确认书等与毕节农村商业银行股份有限公司组建工作有关的法律文件的议案</w:t>
            </w: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ind w:firstLine="420" w:firstLineChars="200"/>
              <w:jc w:val="left"/>
              <w:rPr>
                <w:rFonts w:hint="eastAsia" w:ascii="宋体" w:hAnsi="宋体"/>
                <w:szCs w:val="21"/>
              </w:rPr>
            </w:pPr>
          </w:p>
        </w:tc>
        <w:tc>
          <w:tcPr>
            <w:tcW w:w="78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20" w:firstLineChars="200"/>
              <w:jc w:val="left"/>
              <w:rPr>
                <w:rFonts w:hint="eastAsia"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20" w:firstLineChars="200"/>
              <w:jc w:val="lef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14</w:t>
            </w:r>
          </w:p>
        </w:tc>
        <w:tc>
          <w:tcPr>
            <w:tcW w:w="55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关于提请审议授权毕节农村商业银行股份有限公司筹建工作小组处置贵州织金农村商业银行股份有限公司持有毕节农信机构股份的议案</w:t>
            </w: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ind w:firstLine="420" w:firstLineChars="200"/>
              <w:jc w:val="left"/>
              <w:rPr>
                <w:rFonts w:hint="eastAsia" w:ascii="宋体" w:hAnsi="宋体"/>
                <w:szCs w:val="21"/>
              </w:rPr>
            </w:pPr>
          </w:p>
        </w:tc>
        <w:tc>
          <w:tcPr>
            <w:tcW w:w="78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20" w:firstLineChars="200"/>
              <w:jc w:val="left"/>
              <w:rPr>
                <w:rFonts w:hint="eastAsia"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20" w:firstLineChars="200"/>
              <w:jc w:val="lef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1</w:t>
            </w:r>
            <w:r>
              <w:rPr>
                <w:rFonts w:hint="eastAsia" w:eastAsia="仿宋_GB2312" w:cs="Times New Roman"/>
                <w:sz w:val="24"/>
                <w:szCs w:val="24"/>
                <w:lang w:val="en-US" w:eastAsia="zh-CN"/>
              </w:rPr>
              <w:t>5</w:t>
            </w:r>
          </w:p>
        </w:tc>
        <w:tc>
          <w:tcPr>
            <w:tcW w:w="550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关于提请审议解散贵州织金农村商业银行股份有限公司的议案</w:t>
            </w: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ind w:firstLine="420" w:firstLineChars="200"/>
              <w:jc w:val="left"/>
              <w:rPr>
                <w:rFonts w:hint="eastAsia" w:ascii="宋体" w:hAnsi="宋体"/>
                <w:szCs w:val="21"/>
              </w:rPr>
            </w:pPr>
          </w:p>
        </w:tc>
        <w:tc>
          <w:tcPr>
            <w:tcW w:w="78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20" w:firstLineChars="200"/>
              <w:jc w:val="left"/>
              <w:rPr>
                <w:rFonts w:hint="eastAsia"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20" w:firstLineChars="200"/>
              <w:jc w:val="lef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24"/>
                <w:szCs w:val="24"/>
                <w:lang w:val="en-US" w:eastAsia="zh-CN"/>
              </w:rPr>
            </w:pPr>
            <w:r>
              <w:rPr>
                <w:rFonts w:hint="eastAsia" w:eastAsia="仿宋_GB2312" w:cs="Times New Roman"/>
                <w:sz w:val="24"/>
                <w:szCs w:val="24"/>
                <w:lang w:val="en-US" w:eastAsia="zh-CN"/>
              </w:rPr>
              <w:t>16</w:t>
            </w:r>
          </w:p>
        </w:tc>
        <w:tc>
          <w:tcPr>
            <w:tcW w:w="55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关于提请审议</w:t>
            </w:r>
            <w:r>
              <w:rPr>
                <w:rFonts w:hint="eastAsia" w:eastAsia="仿宋_GB2312" w:cs="Times New Roman"/>
                <w:sz w:val="24"/>
                <w:szCs w:val="24"/>
                <w:lang w:val="en-US" w:eastAsia="zh-CN"/>
              </w:rPr>
              <w:t>贵州</w:t>
            </w:r>
            <w:r>
              <w:rPr>
                <w:rFonts w:hint="default" w:ascii="Times New Roman" w:hAnsi="Times New Roman" w:eastAsia="仿宋_GB2312" w:cs="Times New Roman"/>
                <w:sz w:val="24"/>
                <w:szCs w:val="24"/>
              </w:rPr>
              <w:t>织金农村商业银行股份有限公司第二届董事会</w:t>
            </w:r>
            <w:r>
              <w:rPr>
                <w:rFonts w:hint="eastAsia" w:eastAsia="仿宋_GB2312" w:cs="Times New Roman"/>
                <w:sz w:val="24"/>
                <w:szCs w:val="24"/>
                <w:lang w:eastAsia="zh-CN"/>
              </w:rPr>
              <w:t>、</w:t>
            </w:r>
            <w:r>
              <w:rPr>
                <w:rFonts w:hint="eastAsia" w:eastAsia="仿宋_GB2312" w:cs="Times New Roman"/>
                <w:sz w:val="24"/>
                <w:szCs w:val="24"/>
                <w:lang w:val="en-US" w:eastAsia="zh-CN"/>
              </w:rPr>
              <w:t>监事会</w:t>
            </w:r>
            <w:r>
              <w:rPr>
                <w:rFonts w:hint="default" w:ascii="Times New Roman" w:hAnsi="Times New Roman" w:eastAsia="仿宋_GB2312" w:cs="Times New Roman"/>
                <w:sz w:val="24"/>
                <w:szCs w:val="24"/>
              </w:rPr>
              <w:t>延长任期的议案</w:t>
            </w: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ind w:firstLine="420" w:firstLineChars="200"/>
              <w:jc w:val="left"/>
              <w:rPr>
                <w:rFonts w:hint="eastAsia" w:ascii="宋体" w:hAnsi="宋体"/>
                <w:szCs w:val="21"/>
              </w:rPr>
            </w:pPr>
          </w:p>
        </w:tc>
        <w:tc>
          <w:tcPr>
            <w:tcW w:w="78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20" w:firstLineChars="200"/>
              <w:jc w:val="left"/>
              <w:rPr>
                <w:rFonts w:hint="eastAsia"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20" w:firstLineChars="200"/>
              <w:jc w:val="lef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24"/>
                <w:szCs w:val="24"/>
                <w:lang w:val="en-US" w:eastAsia="zh-CN"/>
              </w:rPr>
            </w:pPr>
            <w:r>
              <w:rPr>
                <w:rFonts w:hint="eastAsia" w:eastAsia="仿宋_GB2312" w:cs="Times New Roman"/>
                <w:sz w:val="24"/>
                <w:szCs w:val="24"/>
                <w:lang w:val="en-US" w:eastAsia="zh-CN"/>
              </w:rPr>
              <w:t>17</w:t>
            </w:r>
          </w:p>
        </w:tc>
        <w:tc>
          <w:tcPr>
            <w:tcW w:w="5507"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关于提请审议《毕节农村商业银行股份有限公司征集发起人方案》的议案</w:t>
            </w: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ind w:firstLine="420" w:firstLineChars="200"/>
              <w:jc w:val="left"/>
              <w:rPr>
                <w:rFonts w:hint="eastAsia" w:ascii="宋体" w:hAnsi="宋体"/>
                <w:szCs w:val="21"/>
              </w:rPr>
            </w:pPr>
          </w:p>
        </w:tc>
        <w:tc>
          <w:tcPr>
            <w:tcW w:w="78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20" w:firstLineChars="200"/>
              <w:jc w:val="left"/>
              <w:rPr>
                <w:rFonts w:hint="eastAsia"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20" w:firstLineChars="200"/>
              <w:jc w:val="left"/>
              <w:rPr>
                <w:rFonts w:hint="eastAsia" w:ascii="宋体" w:hAnsi="宋体"/>
                <w:szCs w:val="21"/>
              </w:rPr>
            </w:pPr>
          </w:p>
        </w:tc>
      </w:tr>
    </w:tbl>
    <w:p>
      <w:pPr>
        <w:keepNext w:val="0"/>
        <w:keepLines w:val="0"/>
        <w:pageBreakBefore w:val="0"/>
        <w:widowControl w:val="0"/>
        <w:kinsoku/>
        <w:overflowPunct/>
        <w:topLinePunct w:val="0"/>
        <w:autoSpaceDE w:val="0"/>
        <w:autoSpaceDN w:val="0"/>
        <w:bidi w:val="0"/>
        <w:adjustRightInd w:val="0"/>
        <w:snapToGrid/>
        <w:spacing w:line="5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提示：股东应决定对上述议案选择投票赞成、反对或弃权，并在相应表格内划“√”，三者中只能选其一。如</w:t>
      </w:r>
      <w:bookmarkStart w:id="1" w:name="_GoBack"/>
      <w:bookmarkEnd w:id="1"/>
      <w:r>
        <w:rPr>
          <w:rFonts w:hint="eastAsia" w:ascii="仿宋_GB2312" w:hAnsi="仿宋_GB2312" w:eastAsia="仿宋_GB2312" w:cs="仿宋_GB2312"/>
          <w:sz w:val="28"/>
          <w:szCs w:val="28"/>
        </w:rPr>
        <w:t>未填、错填、字迹无法辨认的表决票、未投的表决票均视为投票人放弃表决权利，其所持股份数的表决结果应计为“弃权”。</w:t>
      </w:r>
    </w:p>
    <w:p>
      <w:pPr>
        <w:keepNext w:val="0"/>
        <w:keepLines w:val="0"/>
        <w:pageBreakBefore w:val="0"/>
        <w:widowControl w:val="0"/>
        <w:kinsoku/>
        <w:overflowPunct/>
        <w:topLinePunct w:val="0"/>
        <w:autoSpaceDE w:val="0"/>
        <w:autoSpaceDN w:val="0"/>
        <w:bidi w:val="0"/>
        <w:adjustRightInd w:val="0"/>
        <w:snapToGrid/>
        <w:spacing w:line="500" w:lineRule="exact"/>
        <w:ind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二、临时提案（如有）的表决意见</w:t>
      </w:r>
    </w:p>
    <w:p>
      <w:pPr>
        <w:keepNext w:val="0"/>
        <w:keepLines w:val="0"/>
        <w:pageBreakBefore w:val="0"/>
        <w:widowControl w:val="0"/>
        <w:kinsoku/>
        <w:overflowPunct/>
        <w:topLinePunct w:val="0"/>
        <w:bidi w:val="0"/>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对纳入本次会议议案的临时提案（如有），受托人是否可以按照其意思进行表决：</w:t>
      </w:r>
    </w:p>
    <w:p>
      <w:pPr>
        <w:keepNext w:val="0"/>
        <w:keepLines w:val="0"/>
        <w:pageBreakBefore w:val="0"/>
        <w:widowControl w:val="0"/>
        <w:kinsoku/>
        <w:overflowPunct/>
        <w:topLinePunct w:val="0"/>
        <w:bidi w:val="0"/>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         □否（具体表决意见请注明）：</w:t>
      </w:r>
      <w:r>
        <w:rPr>
          <w:rFonts w:hint="eastAsia" w:ascii="仿宋_GB2312" w:hAnsi="仿宋_GB2312" w:eastAsia="仿宋_GB2312" w:cs="仿宋_GB2312"/>
          <w:sz w:val="28"/>
          <w:szCs w:val="28"/>
          <w:u w:val="single"/>
        </w:rPr>
        <w:t xml:space="preserve">            </w:t>
      </w:r>
    </w:p>
    <w:p>
      <w:pPr>
        <w:keepNext w:val="0"/>
        <w:keepLines w:val="0"/>
        <w:pageBreakBefore w:val="0"/>
        <w:widowControl w:val="0"/>
        <w:kinsoku/>
        <w:wordWrap w:val="0"/>
        <w:overflowPunct/>
        <w:topLinePunct w:val="0"/>
        <w:bidi w:val="0"/>
        <w:snapToGrid/>
        <w:spacing w:line="500" w:lineRule="exact"/>
        <w:ind w:firstLine="560" w:firstLineChars="200"/>
        <w:jc w:val="right"/>
        <w:textAlignment w:val="auto"/>
        <w:rPr>
          <w:rFonts w:hint="eastAsia" w:ascii="仿宋_GB2312" w:hAnsi="仿宋_GB2312" w:eastAsia="仿宋_GB2312" w:cs="仿宋_GB2312"/>
          <w:sz w:val="28"/>
          <w:szCs w:val="28"/>
        </w:rPr>
      </w:pPr>
    </w:p>
    <w:p>
      <w:pPr>
        <w:keepNext w:val="0"/>
        <w:keepLines w:val="0"/>
        <w:pageBreakBefore w:val="0"/>
        <w:widowControl w:val="0"/>
        <w:kinsoku/>
        <w:wordWrap w:val="0"/>
        <w:overflowPunct/>
        <w:topLinePunct w:val="0"/>
        <w:bidi w:val="0"/>
        <w:snapToGrid/>
        <w:spacing w:line="500" w:lineRule="exact"/>
        <w:ind w:firstLine="560" w:firstLineChars="200"/>
        <w:jc w:val="righ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委托人（签名）：</w:t>
      </w:r>
      <w:r>
        <w:rPr>
          <w:rFonts w:hint="default" w:ascii="Times New Roman" w:hAnsi="Times New Roman" w:eastAsia="仿宋_GB2312" w:cs="Times New Roman"/>
          <w:sz w:val="28"/>
          <w:szCs w:val="28"/>
          <w:lang w:val="en-US" w:eastAsia="zh-CN"/>
        </w:rPr>
        <w:t xml:space="preserve">          </w:t>
      </w:r>
    </w:p>
    <w:p>
      <w:pPr>
        <w:keepNext w:val="0"/>
        <w:keepLines w:val="0"/>
        <w:pageBreakBefore w:val="0"/>
        <w:widowControl w:val="0"/>
        <w:kinsoku/>
        <w:wordWrap w:val="0"/>
        <w:overflowPunct/>
        <w:topLinePunct w:val="0"/>
        <w:bidi w:val="0"/>
        <w:snapToGrid/>
        <w:spacing w:line="500" w:lineRule="exact"/>
        <w:ind w:firstLine="560" w:firstLineChars="200"/>
        <w:jc w:val="right"/>
        <w:textAlignment w:val="auto"/>
        <w:rPr>
          <w:rFonts w:ascii="仿宋_GB2312" w:eastAsia="仿宋_GB2312"/>
          <w:sz w:val="32"/>
          <w:szCs w:val="32"/>
        </w:rPr>
      </w:pPr>
      <w:r>
        <w:rPr>
          <w:rFonts w:hint="default" w:ascii="Times New Roman" w:hAnsi="Times New Roman" w:eastAsia="仿宋_GB2312" w:cs="Times New Roman"/>
          <w:sz w:val="28"/>
          <w:szCs w:val="28"/>
        </w:rPr>
        <w:t>签发日期：202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年</w:t>
      </w:r>
      <w:r>
        <w:rPr>
          <w:rFonts w:hint="eastAsia" w:eastAsia="仿宋_GB2312" w:cs="Times New Roman"/>
          <w:sz w:val="28"/>
          <w:szCs w:val="28"/>
          <w:lang w:val="en-US" w:eastAsia="zh-CN"/>
        </w:rPr>
        <w:t xml:space="preserve">    </w:t>
      </w:r>
      <w:r>
        <w:rPr>
          <w:rFonts w:hint="default" w:ascii="Times New Roman" w:hAnsi="Times New Roman" w:eastAsia="仿宋_GB2312" w:cs="Times New Roman"/>
          <w:sz w:val="28"/>
          <w:szCs w:val="28"/>
        </w:rPr>
        <w:t>月</w:t>
      </w:r>
      <w:r>
        <w:rPr>
          <w:rFonts w:hint="eastAsia" w:eastAsia="仿宋_GB2312" w:cs="Times New Roman"/>
          <w:sz w:val="28"/>
          <w:szCs w:val="28"/>
          <w:lang w:val="en-US" w:eastAsia="zh-CN"/>
        </w:rPr>
        <w:t xml:space="preserve">     </w:t>
      </w:r>
      <w:r>
        <w:rPr>
          <w:rFonts w:hint="default" w:ascii="Times New Roman" w:hAnsi="Times New Roman" w:eastAsia="仿宋_GB2312" w:cs="Times New Roman"/>
          <w:sz w:val="28"/>
          <w:szCs w:val="28"/>
        </w:rPr>
        <w:t>日</w:t>
      </w:r>
      <w:r>
        <w:rPr>
          <w:rFonts w:hint="default" w:ascii="Times New Roman" w:hAnsi="Times New Roman" w:eastAsia="仿宋_GB2312" w:cs="Times New Roman"/>
          <w:sz w:val="28"/>
          <w:szCs w:val="28"/>
          <w:lang w:val="en-US" w:eastAsia="zh-CN"/>
        </w:rPr>
        <w:t xml:space="preserve">      </w:t>
      </w:r>
    </w:p>
    <w:p/>
    <w:sectPr>
      <w:headerReference r:id="rId5" w:type="default"/>
      <w:footerReference r:id="rId6" w:type="default"/>
      <w:pgSz w:w="11906" w:h="16838"/>
      <w:pgMar w:top="2098" w:right="1474" w:bottom="1984" w:left="1587" w:header="851" w:footer="992" w:gutter="0"/>
      <w:pgNumType w:fmt="decimal"/>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天铎-L" w:date="2025-09-18T23:26:00Z" w:initials="8">
    <w:p w14:paraId="61C73C25">
      <w:pPr>
        <w:pStyle w:val="2"/>
        <w:numPr>
          <w:ilvl w:val="0"/>
          <w:numId w:val="1"/>
        </w:numPr>
        <w:rPr>
          <w:rFonts w:hint="eastAsia"/>
        </w:rPr>
      </w:pPr>
      <w:r>
        <w:rPr>
          <w:rFonts w:hint="eastAsia"/>
        </w:rPr>
        <w:t>应注意大股东授权情况，大股东委托出席的受托人应为</w:t>
      </w:r>
      <w:r>
        <w:rPr>
          <w:rFonts w:hint="eastAsia"/>
          <w:b/>
          <w:bCs/>
        </w:rPr>
        <w:t>股东自身及其关联方、一致行动人、所提名董事和监事，大股东不得接受非关联方、一致行动人的委托参加股东（大）会。理由：</w:t>
      </w:r>
      <w:r>
        <w:t>《银行保险机构大股东行为监管办法（试行）》</w:t>
      </w:r>
      <w:r>
        <w:rPr>
          <w:rFonts w:hint="eastAsia"/>
        </w:rPr>
        <w:t>第十五条</w:t>
      </w:r>
      <w:bookmarkStart w:id="0" w:name="No59_Z3T15K1"/>
      <w:bookmarkEnd w:id="0"/>
      <w:r>
        <w:rPr>
          <w:rFonts w:hint="eastAsia"/>
        </w:rPr>
        <w:t>规定，银行保险机构大股东可以委托代理人参加股东（大）会，但代理人不得为股东自身及其关联方、一致行动人、所提名董事和监事以外的人员；银行保险机构大股东不得接受非关联方、一致行动人的委托参加股东（大）会。</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1C73C25" w15:done="1"/>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482875"/>
    <w:multiLevelType w:val="singleLevel"/>
    <w:tmpl w:val="3A482875"/>
    <w:lvl w:ilvl="0" w:tentative="0">
      <w:start w:val="1"/>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天铎-L">
    <w15:presenceInfo w15:providerId="None" w15:userId="天铎-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B667C9"/>
    <w:rsid w:val="3A5C324B"/>
    <w:rsid w:val="413406CF"/>
    <w:rsid w:val="48A34C15"/>
    <w:rsid w:val="60B667C9"/>
    <w:rsid w:val="77384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annotation reference"/>
    <w:basedOn w:val="6"/>
    <w:semiHidden/>
    <w:unhideWhenUsed/>
    <w:qFormat/>
    <w:uiPriority w:val="99"/>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2025-11-20T09:21:00Z</dcterms:created>
  <dc:creator>zyn</dc:creator>
  <cp:lastModifiedBy>Administrator</cp:lastModifiedBy>
  <dcterms:modified xsi:type="dcterms:W3CDTF">2025-11-20T10:18:35Z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D831C4DB1E934371B9335E33F6EBEC04_11</vt:lpwstr>
  </property>
  <property fmtid="{D5CDD505-2E9C-101B-9397-08002B2CF9AE}" pid="4" name="KSOTemplateDocerSaveRecord">
    <vt:lpwstr>eyJoZGlkIjoiNDlkZWVmYmZkYzVhOWFiZjk0MGJjY2IwZTVjZWVjMjciLCJ1c2VySWQiOiIzMjgzOTgwMjgifQ==</vt:lpwstr>
  </property>
</Properties>
</file>