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7C43">
      <w:pPr>
        <w:widowControl w:val="0"/>
        <w:jc w:val="center"/>
        <w:rPr>
          <w:rFonts w:ascii="宋体"/>
          <w:b/>
          <w:sz w:val="84"/>
          <w:szCs w:val="84"/>
        </w:rPr>
      </w:pPr>
    </w:p>
    <w:p w14:paraId="7BF4A8BD">
      <w:pPr>
        <w:widowControl w:val="0"/>
        <w:spacing w:line="1000" w:lineRule="exact"/>
        <w:jc w:val="center"/>
        <w:textAlignment w:val="auto"/>
        <w:rPr>
          <w:rFonts w:hint="eastAsia" w:ascii="宋体" w:hAnsi="Times New Roman" w:cs="Times New Roman"/>
          <w:b/>
          <w:bCs/>
          <w:sz w:val="56"/>
          <w:szCs w:val="48"/>
          <w:lang w:val="en-US" w:eastAsia="zh-CN"/>
        </w:rPr>
      </w:pPr>
      <w:r>
        <w:rPr>
          <w:rFonts w:hint="eastAsia" w:ascii="宋体" w:hAnsi="Times New Roman" w:cs="Times New Roman"/>
          <w:b/>
          <w:bCs/>
          <w:sz w:val="56"/>
          <w:szCs w:val="48"/>
          <w:lang w:val="en-US" w:eastAsia="zh-CN"/>
        </w:rPr>
        <w:t>贵州普定农村商业银行股份有限公司采购补充医疗保险服务合作机构</w:t>
      </w:r>
    </w:p>
    <w:p w14:paraId="1D2C4984">
      <w:pPr>
        <w:widowControl w:val="0"/>
        <w:spacing w:line="1000" w:lineRule="exact"/>
        <w:jc w:val="center"/>
        <w:textAlignment w:val="auto"/>
        <w:rPr>
          <w:rFonts w:hint="default" w:ascii="宋体" w:hAnsi="Times New Roman" w:cs="Times New Roman"/>
          <w:b/>
          <w:bCs/>
          <w:sz w:val="56"/>
          <w:szCs w:val="48"/>
          <w:lang w:val="en-US" w:eastAsia="zh-CN"/>
        </w:rPr>
      </w:pPr>
      <w:r>
        <w:rPr>
          <w:rFonts w:hint="eastAsia" w:ascii="宋体" w:hAnsi="Times New Roman" w:cs="Times New Roman"/>
          <w:b/>
          <w:bCs/>
          <w:sz w:val="56"/>
          <w:szCs w:val="48"/>
          <w:lang w:val="en-US" w:eastAsia="zh-CN"/>
        </w:rPr>
        <w:t>项目</w:t>
      </w:r>
    </w:p>
    <w:p w14:paraId="6E1B2786">
      <w:pPr>
        <w:widowControl w:val="0"/>
        <w:spacing w:line="1000" w:lineRule="exact"/>
        <w:jc w:val="center"/>
        <w:textAlignment w:val="auto"/>
        <w:rPr>
          <w:rFonts w:hint="eastAsia" w:ascii="宋体" w:hAnsi="宋体"/>
          <w:b/>
          <w:bCs/>
          <w:spacing w:val="-20"/>
          <w:sz w:val="72"/>
          <w:lang w:val="en-US" w:eastAsia="zh-CN"/>
        </w:rPr>
      </w:pPr>
    </w:p>
    <w:p w14:paraId="5F58F361">
      <w:pPr>
        <w:widowControl w:val="0"/>
        <w:spacing w:line="1000" w:lineRule="exact"/>
        <w:jc w:val="center"/>
        <w:textAlignment w:val="auto"/>
        <w:rPr>
          <w:rFonts w:hint="eastAsia" w:ascii="宋体" w:hAnsi="宋体"/>
          <w:b/>
          <w:bCs/>
          <w:spacing w:val="-20"/>
          <w:sz w:val="72"/>
          <w:lang w:val="en-US" w:eastAsia="zh-CN"/>
        </w:rPr>
      </w:pPr>
    </w:p>
    <w:p w14:paraId="33C82387">
      <w:pPr>
        <w:widowControl w:val="0"/>
        <w:spacing w:line="1000" w:lineRule="exact"/>
        <w:jc w:val="center"/>
        <w:textAlignment w:val="auto"/>
        <w:rPr>
          <w:rFonts w:hint="eastAsia" w:ascii="宋体" w:hAnsi="宋体"/>
          <w:b/>
          <w:bCs/>
          <w:spacing w:val="-20"/>
          <w:sz w:val="72"/>
          <w:lang w:val="en-US" w:eastAsia="zh-CN"/>
        </w:rPr>
      </w:pPr>
    </w:p>
    <w:p w14:paraId="3216F632">
      <w:pPr>
        <w:widowControl w:val="0"/>
        <w:spacing w:line="1000" w:lineRule="exact"/>
        <w:jc w:val="center"/>
        <w:textAlignment w:val="auto"/>
        <w:rPr>
          <w:rFonts w:ascii="宋体"/>
          <w:b/>
          <w:bCs/>
          <w:spacing w:val="-20"/>
          <w:sz w:val="72"/>
        </w:rPr>
      </w:pPr>
      <w:r>
        <w:rPr>
          <w:rFonts w:hint="eastAsia" w:ascii="宋体" w:hAnsi="宋体"/>
          <w:b/>
          <w:bCs/>
          <w:spacing w:val="-20"/>
          <w:sz w:val="72"/>
          <w:lang w:val="en-US" w:eastAsia="zh-CN"/>
        </w:rPr>
        <w:t>磋商</w:t>
      </w:r>
      <w:r>
        <w:rPr>
          <w:rFonts w:hint="eastAsia" w:ascii="宋体" w:hAnsi="宋体"/>
          <w:b/>
          <w:bCs/>
          <w:spacing w:val="-20"/>
          <w:sz w:val="72"/>
        </w:rPr>
        <w:t>文件</w:t>
      </w:r>
    </w:p>
    <w:p w14:paraId="76F7617B">
      <w:pPr>
        <w:widowControl w:val="0"/>
        <w:ind w:firstLine="3753" w:firstLineChars="445"/>
        <w:textAlignment w:val="auto"/>
        <w:rPr>
          <w:rFonts w:ascii="宋体"/>
          <w:b/>
          <w:bCs/>
          <w:sz w:val="84"/>
        </w:rPr>
      </w:pPr>
    </w:p>
    <w:p w14:paraId="0C5543D6">
      <w:pPr>
        <w:widowControl w:val="0"/>
        <w:jc w:val="center"/>
        <w:textAlignment w:val="auto"/>
        <w:rPr>
          <w:rFonts w:ascii="宋体"/>
          <w:b/>
          <w:bCs/>
          <w:sz w:val="32"/>
        </w:rPr>
      </w:pPr>
    </w:p>
    <w:p w14:paraId="7839DCFD">
      <w:pPr>
        <w:widowControl w:val="0"/>
        <w:textAlignment w:val="auto"/>
        <w:rPr>
          <w:rFonts w:ascii="宋体"/>
          <w:b/>
          <w:bCs/>
          <w:sz w:val="32"/>
        </w:rPr>
      </w:pPr>
    </w:p>
    <w:p w14:paraId="21C9252F">
      <w:pPr>
        <w:widowControl w:val="0"/>
        <w:textAlignment w:val="auto"/>
        <w:rPr>
          <w:rFonts w:ascii="宋体"/>
          <w:b/>
          <w:bCs/>
          <w:sz w:val="32"/>
        </w:rPr>
      </w:pPr>
    </w:p>
    <w:p w14:paraId="189EEBEC">
      <w:pPr>
        <w:widowControl w:val="0"/>
        <w:ind w:firstLine="964" w:firstLineChars="300"/>
        <w:textAlignment w:val="auto"/>
        <w:rPr>
          <w:rFonts w:ascii="宋体"/>
          <w:b/>
          <w:bCs/>
          <w:sz w:val="32"/>
        </w:rPr>
      </w:pPr>
    </w:p>
    <w:p w14:paraId="345CA876">
      <w:pPr>
        <w:widowControl w:val="0"/>
        <w:ind w:firstLine="964" w:firstLineChars="300"/>
        <w:textAlignment w:val="auto"/>
        <w:rPr>
          <w:rFonts w:ascii="宋体"/>
          <w:b/>
          <w:bCs/>
          <w:sz w:val="32"/>
        </w:rPr>
      </w:pPr>
    </w:p>
    <w:p w14:paraId="24AA0494">
      <w:pPr>
        <w:widowControl w:val="0"/>
        <w:ind w:firstLine="964" w:firstLineChars="300"/>
        <w:textAlignment w:val="auto"/>
        <w:rPr>
          <w:rFonts w:ascii="宋体"/>
          <w:b/>
          <w:bCs/>
          <w:sz w:val="32"/>
        </w:rPr>
      </w:pPr>
    </w:p>
    <w:p w14:paraId="0330C1F1">
      <w:pPr>
        <w:widowControl w:val="0"/>
        <w:ind w:firstLine="964" w:firstLineChars="300"/>
        <w:textAlignment w:val="auto"/>
        <w:rPr>
          <w:rFonts w:ascii="宋体"/>
          <w:b/>
          <w:bCs/>
          <w:sz w:val="32"/>
        </w:rPr>
      </w:pPr>
    </w:p>
    <w:p w14:paraId="4773A1AF">
      <w:pPr>
        <w:widowControl w:val="0"/>
        <w:spacing w:line="500" w:lineRule="atLeast"/>
        <w:ind w:firstLine="1262" w:firstLineChars="419"/>
        <w:textAlignment w:val="auto"/>
        <w:rPr>
          <w:rFonts w:ascii="宋体"/>
          <w:b/>
          <w:bCs/>
          <w:sz w:val="30"/>
          <w:szCs w:val="30"/>
        </w:rPr>
      </w:pPr>
    </w:p>
    <w:p w14:paraId="3C7EAD3E">
      <w:pPr>
        <w:widowControl w:val="0"/>
        <w:tabs>
          <w:tab w:val="left" w:pos="8105"/>
        </w:tabs>
        <w:spacing w:line="500" w:lineRule="atLeast"/>
        <w:textAlignment w:val="auto"/>
        <w:rPr>
          <w:rFonts w:hint="eastAsia" w:ascii="宋体" w:hAnsi="宋体" w:cs="Times New Roman"/>
          <w:b/>
          <w:bCs/>
          <w:sz w:val="30"/>
          <w:szCs w:val="30"/>
          <w:u w:val="single"/>
          <w:lang w:val="en-US" w:eastAsia="zh-CN"/>
        </w:rPr>
      </w:pPr>
    </w:p>
    <w:p w14:paraId="1551565F">
      <w:pPr>
        <w:widowControl w:val="0"/>
        <w:tabs>
          <w:tab w:val="left" w:pos="8105"/>
        </w:tabs>
        <w:spacing w:line="500" w:lineRule="atLeast"/>
        <w:textAlignment w:val="auto"/>
        <w:rPr>
          <w:rFonts w:ascii="宋体"/>
          <w:b/>
          <w:bCs/>
          <w:sz w:val="30"/>
          <w:szCs w:val="30"/>
        </w:rPr>
      </w:pPr>
      <w:r>
        <w:rPr>
          <w:rFonts w:hint="eastAsia" w:ascii="宋体" w:hAnsi="宋体" w:cs="Times New Roman"/>
          <w:b/>
          <w:bCs/>
          <w:sz w:val="30"/>
          <w:szCs w:val="30"/>
          <w:u w:val="none"/>
          <w:lang w:val="en-US" w:eastAsia="zh-CN"/>
        </w:rPr>
        <w:t>业主单位：</w:t>
      </w:r>
      <w:r>
        <w:rPr>
          <w:rFonts w:hint="eastAsia" w:ascii="宋体" w:hAnsi="宋体" w:cs="Times New Roman"/>
          <w:b/>
          <w:bCs/>
          <w:sz w:val="30"/>
          <w:szCs w:val="30"/>
          <w:u w:val="single"/>
          <w:lang w:val="en-US" w:eastAsia="zh-CN"/>
        </w:rPr>
        <w:t>贵州普定农村商业银行股份有限公司</w:t>
      </w:r>
      <w:r>
        <w:rPr>
          <w:rFonts w:ascii="宋体"/>
          <w:b/>
          <w:bCs/>
          <w:sz w:val="30"/>
          <w:szCs w:val="30"/>
        </w:rPr>
        <w:tab/>
      </w:r>
    </w:p>
    <w:p w14:paraId="72630554">
      <w:pPr>
        <w:widowControl w:val="0"/>
        <w:textAlignment w:val="auto"/>
        <w:rPr>
          <w:rFonts w:ascii="Calibri" w:hAnsi="Calibri"/>
        </w:rPr>
      </w:pPr>
    </w:p>
    <w:p w14:paraId="73D626A7">
      <w:pPr>
        <w:spacing w:line="600" w:lineRule="atLeast"/>
        <w:rPr>
          <w:rStyle w:val="13"/>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3"/>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2025年10月</w:t>
      </w:r>
    </w:p>
    <w:p w14:paraId="00D5D89B">
      <w:pPr>
        <w:tabs>
          <w:tab w:val="left" w:pos="1245"/>
          <w:tab w:val="center" w:pos="4535"/>
        </w:tabs>
        <w:spacing w:line="600" w:lineRule="exact"/>
        <w:jc w:val="center"/>
        <w:rPr>
          <w:rStyle w:val="13"/>
          <w:rFonts w:ascii="宋体"/>
          <w:b/>
          <w:bCs/>
          <w:sz w:val="44"/>
          <w:szCs w:val="44"/>
        </w:rPr>
      </w:pPr>
      <w:r>
        <w:rPr>
          <w:rStyle w:val="13"/>
          <w:rFonts w:hint="eastAsia" w:ascii="宋体" w:hAnsi="宋体"/>
          <w:b/>
          <w:bCs/>
          <w:sz w:val="44"/>
          <w:szCs w:val="44"/>
        </w:rPr>
        <w:t>目</w:t>
      </w:r>
      <w:r>
        <w:rPr>
          <w:rStyle w:val="13"/>
          <w:rFonts w:ascii="宋体" w:hAnsi="宋体"/>
          <w:b/>
          <w:bCs/>
          <w:sz w:val="44"/>
          <w:szCs w:val="44"/>
        </w:rPr>
        <w:t xml:space="preserve">   </w:t>
      </w:r>
      <w:r>
        <w:rPr>
          <w:rStyle w:val="13"/>
          <w:rFonts w:hint="eastAsia" w:ascii="宋体" w:hAnsi="宋体"/>
          <w:b/>
          <w:bCs/>
          <w:sz w:val="44"/>
          <w:szCs w:val="44"/>
        </w:rPr>
        <w:t>录</w:t>
      </w:r>
    </w:p>
    <w:p w14:paraId="2F9D1046">
      <w:pPr>
        <w:tabs>
          <w:tab w:val="left" w:pos="1245"/>
          <w:tab w:val="center" w:pos="4535"/>
        </w:tabs>
        <w:spacing w:line="600" w:lineRule="exact"/>
        <w:jc w:val="center"/>
        <w:rPr>
          <w:rStyle w:val="13"/>
          <w:rFonts w:ascii="宋体"/>
          <w:b/>
          <w:bCs/>
          <w:sz w:val="44"/>
          <w:szCs w:val="44"/>
        </w:rPr>
      </w:pPr>
    </w:p>
    <w:p w14:paraId="21A55CB0">
      <w:pPr>
        <w:tabs>
          <w:tab w:val="left" w:pos="1245"/>
          <w:tab w:val="center" w:pos="4535"/>
        </w:tabs>
        <w:spacing w:line="520" w:lineRule="exact"/>
        <w:jc w:val="distribute"/>
        <w:rPr>
          <w:rStyle w:val="13"/>
          <w:rFonts w:hint="default" w:ascii="宋体"/>
          <w:bCs/>
          <w:spacing w:val="24"/>
          <w:sz w:val="24"/>
          <w:lang w:val="en-US"/>
        </w:rPr>
      </w:pPr>
      <w:r>
        <w:rPr>
          <w:rStyle w:val="13"/>
          <w:rFonts w:hint="eastAsia" w:ascii="宋体" w:hAnsi="宋体"/>
          <w:bCs/>
          <w:sz w:val="24"/>
        </w:rPr>
        <w:t>第一章</w:t>
      </w:r>
      <w:r>
        <w:rPr>
          <w:rStyle w:val="13"/>
          <w:rFonts w:ascii="宋体" w:hAnsi="宋体"/>
          <w:bCs/>
          <w:sz w:val="24"/>
        </w:rPr>
        <w:t xml:space="preserve">  </w:t>
      </w:r>
      <w:r>
        <w:rPr>
          <w:rStyle w:val="13"/>
          <w:rFonts w:hint="eastAsia" w:ascii="宋体" w:hAnsi="宋体"/>
          <w:bCs/>
          <w:spacing w:val="24"/>
          <w:sz w:val="24"/>
          <w:lang w:val="en-US"/>
        </w:rPr>
        <w:t>磋商</w:t>
      </w:r>
      <w:r>
        <w:rPr>
          <w:rStyle w:val="13"/>
          <w:rFonts w:hint="eastAsia" w:ascii="宋体" w:hAnsi="宋体"/>
          <w:bCs/>
          <w:spacing w:val="24"/>
          <w:sz w:val="24"/>
        </w:rPr>
        <w:t>公告…</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rPr>
        <w:t>………</w:t>
      </w:r>
      <w:r>
        <w:rPr>
          <w:rStyle w:val="13"/>
          <w:rFonts w:ascii="宋体" w:hAnsi="宋体"/>
          <w:bCs/>
          <w:sz w:val="24"/>
        </w:rPr>
        <w:t xml:space="preserve">  </w:t>
      </w:r>
      <w:r>
        <w:rPr>
          <w:rStyle w:val="13"/>
          <w:rFonts w:hint="eastAsia" w:ascii="宋体" w:hAnsi="宋体"/>
          <w:bCs/>
          <w:sz w:val="24"/>
          <w:lang w:val="en-US"/>
        </w:rPr>
        <w:t>1</w:t>
      </w:r>
    </w:p>
    <w:p w14:paraId="35847992">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第二章</w:t>
      </w:r>
      <w:r>
        <w:rPr>
          <w:rStyle w:val="13"/>
          <w:rFonts w:ascii="宋体" w:hAnsi="宋体"/>
          <w:bCs/>
          <w:sz w:val="24"/>
        </w:rPr>
        <w:t xml:space="preserve">  </w:t>
      </w:r>
      <w:r>
        <w:rPr>
          <w:rStyle w:val="13"/>
          <w:rFonts w:hint="eastAsia" w:ascii="宋体" w:hAnsi="宋体"/>
          <w:bCs/>
          <w:sz w:val="24"/>
          <w:lang w:val="en-US"/>
        </w:rPr>
        <w:t>项目内容及要求</w:t>
      </w:r>
      <w:r>
        <w:rPr>
          <w:rStyle w:val="13"/>
          <w:rFonts w:hint="eastAsia" w:ascii="宋体" w:hAnsi="宋体"/>
          <w:bCs/>
          <w:spacing w:val="24"/>
          <w:sz w:val="24"/>
        </w:rPr>
        <w:t>…</w:t>
      </w:r>
      <w:r>
        <w:rPr>
          <w:rStyle w:val="13"/>
          <w:rFonts w:hint="eastAsia" w:ascii="宋体"/>
          <w:bCs/>
          <w:sz w:val="24"/>
        </w:rPr>
        <w:t>………………………………………………………………</w:t>
      </w:r>
      <w:r>
        <w:rPr>
          <w:rStyle w:val="13"/>
          <w:rFonts w:hint="eastAsia" w:ascii="宋体" w:hAnsi="宋体"/>
          <w:bCs/>
          <w:sz w:val="24"/>
        </w:rPr>
        <w:t>…</w:t>
      </w:r>
      <w:r>
        <w:rPr>
          <w:rStyle w:val="13"/>
          <w:rFonts w:hint="eastAsia" w:ascii="宋体" w:hAnsi="宋体"/>
          <w:bCs/>
          <w:sz w:val="24"/>
          <w:lang w:val="en-US"/>
        </w:rPr>
        <w:t xml:space="preserve">  3</w:t>
      </w:r>
    </w:p>
    <w:p w14:paraId="7A573AB1">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第三章</w:t>
      </w:r>
      <w:r>
        <w:rPr>
          <w:rStyle w:val="13"/>
          <w:rFonts w:ascii="宋体" w:hAnsi="宋体"/>
          <w:bCs/>
          <w:sz w:val="24"/>
        </w:rPr>
        <w:t xml:space="preserve">  </w:t>
      </w:r>
      <w:r>
        <w:rPr>
          <w:rStyle w:val="13"/>
          <w:rFonts w:hint="eastAsia" w:ascii="宋体" w:hAnsi="宋体"/>
          <w:bCs/>
          <w:sz w:val="24"/>
          <w:lang w:val="en-US" w:eastAsia="zh-CN"/>
        </w:rPr>
        <w:t>评审工作程序</w:t>
      </w:r>
      <w:r>
        <w:rPr>
          <w:rStyle w:val="13"/>
          <w:rFonts w:ascii="宋体" w:hAnsi="宋体"/>
          <w:bCs/>
          <w:sz w:val="24"/>
        </w:rPr>
        <w:t xml:space="preserve">  </w:t>
      </w:r>
      <w:r>
        <w:rPr>
          <w:rStyle w:val="13"/>
          <w:rFonts w:hint="eastAsia" w:ascii="宋体" w:hAnsi="宋体"/>
          <w:bCs/>
          <w:sz w:val="24"/>
        </w:rPr>
        <w:t>……………………………………………………………</w:t>
      </w:r>
      <w:r>
        <w:rPr>
          <w:rStyle w:val="13"/>
          <w:rFonts w:hint="eastAsia" w:ascii="宋体"/>
          <w:bCs/>
          <w:sz w:val="24"/>
        </w:rPr>
        <w:t>…………</w:t>
      </w:r>
      <w:r>
        <w:rPr>
          <w:rStyle w:val="13"/>
          <w:rFonts w:ascii="宋体" w:hAnsi="宋体"/>
          <w:bCs/>
          <w:sz w:val="24"/>
        </w:rPr>
        <w:t xml:space="preserve"> </w:t>
      </w:r>
      <w:r>
        <w:rPr>
          <w:rStyle w:val="13"/>
          <w:rFonts w:hint="eastAsia" w:ascii="宋体" w:hAnsi="宋体"/>
          <w:bCs/>
          <w:sz w:val="24"/>
          <w:lang w:val="en-US"/>
        </w:rPr>
        <w:t>5</w:t>
      </w:r>
    </w:p>
    <w:p w14:paraId="4B137432">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第四章</w:t>
      </w:r>
      <w:r>
        <w:rPr>
          <w:rStyle w:val="13"/>
          <w:rFonts w:ascii="宋体" w:hAnsi="宋体"/>
          <w:bCs/>
          <w:sz w:val="24"/>
        </w:rPr>
        <w:t xml:space="preserve"> </w:t>
      </w:r>
      <w:r>
        <w:rPr>
          <w:rStyle w:val="13"/>
          <w:rFonts w:hint="eastAsia" w:ascii="宋体" w:hAnsi="宋体"/>
          <w:bCs/>
          <w:sz w:val="24"/>
          <w:lang w:val="en-US"/>
        </w:rPr>
        <w:t xml:space="preserve"> </w:t>
      </w:r>
      <w:r>
        <w:rPr>
          <w:rStyle w:val="13"/>
          <w:rFonts w:hint="eastAsia" w:ascii="宋体" w:hAnsi="宋体"/>
          <w:bCs/>
          <w:sz w:val="24"/>
        </w:rPr>
        <w:t>竞选文件格式</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ascii="宋体" w:hAnsi="宋体"/>
          <w:bCs/>
          <w:sz w:val="24"/>
        </w:rPr>
        <w:t xml:space="preserve"> </w:t>
      </w:r>
      <w:r>
        <w:rPr>
          <w:rStyle w:val="13"/>
          <w:rFonts w:hint="eastAsia" w:ascii="宋体" w:hAnsi="宋体"/>
          <w:bCs/>
          <w:sz w:val="24"/>
          <w:lang w:val="en-US"/>
        </w:rPr>
        <w:t>8</w:t>
      </w:r>
    </w:p>
    <w:p w14:paraId="13A5D56F">
      <w:pPr>
        <w:tabs>
          <w:tab w:val="left" w:pos="1426"/>
          <w:tab w:val="center" w:pos="4882"/>
        </w:tabs>
        <w:spacing w:line="560" w:lineRule="exact"/>
        <w:jc w:val="center"/>
        <w:outlineLvl w:val="0"/>
        <w:rPr>
          <w:rFonts w:hint="eastAsia" w:ascii="宋体" w:hAnsi="宋体" w:eastAsia="宋体" w:cs="宋体"/>
          <w:b/>
          <w:sz w:val="36"/>
        </w:rPr>
      </w:pPr>
    </w:p>
    <w:p w14:paraId="23BA2C08">
      <w:pPr>
        <w:tabs>
          <w:tab w:val="left" w:pos="1426"/>
          <w:tab w:val="center" w:pos="4882"/>
        </w:tabs>
        <w:spacing w:line="560" w:lineRule="exact"/>
        <w:jc w:val="center"/>
        <w:outlineLvl w:val="0"/>
        <w:rPr>
          <w:rFonts w:hint="eastAsia" w:ascii="宋体" w:hAnsi="宋体" w:eastAsia="宋体" w:cs="宋体"/>
          <w:b/>
          <w:sz w:val="36"/>
        </w:rPr>
      </w:pPr>
    </w:p>
    <w:p w14:paraId="0AB0DC69">
      <w:pPr>
        <w:tabs>
          <w:tab w:val="left" w:pos="1426"/>
          <w:tab w:val="center" w:pos="4882"/>
        </w:tabs>
        <w:spacing w:line="560" w:lineRule="exact"/>
        <w:jc w:val="center"/>
        <w:outlineLvl w:val="0"/>
        <w:rPr>
          <w:rFonts w:hint="eastAsia" w:ascii="宋体" w:hAnsi="宋体" w:eastAsia="宋体" w:cs="宋体"/>
          <w:b/>
          <w:sz w:val="36"/>
        </w:rPr>
      </w:pPr>
    </w:p>
    <w:p w14:paraId="0895720A">
      <w:pPr>
        <w:tabs>
          <w:tab w:val="left" w:pos="1426"/>
          <w:tab w:val="center" w:pos="4882"/>
        </w:tabs>
        <w:spacing w:line="560" w:lineRule="exact"/>
        <w:jc w:val="center"/>
        <w:outlineLvl w:val="0"/>
        <w:rPr>
          <w:rFonts w:hint="eastAsia" w:ascii="宋体" w:hAnsi="宋体" w:eastAsia="宋体" w:cs="宋体"/>
          <w:b/>
          <w:sz w:val="36"/>
        </w:rPr>
      </w:pPr>
    </w:p>
    <w:p w14:paraId="36C0AF2B">
      <w:pPr>
        <w:tabs>
          <w:tab w:val="left" w:pos="1426"/>
          <w:tab w:val="center" w:pos="4882"/>
        </w:tabs>
        <w:spacing w:line="560" w:lineRule="exact"/>
        <w:jc w:val="center"/>
        <w:outlineLvl w:val="0"/>
        <w:rPr>
          <w:rFonts w:hint="eastAsia" w:ascii="宋体" w:hAnsi="宋体" w:eastAsia="宋体" w:cs="宋体"/>
          <w:b/>
          <w:sz w:val="36"/>
        </w:rPr>
      </w:pPr>
    </w:p>
    <w:p w14:paraId="107AF7F9">
      <w:pPr>
        <w:tabs>
          <w:tab w:val="left" w:pos="1426"/>
          <w:tab w:val="center" w:pos="4882"/>
        </w:tabs>
        <w:spacing w:line="560" w:lineRule="exact"/>
        <w:jc w:val="center"/>
        <w:outlineLvl w:val="0"/>
        <w:rPr>
          <w:rFonts w:hint="eastAsia" w:ascii="宋体" w:hAnsi="宋体" w:eastAsia="宋体" w:cs="宋体"/>
          <w:b/>
          <w:sz w:val="36"/>
        </w:rPr>
      </w:pPr>
    </w:p>
    <w:p w14:paraId="16F1EB9E">
      <w:pPr>
        <w:tabs>
          <w:tab w:val="left" w:pos="1426"/>
          <w:tab w:val="center" w:pos="4882"/>
        </w:tabs>
        <w:spacing w:line="560" w:lineRule="exact"/>
        <w:jc w:val="center"/>
        <w:outlineLvl w:val="0"/>
        <w:rPr>
          <w:rFonts w:hint="eastAsia" w:ascii="宋体" w:hAnsi="宋体" w:eastAsia="宋体" w:cs="宋体"/>
          <w:b/>
          <w:sz w:val="36"/>
        </w:rPr>
      </w:pPr>
    </w:p>
    <w:p w14:paraId="1A99CC74">
      <w:pPr>
        <w:tabs>
          <w:tab w:val="left" w:pos="1426"/>
          <w:tab w:val="center" w:pos="4882"/>
        </w:tabs>
        <w:spacing w:line="560" w:lineRule="exact"/>
        <w:jc w:val="center"/>
        <w:outlineLvl w:val="0"/>
        <w:rPr>
          <w:rFonts w:hint="eastAsia" w:ascii="宋体" w:hAnsi="宋体" w:eastAsia="宋体" w:cs="宋体"/>
          <w:b/>
          <w:sz w:val="36"/>
        </w:rPr>
      </w:pPr>
    </w:p>
    <w:p w14:paraId="32A632E7">
      <w:pPr>
        <w:tabs>
          <w:tab w:val="left" w:pos="1426"/>
          <w:tab w:val="center" w:pos="4882"/>
        </w:tabs>
        <w:spacing w:line="560" w:lineRule="exact"/>
        <w:jc w:val="center"/>
        <w:outlineLvl w:val="0"/>
        <w:rPr>
          <w:rFonts w:hint="eastAsia" w:ascii="宋体" w:hAnsi="宋体" w:eastAsia="宋体" w:cs="宋体"/>
          <w:b/>
          <w:sz w:val="36"/>
        </w:rPr>
      </w:pPr>
    </w:p>
    <w:p w14:paraId="5E9475BD">
      <w:pPr>
        <w:tabs>
          <w:tab w:val="left" w:pos="1426"/>
          <w:tab w:val="center" w:pos="4882"/>
        </w:tabs>
        <w:spacing w:line="560" w:lineRule="exact"/>
        <w:jc w:val="center"/>
        <w:outlineLvl w:val="0"/>
        <w:rPr>
          <w:rFonts w:hint="eastAsia" w:ascii="宋体" w:hAnsi="宋体" w:eastAsia="宋体" w:cs="宋体"/>
          <w:b/>
          <w:sz w:val="36"/>
        </w:rPr>
      </w:pPr>
    </w:p>
    <w:p w14:paraId="76060A82">
      <w:pPr>
        <w:tabs>
          <w:tab w:val="left" w:pos="1426"/>
          <w:tab w:val="center" w:pos="4882"/>
        </w:tabs>
        <w:spacing w:line="560" w:lineRule="exact"/>
        <w:jc w:val="center"/>
        <w:outlineLvl w:val="0"/>
        <w:rPr>
          <w:rFonts w:hint="eastAsia" w:ascii="宋体" w:hAnsi="宋体" w:eastAsia="宋体" w:cs="宋体"/>
          <w:b/>
          <w:sz w:val="36"/>
        </w:rPr>
      </w:pPr>
    </w:p>
    <w:p w14:paraId="7C90F73F">
      <w:pPr>
        <w:tabs>
          <w:tab w:val="left" w:pos="1426"/>
          <w:tab w:val="center" w:pos="4882"/>
        </w:tabs>
        <w:spacing w:line="560" w:lineRule="exact"/>
        <w:jc w:val="center"/>
        <w:outlineLvl w:val="0"/>
        <w:rPr>
          <w:rFonts w:hint="eastAsia" w:ascii="宋体" w:hAnsi="宋体" w:eastAsia="宋体" w:cs="宋体"/>
          <w:b/>
          <w:sz w:val="36"/>
        </w:rPr>
      </w:pPr>
    </w:p>
    <w:p w14:paraId="1B48AFAA">
      <w:pPr>
        <w:tabs>
          <w:tab w:val="left" w:pos="1426"/>
          <w:tab w:val="center" w:pos="4882"/>
        </w:tabs>
        <w:spacing w:line="560" w:lineRule="exact"/>
        <w:jc w:val="center"/>
        <w:outlineLvl w:val="0"/>
        <w:rPr>
          <w:rFonts w:hint="eastAsia" w:ascii="宋体" w:hAnsi="宋体" w:eastAsia="宋体" w:cs="宋体"/>
          <w:b/>
          <w:sz w:val="36"/>
        </w:rPr>
      </w:pPr>
    </w:p>
    <w:p w14:paraId="13A63000">
      <w:pPr>
        <w:tabs>
          <w:tab w:val="left" w:pos="1426"/>
          <w:tab w:val="center" w:pos="4882"/>
        </w:tabs>
        <w:spacing w:line="560" w:lineRule="exact"/>
        <w:jc w:val="center"/>
        <w:outlineLvl w:val="0"/>
        <w:rPr>
          <w:rFonts w:hint="eastAsia" w:ascii="宋体" w:hAnsi="宋体" w:eastAsia="宋体" w:cs="宋体"/>
          <w:b/>
          <w:sz w:val="36"/>
        </w:rPr>
      </w:pPr>
    </w:p>
    <w:p w14:paraId="7EDA68CE">
      <w:pPr>
        <w:tabs>
          <w:tab w:val="left" w:pos="1426"/>
          <w:tab w:val="center" w:pos="4882"/>
        </w:tabs>
        <w:spacing w:line="560" w:lineRule="exact"/>
        <w:jc w:val="center"/>
        <w:outlineLvl w:val="0"/>
        <w:rPr>
          <w:rFonts w:hint="eastAsia" w:ascii="宋体" w:hAnsi="宋体" w:eastAsia="宋体" w:cs="宋体"/>
          <w:b/>
          <w:sz w:val="36"/>
        </w:rPr>
      </w:pPr>
    </w:p>
    <w:p w14:paraId="1B21ADCD">
      <w:pPr>
        <w:tabs>
          <w:tab w:val="left" w:pos="1426"/>
          <w:tab w:val="center" w:pos="4882"/>
        </w:tabs>
        <w:spacing w:line="560" w:lineRule="exact"/>
        <w:jc w:val="center"/>
        <w:outlineLvl w:val="0"/>
        <w:rPr>
          <w:rFonts w:hint="eastAsia" w:ascii="宋体" w:hAnsi="宋体" w:eastAsia="宋体" w:cs="宋体"/>
          <w:b/>
          <w:sz w:val="36"/>
        </w:rPr>
      </w:pPr>
    </w:p>
    <w:p w14:paraId="4649CB30">
      <w:pPr>
        <w:tabs>
          <w:tab w:val="left" w:pos="1426"/>
          <w:tab w:val="center" w:pos="4882"/>
        </w:tabs>
        <w:spacing w:line="560" w:lineRule="exact"/>
        <w:jc w:val="center"/>
        <w:outlineLvl w:val="0"/>
        <w:rPr>
          <w:rFonts w:hint="eastAsia" w:ascii="宋体" w:hAnsi="宋体" w:eastAsia="宋体" w:cs="宋体"/>
          <w:b/>
          <w:sz w:val="36"/>
        </w:rPr>
      </w:pPr>
    </w:p>
    <w:p w14:paraId="4D257D70">
      <w:pPr>
        <w:tabs>
          <w:tab w:val="left" w:pos="1426"/>
          <w:tab w:val="center" w:pos="4882"/>
        </w:tabs>
        <w:spacing w:line="560" w:lineRule="exact"/>
        <w:jc w:val="center"/>
        <w:outlineLvl w:val="0"/>
        <w:rPr>
          <w:rFonts w:hint="eastAsia" w:ascii="宋体" w:hAnsi="宋体" w:eastAsia="宋体" w:cs="宋体"/>
          <w:b/>
          <w:sz w:val="36"/>
        </w:rPr>
      </w:pPr>
    </w:p>
    <w:p w14:paraId="6A31E870">
      <w:pPr>
        <w:tabs>
          <w:tab w:val="left" w:pos="1426"/>
          <w:tab w:val="center" w:pos="4882"/>
        </w:tabs>
        <w:spacing w:line="560" w:lineRule="exact"/>
        <w:jc w:val="center"/>
        <w:outlineLvl w:val="0"/>
        <w:rPr>
          <w:rFonts w:hint="eastAsia" w:ascii="宋体" w:hAnsi="宋体" w:eastAsia="宋体" w:cs="宋体"/>
          <w:b/>
          <w:sz w:val="36"/>
        </w:rPr>
      </w:pPr>
    </w:p>
    <w:p w14:paraId="377E0EEE">
      <w:pPr>
        <w:tabs>
          <w:tab w:val="left" w:pos="1426"/>
          <w:tab w:val="center" w:pos="4882"/>
        </w:tabs>
        <w:spacing w:line="560" w:lineRule="exact"/>
        <w:jc w:val="center"/>
        <w:outlineLvl w:val="0"/>
        <w:rPr>
          <w:rFonts w:hint="eastAsia" w:ascii="宋体" w:hAnsi="宋体" w:eastAsia="宋体" w:cs="宋体"/>
          <w:b/>
          <w:sz w:val="36"/>
        </w:rPr>
      </w:pPr>
    </w:p>
    <w:p w14:paraId="30C86BDD">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eastAsia" w:ascii="方正小标宋简体" w:hAnsi="方正小标宋简体" w:eastAsia="方正小标宋简体" w:cs="方正小标宋简体"/>
          <w:b w:val="0"/>
          <w:bCs/>
          <w:sz w:val="44"/>
          <w:szCs w:val="44"/>
          <w:lang w:val="en-US" w:eastAsia="zh-CN"/>
        </w:rPr>
        <w:sectPr>
          <w:footerReference r:id="rId5" w:type="default"/>
          <w:pgSz w:w="11906" w:h="16838"/>
          <w:pgMar w:top="1089" w:right="1106" w:bottom="829" w:left="1259" w:header="624" w:footer="720" w:gutter="0"/>
          <w:pgNumType w:fmt="decimal"/>
          <w:cols w:space="425" w:num="1"/>
          <w:docGrid w:linePitch="312" w:charSpace="0"/>
        </w:sectPr>
      </w:pPr>
    </w:p>
    <w:p w14:paraId="6F1487A6">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第一章</w:t>
      </w:r>
      <w:r>
        <w:rPr>
          <w:rFonts w:hint="eastAsia" w:ascii="方正小标宋简体" w:hAnsi="方正小标宋简体" w:eastAsia="方正小标宋简体" w:cs="方正小标宋简体"/>
          <w:b w:val="0"/>
          <w:bCs/>
          <w:sz w:val="44"/>
          <w:szCs w:val="44"/>
        </w:rPr>
        <w:t xml:space="preserve"> </w:t>
      </w:r>
      <w:r>
        <w:rPr>
          <w:rFonts w:hint="eastAsia" w:ascii="方正小标宋简体" w:hAnsi="方正小标宋简体" w:eastAsia="方正小标宋简体" w:cs="方正小标宋简体"/>
          <w:b w:val="0"/>
          <w:bCs/>
          <w:sz w:val="44"/>
          <w:szCs w:val="44"/>
          <w:lang w:val="en-US" w:eastAsia="zh-CN"/>
        </w:rPr>
        <w:t>磋商</w:t>
      </w:r>
      <w:r>
        <w:rPr>
          <w:rFonts w:hint="eastAsia" w:ascii="方正小标宋简体" w:hAnsi="方正小标宋简体" w:eastAsia="方正小标宋简体" w:cs="方正小标宋简体"/>
          <w:b w:val="0"/>
          <w:bCs/>
          <w:sz w:val="44"/>
          <w:szCs w:val="44"/>
        </w:rPr>
        <w:t>公告</w:t>
      </w:r>
    </w:p>
    <w:p w14:paraId="09C32E6B">
      <w:pPr>
        <w:pStyle w:val="3"/>
        <w:keepNext w:val="0"/>
        <w:keepLines w:val="0"/>
        <w:pageBreakBefore w:val="0"/>
        <w:numPr>
          <w:ilvl w:val="0"/>
          <w:numId w:val="0"/>
        </w:numPr>
        <w:kinsoku/>
        <w:wordWrap/>
        <w:overflowPunct/>
        <w:topLinePunct w:val="0"/>
        <w:autoSpaceDE/>
        <w:autoSpaceDN/>
        <w:bidi w:val="0"/>
        <w:adjustRightInd/>
        <w:snapToGrid/>
        <w:spacing w:line="560" w:lineRule="exact"/>
        <w:textAlignment w:val="baseline"/>
        <w:rPr>
          <w:rFonts w:hint="eastAsia"/>
        </w:rPr>
      </w:pPr>
    </w:p>
    <w:p w14:paraId="3DE0738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baseline"/>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rPr>
        <w:t>一、项目概况</w:t>
      </w:r>
    </w:p>
    <w:p w14:paraId="09D75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项目名称：贵州普定农村商业银行股份有限公司采购补充医疗保险服务合作机构</w:t>
      </w:r>
    </w:p>
    <w:p w14:paraId="077DC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rPr>
        <w:t>二、</w:t>
      </w:r>
      <w:r>
        <w:rPr>
          <w:rStyle w:val="11"/>
          <w:rFonts w:hint="eastAsia" w:ascii="黑体" w:hAnsi="黑体" w:eastAsia="黑体" w:cs="黑体"/>
          <w:b w:val="0"/>
          <w:bCs w:val="0"/>
          <w:i w:val="0"/>
          <w:iCs w:val="0"/>
          <w:caps w:val="0"/>
          <w:color w:val="333333"/>
          <w:spacing w:val="0"/>
          <w:sz w:val="32"/>
          <w:szCs w:val="32"/>
          <w:shd w:val="clear" w:fill="FFFFFF"/>
          <w:lang w:val="en-US" w:eastAsia="zh-CN"/>
        </w:rPr>
        <w:t>竞选人</w:t>
      </w:r>
      <w:r>
        <w:rPr>
          <w:rStyle w:val="11"/>
          <w:rFonts w:hint="eastAsia" w:ascii="黑体" w:hAnsi="黑体" w:eastAsia="黑体" w:cs="黑体"/>
          <w:b w:val="0"/>
          <w:bCs w:val="0"/>
          <w:i w:val="0"/>
          <w:iCs w:val="0"/>
          <w:caps w:val="0"/>
          <w:color w:val="333333"/>
          <w:spacing w:val="0"/>
          <w:sz w:val="32"/>
          <w:szCs w:val="32"/>
          <w:shd w:val="clear" w:fill="FFFFFF"/>
        </w:rPr>
        <w:t>资格要求</w:t>
      </w:r>
    </w:p>
    <w:p w14:paraId="7C4E72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1.合法经营资质：须为经中国银行保险监督管理机构批准的公司或其他分公司，持有有效的《经营保险业务许可证》，具备独立法人资格或其分支机构，有固定的经营办公场所，不接受联合体投标。</w:t>
      </w:r>
    </w:p>
    <w:p w14:paraId="6BAAA2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2.信用与合规性：无重大违法记录，自采购公告发布之日前三年内无犯罪记录。</w:t>
      </w:r>
    </w:p>
    <w:p w14:paraId="43F286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3.信誉要求：在“信用中国”“中国执行信息公开网”“中国政府采购网”等平台无重大失信记录；近三年在经营活动中无重大违法记录，无商业贿赂等不良行为；</w:t>
      </w:r>
    </w:p>
    <w:p w14:paraId="0CD24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4.财务状况： 财务状况良好，无处分被责令停业、财产接管、冻结、破产状态，能够按照国家规定开具增值税专用发票。</w:t>
      </w:r>
    </w:p>
    <w:p w14:paraId="4983E376">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rPr>
          <w:rStyle w:val="11"/>
          <w:rFonts w:hint="eastAsia" w:ascii="仿宋_GB2312" w:hAnsi="仿宋_GB2312" w:eastAsia="仿宋_GB2312" w:cs="仿宋_GB2312"/>
          <w:b/>
          <w:bCs/>
          <w:i w:val="0"/>
          <w:iCs w:val="0"/>
          <w:caps w:val="0"/>
          <w:color w:val="333333"/>
          <w:spacing w:val="0"/>
          <w:sz w:val="32"/>
          <w:szCs w:val="32"/>
          <w:shd w:val="clear" w:fill="FFFFFF"/>
        </w:rPr>
      </w:pPr>
      <w:r>
        <w:rPr>
          <w:rStyle w:val="11"/>
          <w:rFonts w:hint="eastAsia" w:ascii="仿宋_GB2312" w:hAnsi="仿宋_GB2312" w:eastAsia="仿宋_GB2312" w:cs="仿宋_GB2312"/>
          <w:b w:val="0"/>
          <w:bCs w:val="0"/>
          <w:i w:val="0"/>
          <w:iCs w:val="0"/>
          <w:caps w:val="0"/>
          <w:color w:val="333333"/>
          <w:spacing w:val="0"/>
          <w:sz w:val="32"/>
          <w:szCs w:val="32"/>
          <w:shd w:val="clear" w:fill="FFFFFF"/>
        </w:rPr>
        <w:t>【</w:t>
      </w:r>
      <w:r>
        <w:rPr>
          <w:rStyle w:val="11"/>
          <w:rFonts w:hint="eastAsia" w:ascii="仿宋_GB2312" w:hAnsi="仿宋_GB2312" w:eastAsia="仿宋_GB2312" w:cs="仿宋_GB2312"/>
          <w:b/>
          <w:bCs/>
          <w:i w:val="0"/>
          <w:iCs w:val="0"/>
          <w:caps w:val="0"/>
          <w:color w:val="333333"/>
          <w:spacing w:val="0"/>
          <w:sz w:val="32"/>
          <w:szCs w:val="32"/>
          <w:shd w:val="clear" w:fill="FFFFFF"/>
          <w:lang w:eastAsia="zh-CN"/>
        </w:rPr>
        <w:t>报名时，</w:t>
      </w:r>
      <w:r>
        <w:rPr>
          <w:rStyle w:val="11"/>
          <w:rFonts w:hint="eastAsia" w:ascii="仿宋_GB2312" w:hAnsi="仿宋_GB2312" w:eastAsia="仿宋_GB2312" w:cs="仿宋_GB2312"/>
          <w:b/>
          <w:bCs/>
          <w:i w:val="0"/>
          <w:iCs w:val="0"/>
          <w:caps w:val="0"/>
          <w:color w:val="333333"/>
          <w:spacing w:val="0"/>
          <w:sz w:val="32"/>
          <w:szCs w:val="32"/>
          <w:shd w:val="clear" w:fill="FFFFFF"/>
        </w:rPr>
        <w:t>须提供以上资料复印件加盖公章一套</w:t>
      </w:r>
      <w:r>
        <w:rPr>
          <w:rStyle w:val="11"/>
          <w:rFonts w:hint="eastAsia" w:ascii="仿宋_GB2312" w:hAnsi="仿宋_GB2312" w:eastAsia="仿宋_GB2312" w:cs="仿宋_GB2312"/>
          <w:b/>
          <w:bCs/>
          <w:i w:val="0"/>
          <w:iCs w:val="0"/>
          <w:caps w:val="0"/>
          <w:color w:val="333333"/>
          <w:spacing w:val="0"/>
          <w:sz w:val="32"/>
          <w:szCs w:val="32"/>
          <w:shd w:val="clear" w:fill="FFFFFF"/>
          <w:lang w:eastAsia="zh-CN"/>
        </w:rPr>
        <w:t>，不提供或提供不齐全不予报名</w:t>
      </w:r>
      <w:r>
        <w:rPr>
          <w:rStyle w:val="11"/>
          <w:rFonts w:hint="eastAsia" w:ascii="仿宋_GB2312" w:hAnsi="仿宋_GB2312" w:eastAsia="仿宋_GB2312" w:cs="仿宋_GB2312"/>
          <w:b/>
          <w:bCs/>
          <w:i w:val="0"/>
          <w:iCs w:val="0"/>
          <w:caps w:val="0"/>
          <w:color w:val="333333"/>
          <w:spacing w:val="0"/>
          <w:sz w:val="32"/>
          <w:szCs w:val="32"/>
          <w:shd w:val="clear" w:fill="FFFFFF"/>
        </w:rPr>
        <w:t>。</w:t>
      </w:r>
      <w:r>
        <w:rPr>
          <w:rStyle w:val="11"/>
          <w:rFonts w:hint="eastAsia" w:ascii="仿宋_GB2312" w:hAnsi="仿宋_GB2312" w:eastAsia="仿宋_GB2312" w:cs="仿宋_GB2312"/>
          <w:b w:val="0"/>
          <w:bCs w:val="0"/>
          <w:i w:val="0"/>
          <w:iCs w:val="0"/>
          <w:caps w:val="0"/>
          <w:color w:val="333333"/>
          <w:spacing w:val="0"/>
          <w:sz w:val="32"/>
          <w:szCs w:val="32"/>
          <w:shd w:val="clear" w:fill="FFFFFF"/>
        </w:rPr>
        <w:t>】</w:t>
      </w:r>
    </w:p>
    <w:p w14:paraId="25F8351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rPr>
          <w:rStyle w:val="11"/>
          <w:rFonts w:hint="eastAsia" w:ascii="黑体" w:hAnsi="黑体" w:eastAsia="黑体" w:cs="黑体"/>
          <w:b/>
          <w:bCs/>
          <w:i w:val="0"/>
          <w:iCs w:val="0"/>
          <w:caps w:val="0"/>
          <w:color w:val="333333"/>
          <w:spacing w:val="0"/>
          <w:sz w:val="32"/>
          <w:szCs w:val="32"/>
          <w:shd w:val="clear" w:fill="FFFFFF"/>
          <w:lang w:val="en-US" w:eastAsia="zh-CN"/>
        </w:rPr>
      </w:pPr>
      <w:r>
        <w:rPr>
          <w:rStyle w:val="11"/>
          <w:rFonts w:hint="eastAsia" w:ascii="黑体" w:hAnsi="黑体" w:eastAsia="黑体" w:cs="黑体"/>
          <w:b w:val="0"/>
          <w:bCs w:val="0"/>
          <w:i w:val="0"/>
          <w:iCs w:val="0"/>
          <w:caps w:val="0"/>
          <w:color w:val="333333"/>
          <w:spacing w:val="0"/>
          <w:sz w:val="32"/>
          <w:szCs w:val="32"/>
          <w:shd w:val="clear" w:fill="FFFFFF"/>
        </w:rPr>
        <w:t>三、获取</w:t>
      </w:r>
      <w:r>
        <w:rPr>
          <w:rStyle w:val="11"/>
          <w:rFonts w:hint="eastAsia" w:ascii="黑体" w:hAnsi="黑体" w:eastAsia="黑体" w:cs="黑体"/>
          <w:b w:val="0"/>
          <w:bCs w:val="0"/>
          <w:i w:val="0"/>
          <w:iCs w:val="0"/>
          <w:caps w:val="0"/>
          <w:color w:val="333333"/>
          <w:spacing w:val="0"/>
          <w:sz w:val="32"/>
          <w:szCs w:val="32"/>
          <w:shd w:val="clear" w:fill="FFFFFF"/>
          <w:lang w:val="en-US" w:eastAsia="zh-CN"/>
        </w:rPr>
        <w:t>磋商</w:t>
      </w:r>
      <w:r>
        <w:rPr>
          <w:rStyle w:val="11"/>
          <w:rFonts w:hint="eastAsia" w:ascii="黑体" w:hAnsi="黑体" w:eastAsia="黑体" w:cs="黑体"/>
          <w:b w:val="0"/>
          <w:bCs w:val="0"/>
          <w:i w:val="0"/>
          <w:iCs w:val="0"/>
          <w:caps w:val="0"/>
          <w:color w:val="333333"/>
          <w:spacing w:val="0"/>
          <w:sz w:val="32"/>
          <w:szCs w:val="32"/>
          <w:shd w:val="clear" w:fill="FFFFFF"/>
        </w:rPr>
        <w:t>文件信息</w:t>
      </w:r>
      <w:r>
        <w:rPr>
          <w:rStyle w:val="11"/>
          <w:rFonts w:hint="eastAsia" w:ascii="黑体" w:hAnsi="黑体" w:eastAsia="黑体" w:cs="黑体"/>
          <w:b/>
          <w:bCs/>
          <w:i w:val="0"/>
          <w:iCs w:val="0"/>
          <w:caps w:val="0"/>
          <w:color w:val="333333"/>
          <w:spacing w:val="0"/>
          <w:sz w:val="32"/>
          <w:szCs w:val="32"/>
          <w:shd w:val="clear" w:fill="FFFFFF"/>
          <w:lang w:val="en-US" w:eastAsia="zh-CN"/>
        </w:rPr>
        <w:t xml:space="preserve"> </w:t>
      </w:r>
    </w:p>
    <w:p w14:paraId="01AB7D7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磋商</w:t>
      </w:r>
      <w:r>
        <w:rPr>
          <w:rStyle w:val="11"/>
          <w:rFonts w:hint="eastAsia" w:ascii="仿宋_GB2312" w:hAnsi="仿宋_GB2312" w:eastAsia="仿宋_GB2312" w:cs="仿宋_GB2312"/>
          <w:b w:val="0"/>
          <w:bCs w:val="0"/>
          <w:i w:val="0"/>
          <w:iCs w:val="0"/>
          <w:caps w:val="0"/>
          <w:color w:val="333333"/>
          <w:spacing w:val="0"/>
          <w:sz w:val="32"/>
          <w:szCs w:val="32"/>
          <w:shd w:val="clear" w:fill="FFFFFF"/>
        </w:rPr>
        <w:t>文件获取方式：</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普定农商银行官方网站</w:t>
      </w:r>
      <w:bookmarkStart w:id="12" w:name="_GoBack"/>
      <w:bookmarkEnd w:id="12"/>
    </w:p>
    <w:p w14:paraId="3D77AAB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lang w:val="en-US" w:eastAsia="zh-CN"/>
        </w:rPr>
        <w:t>四、</w:t>
      </w:r>
      <w:r>
        <w:rPr>
          <w:rStyle w:val="11"/>
          <w:rFonts w:hint="eastAsia" w:ascii="黑体" w:hAnsi="黑体" w:eastAsia="黑体" w:cs="黑体"/>
          <w:b w:val="0"/>
          <w:bCs w:val="0"/>
          <w:i w:val="0"/>
          <w:iCs w:val="0"/>
          <w:caps w:val="0"/>
          <w:color w:val="333333"/>
          <w:spacing w:val="0"/>
          <w:sz w:val="32"/>
          <w:szCs w:val="32"/>
          <w:shd w:val="clear" w:fill="FFFFFF"/>
        </w:rPr>
        <w:t>响应文件的递交</w:t>
      </w:r>
    </w:p>
    <w:p w14:paraId="47DFB87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rPr>
          <w:rStyle w:val="11"/>
          <w:rFonts w:hint="eastAsia" w:ascii="仿宋_GB2312" w:hAnsi="仿宋_GB2312" w:eastAsia="仿宋_GB2312" w:cs="仿宋_GB2312"/>
          <w:b w:val="0"/>
          <w:bCs w:val="0"/>
          <w:i w:val="0"/>
          <w:iCs w:val="0"/>
          <w:caps w:val="0"/>
          <w:color w:val="333333"/>
          <w:spacing w:val="0"/>
          <w:sz w:val="32"/>
          <w:szCs w:val="32"/>
          <w:shd w:val="clear" w:fill="FFFFFF"/>
          <w:lang w:val="en-US"/>
        </w:rPr>
      </w:pPr>
      <w:r>
        <w:rPr>
          <w:rStyle w:val="11"/>
          <w:rFonts w:hint="eastAsia" w:ascii="仿宋_GB2312" w:hAnsi="仿宋_GB2312" w:eastAsia="仿宋_GB2312" w:cs="仿宋_GB2312"/>
          <w:b w:val="0"/>
          <w:bCs w:val="0"/>
          <w:i w:val="0"/>
          <w:iCs w:val="0"/>
          <w:caps w:val="0"/>
          <w:color w:val="333333"/>
          <w:spacing w:val="0"/>
          <w:sz w:val="32"/>
          <w:szCs w:val="32"/>
          <w:shd w:val="clear" w:fill="FFFFFF"/>
        </w:rPr>
        <w:t>1.响应文件递交的截止时间</w:t>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Style w:val="11"/>
          <w:rFonts w:hint="eastAsia" w:ascii="仿宋_GB2312" w:hAnsi="仿宋_GB2312" w:eastAsia="仿宋_GB2312" w:cs="仿宋_GB2312"/>
          <w:b w:val="0"/>
          <w:bCs w:val="0"/>
          <w:i w:val="0"/>
          <w:iCs w:val="0"/>
          <w:caps w:val="0"/>
          <w:color w:val="333333"/>
          <w:spacing w:val="0"/>
          <w:sz w:val="32"/>
          <w:szCs w:val="32"/>
          <w:shd w:val="clear" w:fill="FFFFFF"/>
        </w:rPr>
        <w:t>202</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5年11</w:t>
      </w:r>
      <w:r>
        <w:rPr>
          <w:rStyle w:val="11"/>
          <w:rFonts w:hint="eastAsia" w:ascii="仿宋_GB2312" w:hAnsi="仿宋_GB2312" w:eastAsia="仿宋_GB2312" w:cs="仿宋_GB2312"/>
          <w:b w:val="0"/>
          <w:bCs w:val="0"/>
          <w:i w:val="0"/>
          <w:iCs w:val="0"/>
          <w:caps w:val="0"/>
          <w:color w:val="333333"/>
          <w:spacing w:val="0"/>
          <w:sz w:val="32"/>
          <w:szCs w:val="32"/>
          <w:shd w:val="clear" w:fill="FFFFFF"/>
        </w:rPr>
        <w:t>月</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4日17:00</w:t>
      </w:r>
    </w:p>
    <w:p w14:paraId="50274BD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rPr>
        <w:t>2.开标时间：</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2025</w:t>
      </w:r>
      <w:r>
        <w:rPr>
          <w:rStyle w:val="11"/>
          <w:rFonts w:hint="eastAsia" w:ascii="仿宋_GB2312" w:hAnsi="仿宋_GB2312" w:eastAsia="仿宋_GB2312" w:cs="仿宋_GB2312"/>
          <w:b w:val="0"/>
          <w:bCs w:val="0"/>
          <w:i w:val="0"/>
          <w:iCs w:val="0"/>
          <w:caps w:val="0"/>
          <w:color w:val="333333"/>
          <w:spacing w:val="0"/>
          <w:sz w:val="32"/>
          <w:szCs w:val="32"/>
          <w:shd w:val="clear" w:fill="FFFFFF"/>
        </w:rPr>
        <w:t>年</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11月5</w:t>
      </w:r>
      <w:r>
        <w:rPr>
          <w:rStyle w:val="11"/>
          <w:rFonts w:hint="eastAsia" w:ascii="仿宋_GB2312" w:hAnsi="仿宋_GB2312" w:eastAsia="仿宋_GB2312" w:cs="仿宋_GB2312"/>
          <w:b w:val="0"/>
          <w:bCs w:val="0"/>
          <w:i w:val="0"/>
          <w:iCs w:val="0"/>
          <w:caps w:val="0"/>
          <w:color w:val="333333"/>
          <w:spacing w:val="0"/>
          <w:sz w:val="32"/>
          <w:szCs w:val="32"/>
          <w:shd w:val="clear" w:fill="FFFFFF"/>
        </w:rPr>
        <w:t>日</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14:00</w:t>
      </w:r>
    </w:p>
    <w:p w14:paraId="578B544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rPr>
          <w:rStyle w:val="11"/>
          <w:rFonts w:hint="default"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3.开标地点：贵州普定农村商业银行股份有限公司602会议室</w:t>
      </w:r>
    </w:p>
    <w:p w14:paraId="3D0FD87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rPr>
          <w:rStyle w:val="11"/>
          <w:rFonts w:hint="eastAsia" w:ascii="仿宋_GB2312" w:hAnsi="仿宋_GB2312" w:eastAsia="仿宋_GB2312" w:cs="仿宋_GB2312"/>
          <w:b/>
          <w:bCs/>
          <w:i w:val="0"/>
          <w:iCs w:val="0"/>
          <w:caps w:val="0"/>
          <w:color w:val="333333"/>
          <w:spacing w:val="0"/>
          <w:sz w:val="32"/>
          <w:szCs w:val="32"/>
          <w:shd w:val="clear" w:fill="FFFFFF"/>
        </w:rPr>
      </w:pPr>
      <w:r>
        <w:rPr>
          <w:rStyle w:val="11"/>
          <w:rFonts w:hint="eastAsia" w:ascii="仿宋_GB2312" w:hAnsi="仿宋_GB2312" w:eastAsia="仿宋_GB2312" w:cs="仿宋_GB2312"/>
          <w:b/>
          <w:bCs/>
          <w:i w:val="0"/>
          <w:iCs w:val="0"/>
          <w:caps w:val="0"/>
          <w:color w:val="333333"/>
          <w:spacing w:val="0"/>
          <w:sz w:val="32"/>
          <w:szCs w:val="32"/>
          <w:shd w:val="clear" w:fill="FFFFFF"/>
        </w:rPr>
        <w:t>【逾期送达的、未送达指定地点的或者不按照</w:t>
      </w:r>
      <w:r>
        <w:rPr>
          <w:rStyle w:val="11"/>
          <w:rFonts w:hint="eastAsia" w:ascii="仿宋_GB2312" w:hAnsi="仿宋_GB2312" w:eastAsia="仿宋_GB2312" w:cs="仿宋_GB2312"/>
          <w:b/>
          <w:bCs/>
          <w:i w:val="0"/>
          <w:iCs w:val="0"/>
          <w:caps w:val="0"/>
          <w:color w:val="333333"/>
          <w:spacing w:val="0"/>
          <w:sz w:val="32"/>
          <w:szCs w:val="32"/>
          <w:shd w:val="clear" w:fill="FFFFFF"/>
          <w:lang w:val="en-US" w:eastAsia="zh-CN"/>
        </w:rPr>
        <w:t>磋商</w:t>
      </w:r>
      <w:r>
        <w:rPr>
          <w:rStyle w:val="11"/>
          <w:rFonts w:hint="eastAsia" w:ascii="仿宋_GB2312" w:hAnsi="仿宋_GB2312" w:eastAsia="仿宋_GB2312" w:cs="仿宋_GB2312"/>
          <w:b/>
          <w:bCs/>
          <w:i w:val="0"/>
          <w:iCs w:val="0"/>
          <w:caps w:val="0"/>
          <w:color w:val="333333"/>
          <w:spacing w:val="0"/>
          <w:sz w:val="32"/>
          <w:szCs w:val="32"/>
          <w:shd w:val="clear" w:fill="FFFFFF"/>
        </w:rPr>
        <w:t>文件要求密封的响应文件，将予以拒收。】</w:t>
      </w:r>
    </w:p>
    <w:p w14:paraId="71E8CAB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rPr>
        <w:t>五、联系方式</w:t>
      </w:r>
    </w:p>
    <w:p w14:paraId="5755EF4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222222"/>
          <w:spacing w:val="8"/>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采购单位：</w:t>
      </w:r>
      <w:r>
        <w:rPr>
          <w:rFonts w:hint="eastAsia" w:ascii="Times New Roman" w:hAnsi="Times New Roman" w:eastAsia="仿宋_GB2312" w:cs="Times New Roman"/>
          <w:i w:val="0"/>
          <w:iCs w:val="0"/>
          <w:caps w:val="0"/>
          <w:color w:val="222222"/>
          <w:spacing w:val="8"/>
          <w:sz w:val="32"/>
          <w:szCs w:val="32"/>
          <w:lang w:val="en-US" w:eastAsia="zh-CN"/>
        </w:rPr>
        <w:t>贵州普定农村商业银行股份有限公司</w:t>
      </w:r>
    </w:p>
    <w:p w14:paraId="4315D3B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地</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址：贵州省安顺市普定县穿洞街道中心大道（新县委大楼旁）</w:t>
      </w:r>
    </w:p>
    <w:p w14:paraId="5D03089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联系人：</w:t>
      </w:r>
      <w:r>
        <w:rPr>
          <w:rFonts w:hint="eastAsia" w:ascii="仿宋_GB2312" w:hAnsi="仿宋_GB2312" w:eastAsia="仿宋_GB2312" w:cs="仿宋_GB2312"/>
          <w:i w:val="0"/>
          <w:iCs w:val="0"/>
          <w:caps w:val="0"/>
          <w:color w:val="333333"/>
          <w:spacing w:val="0"/>
          <w:sz w:val="32"/>
          <w:szCs w:val="32"/>
          <w:shd w:val="clear" w:fill="FFFFFF"/>
          <w:lang w:val="en-US" w:eastAsia="zh-CN"/>
        </w:rPr>
        <w:t>龙彬</w:t>
      </w:r>
    </w:p>
    <w:p w14:paraId="72AC8A7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电</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话：</w:t>
      </w:r>
      <w:r>
        <w:rPr>
          <w:rFonts w:hint="eastAsia" w:ascii="仿宋_GB2312" w:hAnsi="仿宋_GB2312" w:eastAsia="仿宋_GB2312" w:cs="仿宋_GB2312"/>
          <w:i w:val="0"/>
          <w:iCs w:val="0"/>
          <w:caps w:val="0"/>
          <w:color w:val="333333"/>
          <w:spacing w:val="0"/>
          <w:sz w:val="32"/>
          <w:szCs w:val="32"/>
          <w:shd w:val="clear" w:fill="FFFFFF"/>
          <w:lang w:val="en-US" w:eastAsia="zh-CN"/>
        </w:rPr>
        <w:t>18685396556</w:t>
      </w:r>
    </w:p>
    <w:p w14:paraId="27604F0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p>
    <w:p w14:paraId="5828369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rPr>
          <w:rStyle w:val="11"/>
          <w:rFonts w:hint="eastAsia" w:ascii="仿宋_GB2312" w:hAnsi="仿宋_GB2312" w:eastAsia="仿宋_GB2312" w:cs="仿宋_GB2312"/>
          <w:b/>
          <w:bCs/>
          <w:i w:val="0"/>
          <w:iCs w:val="0"/>
          <w:caps w:val="0"/>
          <w:color w:val="333333"/>
          <w:spacing w:val="0"/>
          <w:sz w:val="32"/>
          <w:szCs w:val="32"/>
          <w:shd w:val="clear" w:fill="FFFFFF"/>
        </w:rPr>
      </w:pPr>
      <w:r>
        <w:rPr>
          <w:rStyle w:val="11"/>
          <w:rFonts w:hint="eastAsia" w:ascii="仿宋_GB2312" w:hAnsi="仿宋_GB2312" w:eastAsia="仿宋_GB2312" w:cs="仿宋_GB2312"/>
          <w:b/>
          <w:bCs/>
          <w:i w:val="0"/>
          <w:iCs w:val="0"/>
          <w:caps w:val="0"/>
          <w:color w:val="333333"/>
          <w:spacing w:val="0"/>
          <w:sz w:val="32"/>
          <w:szCs w:val="32"/>
          <w:shd w:val="clear" w:fill="FFFFFF"/>
        </w:rPr>
        <w:t> </w:t>
      </w:r>
    </w:p>
    <w:p w14:paraId="73DB624F">
      <w:pPr>
        <w:keepNext w:val="0"/>
        <w:keepLines w:val="0"/>
        <w:pageBreakBefore w:val="0"/>
        <w:tabs>
          <w:tab w:val="left" w:pos="1426"/>
          <w:tab w:val="center" w:pos="4882"/>
        </w:tabs>
        <w:kinsoku/>
        <w:wordWrap/>
        <w:overflowPunct/>
        <w:topLinePunct w:val="0"/>
        <w:autoSpaceDE/>
        <w:autoSpaceDN/>
        <w:bidi w:val="0"/>
        <w:adjustRightInd/>
        <w:snapToGrid/>
        <w:spacing w:line="560" w:lineRule="exact"/>
        <w:jc w:val="both"/>
        <w:outlineLvl w:val="0"/>
        <w:rPr>
          <w:rFonts w:hint="eastAsia" w:ascii="宋体" w:hAnsi="宋体" w:eastAsia="宋体" w:cs="宋体"/>
          <w:b/>
          <w:sz w:val="36"/>
          <w:lang w:val="en-US" w:eastAsia="zh-CN"/>
        </w:rPr>
      </w:pPr>
    </w:p>
    <w:p w14:paraId="19937309">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6C327A80">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547BD862">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5A53323D">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72FAF88F">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0D8A6A26">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64FE8C52">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0011B766">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46E963BB">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67E0E339">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59CAB787">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3B6925BF">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0DF554FC">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58C102EF">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0A4CE580">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49FD11BB">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268F5946">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59F8C499">
      <w:pPr>
        <w:pStyle w:val="3"/>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sz w:val="36"/>
          <w:lang w:val="en-US" w:eastAsia="zh-CN"/>
        </w:rPr>
      </w:pPr>
    </w:p>
    <w:p w14:paraId="10C752D5">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b/>
          <w:sz w:val="44"/>
          <w:szCs w:val="44"/>
          <w:lang w:val="en-US" w:eastAsia="zh-CN"/>
        </w:rPr>
        <w:t>第二章 项目内容及要求</w:t>
      </w:r>
    </w:p>
    <w:p w14:paraId="4A62B9F7">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560" w:firstLineChars="200"/>
        <w:jc w:val="both"/>
        <w:textAlignment w:val="baseline"/>
        <w:outlineLvl w:val="0"/>
        <w:rPr>
          <w:rFonts w:hint="eastAsia" w:ascii="黑体" w:hAnsi="黑体" w:eastAsia="黑体" w:cs="黑体"/>
          <w:b w:val="0"/>
          <w:bCs/>
          <w:sz w:val="28"/>
          <w:szCs w:val="21"/>
          <w:lang w:val="en-US" w:eastAsia="zh-CN"/>
        </w:rPr>
      </w:pPr>
    </w:p>
    <w:p w14:paraId="572BF912">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一、项目内容</w:t>
      </w:r>
    </w:p>
    <w:p w14:paraId="2C339C96">
      <w:pPr>
        <w:pStyle w:val="2"/>
        <w:keepNext w:val="0"/>
        <w:keepLines w:val="0"/>
        <w:pageBreakBefore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员工提供委托型保险服务，服务内容包括医疗费用报销和救助金补助，其中医疗费用报销分为门诊（购药）费用报销和住院费用报销；服务期内，根据普定农商银行经营效益和财务承受能力按年核定当年保险费总额，按年划转补充医疗保险基金专户委托管理。</w:t>
      </w:r>
    </w:p>
    <w:p w14:paraId="7A743F2D">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二、服务要求</w:t>
      </w:r>
    </w:p>
    <w:p w14:paraId="7EEAE8EC">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（一）服务质效要求</w:t>
      </w:r>
    </w:p>
    <w:p w14:paraId="47DF2FF9">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服务团队：配备专业、稳定的服务团队，提供专属对接渠道；</w:t>
      </w:r>
    </w:p>
    <w:p w14:paraId="0851B498">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服务规范：报销审核准确率不低于99%；操作流程规范，单据处理严谨；</w:t>
      </w:r>
    </w:p>
    <w:p w14:paraId="140E4484">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服务体验：提供清晰的服务指南，咨询响应及时、态度良好，确保职工满意度。</w:t>
      </w:r>
    </w:p>
    <w:p w14:paraId="7906FDCF">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（二）服务时限要求</w:t>
      </w:r>
    </w:p>
    <w:p w14:paraId="26834276">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1.常规报销：收到齐全报销资料后，原则上在2个工作日内完成审核与支付；</w:t>
      </w:r>
    </w:p>
    <w:p w14:paraId="1E5ACC71">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2.紧急情况：设立绿色通道，提供加急服务；</w:t>
      </w:r>
    </w:p>
    <w:p w14:paraId="4EBEEAC0">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3.争议处理：在接到疑问或投诉后，需在24小时内响应并启动处理流程。</w:t>
      </w:r>
    </w:p>
    <w:p w14:paraId="212AF292">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ascii="宋体" w:hAnsi="宋体" w:eastAsia="宋体" w:cs="宋体"/>
          <w:sz w:val="24"/>
          <w:szCs w:val="24"/>
        </w:rPr>
      </w:pPr>
      <w:r>
        <w:rPr>
          <w:rFonts w:hint="eastAsia" w:ascii="楷体_GB2312" w:hAnsi="楷体_GB2312" w:eastAsia="楷体_GB2312" w:cs="楷体_GB2312"/>
          <w:kern w:val="2"/>
          <w:sz w:val="32"/>
          <w:szCs w:val="32"/>
          <w:lang w:val="en-US" w:eastAsia="zh-CN" w:bidi="ar-SA"/>
        </w:rPr>
        <w:t>（三）违约与退出规定</w:t>
      </w:r>
    </w:p>
    <w:p w14:paraId="3C8B432E">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1.若因合作机构原因，出现重大服务疏漏、时效不达标引发集体投诉、或损害本行及职工利益等情况，本行有权追究其违约责任；</w:t>
      </w:r>
    </w:p>
    <w:p w14:paraId="0C196C64">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2.违约责任包括但不限于经济处罚、限期整改。一年合同期内累计发生多次或严重违约的，本行有权单方面终止合同，并保留更换合作机构的权利。</w:t>
      </w:r>
    </w:p>
    <w:p w14:paraId="6BF10137">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left="638" w:leftChars="304" w:firstLine="0" w:firstLineChars="0"/>
        <w:jc w:val="both"/>
        <w:textAlignment w:val="baseline"/>
        <w:outlineLvl w:val="0"/>
        <w:rPr>
          <w:rFonts w:ascii="宋体" w:hAnsi="宋体" w:eastAsia="宋体" w:cs="宋体"/>
          <w:sz w:val="24"/>
          <w:szCs w:val="24"/>
        </w:rPr>
      </w:pPr>
      <w:r>
        <w:rPr>
          <w:rFonts w:hint="eastAsia" w:ascii="楷体_GB2312" w:hAnsi="楷体_GB2312" w:eastAsia="楷体_GB2312" w:cs="楷体_GB2312"/>
          <w:kern w:val="2"/>
          <w:sz w:val="32"/>
          <w:szCs w:val="32"/>
          <w:lang w:val="en-US" w:eastAsia="zh-CN" w:bidi="ar-SA"/>
        </w:rPr>
        <w:t>（四）其他</w:t>
      </w:r>
      <w:r>
        <w:rPr>
          <w:rFonts w:ascii="宋体" w:hAnsi="宋体" w:eastAsia="宋体" w:cs="宋体"/>
          <w:sz w:val="24"/>
          <w:szCs w:val="24"/>
        </w:rPr>
        <w:br w:type="textWrapping"/>
      </w:r>
      <w:r>
        <w:rPr>
          <w:rFonts w:hint="eastAsia" w:ascii="仿宋_GB2312" w:hAnsi="仿宋_GB2312" w:eastAsia="仿宋_GB2312" w:cs="仿宋_GB2312"/>
          <w:kern w:val="2"/>
          <w:sz w:val="32"/>
          <w:szCs w:val="32"/>
          <w:lang w:val="en-US" w:eastAsia="zh-CN" w:bidi="ar-SA"/>
        </w:rPr>
        <w:t>服务期限暂定一年，年度评估合格后考虑续签。</w:t>
      </w:r>
    </w:p>
    <w:p w14:paraId="7A7473BC">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三、磋商文件（编制要求）</w:t>
      </w:r>
    </w:p>
    <w:p w14:paraId="3890196B">
      <w:pPr>
        <w:pStyle w:val="14"/>
        <w:keepNext w:val="0"/>
        <w:keepLines w:val="0"/>
        <w:pageBreakBefore w:val="0"/>
        <w:widowControl/>
        <w:numPr>
          <w:ilvl w:val="0"/>
          <w:numId w:val="0"/>
        </w:numPr>
        <w:tabs>
          <w:tab w:val="left" w:pos="630"/>
          <w:tab w:val="clear" w:pos="420"/>
        </w:tabs>
        <w:kinsoku/>
        <w:wordWrap/>
        <w:overflowPunct/>
        <w:topLinePunct w:val="0"/>
        <w:autoSpaceDE/>
        <w:autoSpaceDN/>
        <w:bidi w:val="0"/>
        <w:adjustRightInd/>
        <w:snapToGrid/>
        <w:spacing w:line="560" w:lineRule="exact"/>
        <w:ind w:leftChars="0" w:firstLine="640" w:firstLineChars="200"/>
        <w:textAlignment w:val="baseline"/>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（一）磋商</w:t>
      </w:r>
      <w:r>
        <w:rPr>
          <w:rFonts w:hint="eastAsia" w:ascii="楷体_GB2312" w:hAnsi="楷体_GB2312" w:eastAsia="楷体_GB2312" w:cs="楷体_GB2312"/>
          <w:b w:val="0"/>
          <w:bCs/>
          <w:sz w:val="32"/>
          <w:szCs w:val="32"/>
        </w:rPr>
        <w:t>文件的构成</w:t>
      </w:r>
    </w:p>
    <w:p w14:paraId="34BEADF8">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1.营业执照正副本复印件；</w:t>
      </w:r>
    </w:p>
    <w:p w14:paraId="10AA0EDC">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2.法定代表人身份证明原件及身份证复印件；</w:t>
      </w:r>
    </w:p>
    <w:p w14:paraId="01847F1A">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3.授权委托书原件及受托人的身份证复印件，载明联系人、联系电话、通信地址；</w:t>
      </w:r>
    </w:p>
    <w:p w14:paraId="30635B7F">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4.报价表；</w:t>
      </w:r>
    </w:p>
    <w:p w14:paraId="45059769">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5.服务方案，包括但不限于公司简介、服务方案、服务承诺、以及本项目的工作计划和安排、报价等（报价须载明明确的收费金额）；</w:t>
      </w:r>
    </w:p>
    <w:p w14:paraId="3DFCB96C">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6.服务机构关于与贵州普定农村商业银行股份有限公司无法律上的利害关系声明、3年内未因违规执业被行政处罚或者行业处分的声明、无失信行为的声明；</w:t>
      </w:r>
    </w:p>
    <w:p w14:paraId="77D67185">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7.未被“信用中国”网站列入失信被执行人、重大税收违法案件当事人名单、政府采购严重违法失信行为记录名单的相关证明文件。</w:t>
      </w:r>
    </w:p>
    <w:p w14:paraId="5EA7D80A">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（二）装订、密封、递交要求</w:t>
      </w:r>
    </w:p>
    <w:p w14:paraId="260475FA">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响应文件一式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份，其中正本一份，副本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zh-CN"/>
        </w:rPr>
        <w:t>均应标明：项目名称、竞选人名称、年 月 日。</w:t>
      </w:r>
      <w:r>
        <w:rPr>
          <w:rFonts w:hint="eastAsia" w:ascii="仿宋_GB2312" w:hAnsi="仿宋_GB2312" w:eastAsia="仿宋_GB2312" w:cs="仿宋_GB2312"/>
          <w:sz w:val="32"/>
          <w:szCs w:val="32"/>
        </w:rPr>
        <w:t>所有外层密封袋的封口处应粘贴牢固，每一封口处均应贴密封条，并加盖公章。装订成册。外封套至少标明：</w:t>
      </w:r>
      <w:r>
        <w:rPr>
          <w:rFonts w:hint="eastAsia" w:ascii="仿宋_GB2312" w:hAnsi="仿宋_GB2312" w:eastAsia="仿宋_GB2312" w:cs="仿宋_GB2312"/>
          <w:sz w:val="32"/>
          <w:szCs w:val="32"/>
          <w:lang w:eastAsia="zh-CN"/>
        </w:rPr>
        <w:t>竞选</w:t>
      </w:r>
      <w:r>
        <w:rPr>
          <w:rFonts w:hint="eastAsia" w:ascii="仿宋_GB2312" w:hAnsi="仿宋_GB2312" w:eastAsia="仿宋_GB2312" w:cs="仿宋_GB2312"/>
          <w:sz w:val="32"/>
          <w:szCs w:val="32"/>
        </w:rPr>
        <w:t>人名称、地址、及项目名称，并加盖公章。</w:t>
      </w:r>
    </w:p>
    <w:p w14:paraId="66D20001">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2.磋商</w:t>
      </w:r>
      <w:r>
        <w:rPr>
          <w:rFonts w:hint="eastAsia" w:ascii="仿宋_GB2312" w:hAnsi="仿宋_GB2312" w:eastAsia="仿宋_GB2312" w:cs="仿宋_GB2312"/>
          <w:sz w:val="32"/>
          <w:szCs w:val="32"/>
        </w:rPr>
        <w:t>文件必须加盖</w:t>
      </w:r>
      <w:r>
        <w:rPr>
          <w:rFonts w:hint="eastAsia" w:ascii="仿宋_GB2312" w:hAnsi="仿宋_GB2312" w:eastAsia="仿宋_GB2312" w:cs="仿宋_GB2312"/>
          <w:sz w:val="32"/>
          <w:szCs w:val="32"/>
          <w:lang w:eastAsia="zh-CN"/>
        </w:rPr>
        <w:t>竞选</w:t>
      </w:r>
      <w:r>
        <w:rPr>
          <w:rFonts w:hint="eastAsia" w:ascii="仿宋_GB2312" w:hAnsi="仿宋_GB2312" w:eastAsia="仿宋_GB2312" w:cs="仿宋_GB2312"/>
          <w:sz w:val="32"/>
          <w:szCs w:val="32"/>
        </w:rPr>
        <w:t>人公章和</w:t>
      </w:r>
      <w:r>
        <w:rPr>
          <w:rFonts w:hint="eastAsia" w:ascii="仿宋_GB2312" w:hAnsi="仿宋_GB2312" w:eastAsia="仿宋_GB2312" w:cs="仿宋_GB2312"/>
          <w:sz w:val="32"/>
          <w:szCs w:val="32"/>
          <w:lang w:val="en-US" w:eastAsia="zh-CN"/>
        </w:rPr>
        <w:t>有权</w:t>
      </w:r>
      <w:r>
        <w:rPr>
          <w:rFonts w:hint="eastAsia" w:ascii="仿宋_GB2312" w:hAnsi="仿宋_GB2312" w:eastAsia="仿宋_GB2312" w:cs="仿宋_GB2312"/>
          <w:sz w:val="32"/>
          <w:szCs w:val="32"/>
        </w:rPr>
        <w:t>代表签字。</w:t>
      </w:r>
    </w:p>
    <w:p w14:paraId="21458B35">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3.磋商单位未按上述规定提交，其将被拒收，并原封退还给竞选单位。 </w:t>
      </w:r>
    </w:p>
    <w:p w14:paraId="539C7D28">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4.正、副本不一致时，以正本为准。</w:t>
      </w:r>
    </w:p>
    <w:p w14:paraId="401C17D8">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5.递交截止时间：</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11</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日</w:t>
      </w:r>
      <w:r>
        <w:rPr>
          <w:rFonts w:hint="eastAsia" w:ascii="仿宋_GB2312" w:hAnsi="仿宋_GB2312" w:eastAsia="仿宋_GB2312" w:cs="仿宋_GB2312"/>
          <w:i w:val="0"/>
          <w:iCs w:val="0"/>
          <w:caps w:val="0"/>
          <w:color w:val="auto"/>
          <w:spacing w:val="0"/>
          <w:sz w:val="32"/>
          <w:szCs w:val="32"/>
          <w:shd w:val="clear" w:fill="FFFFFF"/>
          <w:lang w:val="en-US" w:eastAsia="zh-CN"/>
        </w:rPr>
        <w:t>17</w:t>
      </w:r>
      <w:r>
        <w:rPr>
          <w:rFonts w:hint="eastAsia" w:ascii="仿宋_GB2312" w:hAnsi="仿宋_GB2312" w:eastAsia="仿宋_GB2312" w:cs="仿宋_GB2312"/>
          <w:i w:val="0"/>
          <w:iCs w:val="0"/>
          <w:caps w:val="0"/>
          <w:color w:val="auto"/>
          <w:spacing w:val="0"/>
          <w:sz w:val="32"/>
          <w:szCs w:val="32"/>
          <w:shd w:val="clear" w:fill="FFFFFF"/>
        </w:rPr>
        <w:t>时</w:t>
      </w:r>
      <w:r>
        <w:rPr>
          <w:rFonts w:hint="eastAsia" w:ascii="仿宋_GB2312" w:hAnsi="仿宋_GB2312" w:eastAsia="仿宋_GB2312" w:cs="仿宋_GB2312"/>
          <w:i w:val="0"/>
          <w:iCs w:val="0"/>
          <w:caps w:val="0"/>
          <w:color w:val="auto"/>
          <w:spacing w:val="0"/>
          <w:sz w:val="32"/>
          <w:szCs w:val="32"/>
          <w:shd w:val="clear" w:fill="FFFFFF"/>
          <w:lang w:val="en-US" w:eastAsia="zh-CN"/>
        </w:rPr>
        <w:t>00</w:t>
      </w:r>
      <w:r>
        <w:rPr>
          <w:rFonts w:hint="eastAsia" w:ascii="仿宋_GB2312" w:hAnsi="仿宋_GB2312" w:eastAsia="仿宋_GB2312" w:cs="仿宋_GB2312"/>
          <w:i w:val="0"/>
          <w:iCs w:val="0"/>
          <w:caps w:val="0"/>
          <w:color w:val="auto"/>
          <w:spacing w:val="0"/>
          <w:sz w:val="32"/>
          <w:szCs w:val="32"/>
          <w:shd w:val="clear" w:fill="FFFFFF"/>
        </w:rPr>
        <w:t>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14:paraId="7772638C">
      <w:pPr>
        <w:pStyle w:val="16"/>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baseline"/>
      </w:pPr>
      <w:r>
        <w:rPr>
          <w:rFonts w:hint="eastAsia" w:asciiTheme="minorEastAsia" w:hAnsiTheme="minorEastAsia" w:eastAsiaTheme="minorEastAsia" w:cstheme="minorEastAsia"/>
          <w:sz w:val="24"/>
          <w:szCs w:val="24"/>
        </w:rPr>
        <w:br w:type="page"/>
      </w:r>
      <w:bookmarkStart w:id="0" w:name="_Toc389620192"/>
      <w:bookmarkStart w:id="1" w:name="_Toc385992353"/>
      <w:bookmarkStart w:id="2" w:name="_Toc182068833"/>
      <w:bookmarkStart w:id="3" w:name="_Toc132254469"/>
      <w:bookmarkStart w:id="4" w:name="_Toc140467280"/>
      <w:bookmarkStart w:id="5" w:name="_Toc138581193"/>
      <w:bookmarkStart w:id="6" w:name="_Toc173680909"/>
      <w:bookmarkStart w:id="7" w:name="_Toc134953375"/>
      <w:bookmarkStart w:id="8" w:name="_Toc138581112"/>
      <w:bookmarkStart w:id="9" w:name="_Toc132254117"/>
      <w:bookmarkStart w:id="10" w:name="_Toc132253951"/>
      <w:r>
        <w:rPr>
          <w:rFonts w:hint="eastAsia" w:ascii="方正小标宋简体" w:hAnsi="方正小标宋简体" w:eastAsia="方正小标宋简体" w:cs="方正小标宋简体"/>
          <w:b w:val="0"/>
          <w:bCs/>
          <w:kern w:val="2"/>
          <w:sz w:val="44"/>
          <w:szCs w:val="44"/>
          <w:lang w:val="en-US" w:eastAsia="zh-CN" w:bidi="ar-SA"/>
        </w:rPr>
        <w:t>第三章 评审工作程序</w:t>
      </w:r>
    </w:p>
    <w:bookmarkEnd w:id="0"/>
    <w:bookmarkEnd w:id="1"/>
    <w:p w14:paraId="4906E0F1">
      <w:pPr>
        <w:pStyle w:val="14"/>
        <w:keepNext w:val="0"/>
        <w:keepLines w:val="0"/>
        <w:pageBreakBefore w:val="0"/>
        <w:numPr>
          <w:ilvl w:val="0"/>
          <w:numId w:val="0"/>
        </w:numPr>
        <w:tabs>
          <w:tab w:val="clear" w:pos="420"/>
        </w:tabs>
        <w:kinsoku/>
        <w:wordWrap/>
        <w:overflowPunct/>
        <w:topLinePunct w:val="0"/>
        <w:autoSpaceDE/>
        <w:autoSpaceDN/>
        <w:bidi w:val="0"/>
        <w:adjustRightInd/>
        <w:snapToGrid/>
        <w:spacing w:line="560" w:lineRule="exact"/>
        <w:ind w:leftChars="0" w:firstLine="480" w:firstLineChars="200"/>
        <w:rPr>
          <w:rFonts w:hint="eastAsia" w:asciiTheme="minorEastAsia" w:hAnsiTheme="minorEastAsia" w:eastAsiaTheme="minorEastAsia" w:cstheme="minorEastAsia"/>
          <w:b w:val="0"/>
          <w:bCs w:val="0"/>
          <w:kern w:val="2"/>
          <w:sz w:val="24"/>
          <w:szCs w:val="24"/>
          <w:lang w:val="en-US" w:eastAsia="zh-CN" w:bidi="ar-SA"/>
        </w:rPr>
      </w:pPr>
    </w:p>
    <w:p w14:paraId="34B50EE6">
      <w:pPr>
        <w:pStyle w:val="14"/>
        <w:keepNext w:val="0"/>
        <w:keepLines w:val="0"/>
        <w:pageBreakBefore w:val="0"/>
        <w:widowControl/>
        <w:numPr>
          <w:ilvl w:val="0"/>
          <w:numId w:val="0"/>
        </w:numPr>
        <w:tabs>
          <w:tab w:val="clear" w:pos="420"/>
        </w:tabs>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一、磋商程序</w:t>
      </w:r>
    </w:p>
    <w:p w14:paraId="5792B1BE">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（一）竞选人全权代表向磋商小组递交响应文件</w:t>
      </w:r>
    </w:p>
    <w:p w14:paraId="47CF0F96">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（二）磋商小组审阅响应文件</w:t>
      </w:r>
    </w:p>
    <w:p w14:paraId="7F76CCD3">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1.磋商小组依据磋商文件的规定，对响应文件的有效性、完整性和对磋商文件的响应程度进行审查，</w:t>
      </w:r>
    </w:p>
    <w:p w14:paraId="559E9F01">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2.在磋商文件及程序符合法律规定的前提下，未响应磋商文件的竞选将不进入综合评分环节。递交响应文件作出实质响应的竞选人不足3家的，终止磋商，重新组织采购。</w:t>
      </w:r>
    </w:p>
    <w:p w14:paraId="3FF05A8E">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（三）评标</w:t>
      </w:r>
    </w:p>
    <w:p w14:paraId="41E8A710">
      <w:pPr>
        <w:pStyle w:val="15"/>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由磋商小组采用综合评分法对竞选人的响应文件进行综合评分</w:t>
      </w:r>
      <w:bookmarkEnd w:id="2"/>
      <w:bookmarkEnd w:id="3"/>
      <w:bookmarkEnd w:id="4"/>
      <w:bookmarkEnd w:id="5"/>
      <w:bookmarkEnd w:id="6"/>
      <w:bookmarkEnd w:id="7"/>
      <w:bookmarkEnd w:id="8"/>
      <w:bookmarkEnd w:id="9"/>
      <w:bookmarkEnd w:id="10"/>
      <w:bookmarkStart w:id="11" w:name="_Toc257724579"/>
      <w:r>
        <w:rPr>
          <w:rFonts w:hint="eastAsia" w:ascii="仿宋_GB2312" w:hAnsi="仿宋_GB2312" w:eastAsia="仿宋_GB2312" w:cs="仿宋_GB2312"/>
          <w:b w:val="0"/>
          <w:kern w:val="2"/>
          <w:sz w:val="32"/>
          <w:szCs w:val="32"/>
          <w:lang w:val="en-US" w:eastAsia="zh-CN" w:bidi="ar-SA"/>
        </w:rPr>
        <w:t>。</w:t>
      </w:r>
      <w:r>
        <w:rPr>
          <w:rFonts w:hint="eastAsia" w:ascii="黑体" w:hAnsi="黑体" w:eastAsia="黑体" w:cs="黑体"/>
          <w:b w:val="0"/>
          <w:kern w:val="2"/>
          <w:sz w:val="32"/>
          <w:szCs w:val="32"/>
          <w:lang w:val="en-US" w:eastAsia="zh-CN" w:bidi="ar-SA"/>
        </w:rPr>
        <w:t>二、评审原则和评审方法</w:t>
      </w:r>
    </w:p>
    <w:p w14:paraId="0ED750B0">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（一）评审原则</w:t>
      </w:r>
    </w:p>
    <w:p w14:paraId="1993A565">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14:paraId="5276062C">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（二）评分标准 </w:t>
      </w:r>
    </w:p>
    <w:p w14:paraId="0993802E">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根据有关规定，磋商小组成员按照客观、公正、谨慎的原则，根据磋商文件规定的评审程序、评审方法和评审标准进行独立评审。根据排名先后确定成交候选竞选人。</w:t>
      </w:r>
    </w:p>
    <w:p w14:paraId="149E776A">
      <w:pPr>
        <w:pStyle w:val="15"/>
        <w:keepNext w:val="0"/>
        <w:keepLines w:val="0"/>
        <w:pageBreakBefore w:val="0"/>
        <w:widowControl/>
        <w:kinsoku/>
        <w:wordWrap/>
        <w:overflowPunct/>
        <w:topLinePunct w:val="0"/>
        <w:autoSpaceDE/>
        <w:autoSpaceDN/>
        <w:bidi w:val="0"/>
        <w:adjustRightInd/>
        <w:snapToGrid/>
        <w:spacing w:line="560" w:lineRule="exact"/>
        <w:ind w:left="105" w:leftChars="50" w:firstLine="960" w:firstLineChars="300"/>
        <w:textAlignment w:val="baseline"/>
        <w:rPr>
          <w:rFonts w:hint="eastAsia" w:ascii="仿宋_GB2312" w:hAnsi="仿宋_GB2312" w:eastAsia="仿宋_GB2312" w:cs="仿宋_GB2312"/>
          <w:b w:val="0"/>
          <w:kern w:val="2"/>
          <w:sz w:val="32"/>
          <w:szCs w:val="32"/>
          <w:lang w:val="en-US" w:eastAsia="zh-CN" w:bidi="ar-SA"/>
        </w:rPr>
      </w:pPr>
    </w:p>
    <w:p w14:paraId="6F17D33A">
      <w:pPr>
        <w:pStyle w:val="15"/>
        <w:spacing w:line="440" w:lineRule="exact"/>
        <w:ind w:left="105" w:leftChars="50" w:firstLine="960" w:firstLineChars="300"/>
        <w:rPr>
          <w:rFonts w:hint="eastAsia" w:ascii="仿宋_GB2312" w:hAnsi="仿宋_GB2312" w:eastAsia="仿宋_GB2312" w:cs="仿宋_GB2312"/>
          <w:b w:val="0"/>
          <w:kern w:val="2"/>
          <w:sz w:val="32"/>
          <w:szCs w:val="32"/>
          <w:lang w:val="en-US" w:eastAsia="zh-CN" w:bidi="ar-SA"/>
        </w:rPr>
      </w:pPr>
    </w:p>
    <w:p w14:paraId="2578CFA5">
      <w:pPr>
        <w:pStyle w:val="15"/>
        <w:spacing w:line="440" w:lineRule="exact"/>
        <w:ind w:left="105" w:leftChars="50" w:firstLine="960" w:firstLineChars="300"/>
        <w:rPr>
          <w:rFonts w:hint="eastAsia" w:ascii="仿宋_GB2312" w:hAnsi="仿宋_GB2312" w:eastAsia="仿宋_GB2312" w:cs="仿宋_GB2312"/>
          <w:b w:val="0"/>
          <w:kern w:val="2"/>
          <w:sz w:val="32"/>
          <w:szCs w:val="32"/>
          <w:lang w:val="en-US" w:eastAsia="zh-CN" w:bidi="ar-SA"/>
        </w:rPr>
      </w:pPr>
    </w:p>
    <w:p w14:paraId="31A6AFE8">
      <w:pPr>
        <w:pStyle w:val="15"/>
        <w:spacing w:line="440" w:lineRule="exact"/>
        <w:ind w:left="105" w:leftChars="50" w:firstLine="960" w:firstLineChars="300"/>
        <w:rPr>
          <w:rFonts w:hint="eastAsia" w:ascii="仿宋_GB2312" w:hAnsi="仿宋_GB2312" w:eastAsia="仿宋_GB2312" w:cs="仿宋_GB2312"/>
          <w:b w:val="0"/>
          <w:kern w:val="2"/>
          <w:sz w:val="32"/>
          <w:szCs w:val="32"/>
          <w:lang w:val="en-US" w:eastAsia="zh-CN" w:bidi="ar-SA"/>
        </w:rPr>
      </w:pPr>
    </w:p>
    <w:bookmarkEnd w:id="11"/>
    <w:p w14:paraId="5D2DEABC">
      <w:pPr>
        <w:pStyle w:val="15"/>
        <w:spacing w:line="440" w:lineRule="exact"/>
        <w:rPr>
          <w:rFonts w:hint="eastAsia" w:asciiTheme="minorEastAsia" w:hAnsiTheme="minorEastAsia" w:eastAsiaTheme="minorEastAsia" w:cstheme="minorEastAsia"/>
          <w:b w:val="0"/>
          <w:kern w:val="2"/>
          <w:sz w:val="24"/>
          <w:szCs w:val="24"/>
          <w:lang w:val="en-US" w:eastAsia="zh-CN" w:bidi="ar-SA"/>
        </w:rPr>
      </w:pPr>
    </w:p>
    <w:tbl>
      <w:tblPr>
        <w:tblStyle w:val="8"/>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640"/>
        <w:gridCol w:w="839"/>
        <w:gridCol w:w="6923"/>
        <w:gridCol w:w="553"/>
      </w:tblGrid>
      <w:tr w14:paraId="61E2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791">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评标类别</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66702">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评标项目</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B017">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评标细则</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880F">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分值</w:t>
            </w:r>
          </w:p>
        </w:tc>
      </w:tr>
      <w:tr w14:paraId="3FD2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21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报价部分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(8分)</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B8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委托管理型报价</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42BE">
            <w:pPr>
              <w:keepNext w:val="0"/>
              <w:keepLines w:val="0"/>
              <w:widowControl/>
              <w:suppressLineNumbers w:val="0"/>
              <w:jc w:val="left"/>
              <w:textAlignment w:val="center"/>
              <w:rPr>
                <w:rFonts w:hint="eastAsia"/>
                <w:lang w:eastAsia="zh"/>
              </w:rPr>
            </w:pPr>
            <w:r>
              <w:rPr>
                <w:rFonts w:hint="eastAsia" w:ascii="宋体" w:hAnsi="宋体" w:eastAsia="宋体" w:cs="Times New Roman"/>
                <w:color w:val="auto"/>
                <w:kern w:val="2"/>
                <w:sz w:val="21"/>
                <w:szCs w:val="21"/>
                <w:highlight w:val="none"/>
                <w:lang w:val="en-US" w:eastAsia="zh-CN" w:bidi="ar-SA"/>
              </w:rPr>
              <w:t>投标报价得分=有效最低报价/有效报价*</w:t>
            </w:r>
            <w:r>
              <w:rPr>
                <w:rFonts w:hint="eastAsia" w:asci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975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 </w:t>
            </w:r>
          </w:p>
        </w:tc>
      </w:tr>
      <w:tr w14:paraId="3D4D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A74C5DF">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技术部分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(55分)</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84E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服务</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能力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737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项目服务方案</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E53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投标人提供的保险方案应包含招标文件中“招标需求要求”的服务内容，根据</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服务方案的整体性、具体性、可操作性进行综合评分：服务方案的整体性、具</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体性、可操作性好的得9-10分，服务方案的整体性、具体性、可操作性一般的得5-8分，服务方案的整体性、具体性、可操作性差的得1-4分，不提供不得分0分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D9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10 </w:t>
            </w:r>
          </w:p>
        </w:tc>
      </w:tr>
      <w:tr w14:paraId="7CEE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056887">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5D91">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69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服务团队配置</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F60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成立专项服务团队，确保事前、事中、事后承保事宜的沟通协调顺畅，专项服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务团队需包括但不限于七类人员，第一类：负责及协调人员，第二类：运营主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管人员，第三类：理赔主管人员，第四类：各属地公司对接人员，第五类：专</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业工作人员(核保、核赔及调查),第六类：信息技术人员，第七类：财务人</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员等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注：1、提供人员配备清单表，清单表中应体现每类人员数量和工作类别和学</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历及从业年限。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2、提供以上人员2024年至今任意一个月投标人为其缴纳的个人社保证明。</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C0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 </w:t>
            </w:r>
          </w:p>
        </w:tc>
      </w:tr>
      <w:tr w14:paraId="2228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7F4C14">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E4EB">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84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服务网点覆盖</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FE0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对项目服务覆盖水平评分，能有效覆盖贵州省各地州市的得满分，每少一个地</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区扣0.5分。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注：地州设有分支机构或服务柜面(包含同一集团内交叉销售保险公司的共用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柜面)视为已覆盖，需提供网点经营责质材料。</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F9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r>
      <w:tr w14:paraId="1C66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1"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EECCED">
            <w:pPr>
              <w:jc w:val="center"/>
              <w:rPr>
                <w:rFonts w:hint="eastAsia" w:ascii="宋体" w:hAnsi="宋体" w:eastAsia="宋体" w:cs="宋体"/>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15A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理赔</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服务</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能力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DE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理赔方式</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054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除传统线下收单外提供多种理赔方式，包括但不限于专属手机APP、第三方平</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台或小程序、商户直付理赔等方式，每提供一条途径得1分，最多3分。(注：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需提供理赔操作流程截图，未提供不得分。)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线上理赔通过自主研发的线上自助理赔服务平台(APP)实现的得4分，通过第</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三方平台或小程序实现线上自助理赔的得4分，不能提供线上自助理赔的不得</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分，需提供相关证明材料。</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 ：</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1)为保证员工的信息保密，如应答方有自主开发的理赔APP,需提供系统或软</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件开发著作权证明材料，仅承诺不得分；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2)应答方应作出承诺的基础上，需要专门阐述实现该承诺保证的操作步骤方</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案，仅有承诺无具体操作方案得0分。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为保证本项目服务的广泛性，需提供全国通赔服务，能提供全国通赔服务的，</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按覆盖范围：大于30个省(市、自治区)得4分；20(含)-29省(市、自治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区)得3分；10(含)-19省(市、自治区)得2分；5(含)-9省(市、自治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区)得1分，低于5个省的不得分。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注：需承诺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A5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11 </w:t>
            </w:r>
          </w:p>
        </w:tc>
      </w:tr>
      <w:tr w14:paraId="33BD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F45AFC">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2C0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服务</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能力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0ED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理赔查询</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2E6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理赔查询：在电话、邮件及PC以外能提供多种查询方式，通过自主研发的线上自助理赔服务平台(APP)提供理赔查询服务的，得3分；通过第三方平台或小程序查询的，得2分。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注：需提供查询操作流程截图，未提供不得分。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856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r>
      <w:tr w14:paraId="7EC6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0441D7">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33E5">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D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理赔时效</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513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简易案件收齐理赔资料要件后，在2个工作日内完成赔付的，得2分；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非调查案件收齐理赔资料要件后，在5-10个工作日内完成赔付的，得2分；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调查案件理赔时限收齐理赔资料要件后，在20个工作日内完成赔付的，得2分o</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注：应答方需对时效作出承诺并加盖公章，否则不得分。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9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r>
      <w:tr w14:paraId="2C33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1C2514">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7896">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F81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健康服务</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1C1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可提供线上线下健康服务，线上提供自聘医生团队就医问诊服务的，得2分；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线下提供覆盖全国的就医服务及自建健康检测中心服务的，得3分；</w:t>
            </w:r>
            <w:r>
              <w:rPr>
                <w:rFonts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贵州省内签约定点直付网络商户门店覆盖大于 5000家(含),得5分;低于5000家得2分。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DB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10 </w:t>
            </w:r>
          </w:p>
        </w:tc>
      </w:tr>
      <w:tr w14:paraId="3DDF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CBB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商务部分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(37分)</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0F2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注册资本金</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41A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投标人或其总公司注册资本金</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1)注册资本金在200亿元以上，得8分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2)注册资本金在100亿元以上，得3分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3)注册资本金在50亿元以上，得1分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4)注册资本金在50亿元及以下，不得分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注：需提供营业执照等能证明注册资本的资料</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89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 </w:t>
            </w:r>
          </w:p>
        </w:tc>
      </w:tr>
      <w:tr w14:paraId="3B3E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283B8">
            <w:pPr>
              <w:jc w:val="center"/>
              <w:rPr>
                <w:rFonts w:hint="eastAsia" w:ascii="宋体" w:hAnsi="宋体" w:eastAsia="宋体" w:cs="宋体"/>
                <w:i w:val="0"/>
                <w:iCs w:val="0"/>
                <w:color w:val="000000"/>
                <w:sz w:val="20"/>
                <w:szCs w:val="20"/>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B10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偿付能力</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40F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以投标人所属总公司在2024年年度综合偿付能力值进行评定，200%</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(含)以上得8分，190%-200%(含)得5分，170%-190%(含)得3分，低于</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170%得1分。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注：需提供加盖公章的偿付能力报表。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57F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 </w:t>
            </w:r>
          </w:p>
        </w:tc>
      </w:tr>
      <w:tr w14:paraId="0B0B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F168">
            <w:pPr>
              <w:jc w:val="center"/>
              <w:rPr>
                <w:rFonts w:hint="eastAsia" w:ascii="宋体" w:hAnsi="宋体" w:eastAsia="宋体" w:cs="宋体"/>
                <w:i w:val="0"/>
                <w:iCs w:val="0"/>
                <w:color w:val="000000"/>
                <w:sz w:val="20"/>
                <w:szCs w:val="20"/>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75FF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服务经验</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868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投标人所属公司2022年至今在贵州省开展过风险保障型+健康委托型保险业</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绩，每提供1份得2分，最高10分。(以保单、合同或合作协议为得分依据)</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17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10 </w:t>
            </w:r>
          </w:p>
        </w:tc>
      </w:tr>
      <w:tr w14:paraId="1FBB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07F8">
            <w:pPr>
              <w:jc w:val="center"/>
              <w:rPr>
                <w:rFonts w:hint="eastAsia" w:ascii="宋体" w:hAnsi="宋体" w:eastAsia="宋体" w:cs="宋体"/>
                <w:i w:val="0"/>
                <w:iCs w:val="0"/>
                <w:color w:val="000000"/>
                <w:sz w:val="20"/>
                <w:szCs w:val="20"/>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8D52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管理制度</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EC0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投标人内部需建立完善的管理制度，包含保险风险管理制度、市场风险管理制</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度及声誉风险管理制度，管理制度齐全的得6分，每少一项扣2分，扣完为止。</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注：需提供制度名称、主要内容说明、制度前后各两页，不提供不得分。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C27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r>
      <w:tr w14:paraId="03F8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C7FB">
            <w:pPr>
              <w:jc w:val="center"/>
              <w:rPr>
                <w:rFonts w:hint="eastAsia" w:ascii="宋体" w:hAnsi="宋体" w:eastAsia="宋体" w:cs="宋体"/>
                <w:i w:val="0"/>
                <w:iCs w:val="0"/>
                <w:color w:val="000000"/>
                <w:sz w:val="20"/>
                <w:szCs w:val="20"/>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CE5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经营评价</w:t>
            </w:r>
          </w:p>
        </w:tc>
        <w:tc>
          <w:tcPr>
            <w:tcW w:w="6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032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根据2023年度银保监会出具的保险公司法人机构经营评价结果进行评分，评级为A级的得5分，B级的得3分，C级得2分，D级得1分。</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注：提供相关证明材料扫描件加盖投标人公章。评标小组保留在银保监查询复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核的权利。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98D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r>
    </w:tbl>
    <w:p w14:paraId="034ACEE5">
      <w:pPr>
        <w:tabs>
          <w:tab w:val="left" w:pos="1426"/>
          <w:tab w:val="center" w:pos="4882"/>
        </w:tabs>
        <w:spacing w:line="360" w:lineRule="auto"/>
        <w:jc w:val="both"/>
        <w:outlineLvl w:val="0"/>
        <w:rPr>
          <w:rFonts w:hint="eastAsia" w:ascii="宋体" w:hAnsi="宋体" w:eastAsia="宋体" w:cs="宋体"/>
          <w:b/>
          <w:kern w:val="2"/>
          <w:sz w:val="36"/>
          <w:szCs w:val="24"/>
          <w:lang w:val="en-US" w:eastAsia="zh-CN" w:bidi="ar-SA"/>
        </w:rPr>
      </w:pPr>
    </w:p>
    <w:p w14:paraId="14EB1F1D">
      <w:pPr>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br w:type="page"/>
      </w:r>
    </w:p>
    <w:p w14:paraId="3FF83188">
      <w:pPr>
        <w:tabs>
          <w:tab w:val="left" w:pos="1426"/>
          <w:tab w:val="center" w:pos="4882"/>
        </w:tabs>
        <w:spacing w:line="360" w:lineRule="auto"/>
        <w:jc w:val="center"/>
        <w:outlineLvl w:val="0"/>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第四章  竞选文件格式</w:t>
      </w:r>
    </w:p>
    <w:p w14:paraId="0344A4B3">
      <w:pPr>
        <w:pStyle w:val="6"/>
        <w:spacing w:beforeLines="100"/>
        <w:jc w:val="center"/>
        <w:rPr>
          <w:rFonts w:ascii="宋体"/>
          <w:sz w:val="24"/>
        </w:rPr>
      </w:pPr>
      <w:r>
        <w:rPr>
          <w:rFonts w:hint="eastAsia"/>
          <w:b/>
          <w:sz w:val="28"/>
          <w:szCs w:val="28"/>
        </w:rPr>
        <w:t>一、</w:t>
      </w:r>
      <w:r>
        <w:rPr>
          <w:rFonts w:hint="eastAsia"/>
          <w:b/>
          <w:sz w:val="28"/>
          <w:szCs w:val="22"/>
        </w:rPr>
        <w:t>法定代表人授权委托书</w:t>
      </w:r>
    </w:p>
    <w:p w14:paraId="1FEB0454">
      <w:pPr>
        <w:spacing w:line="480" w:lineRule="exact"/>
        <w:rPr>
          <w:rFonts w:ascii="宋体"/>
        </w:rPr>
      </w:pPr>
      <w:r>
        <w:rPr>
          <w:rFonts w:hint="eastAsia" w:ascii="宋体" w:hAnsi="宋体"/>
          <w:lang w:eastAsia="zh-CN"/>
        </w:rPr>
        <w:t>贵州普定农村商业银行股份有限公司</w:t>
      </w:r>
      <w:r>
        <w:rPr>
          <w:rFonts w:hint="eastAsia" w:ascii="宋体" w:hAnsi="宋体"/>
          <w:lang w:val="en-US" w:eastAsia="zh-CN"/>
        </w:rPr>
        <w:t>工会委员会</w:t>
      </w:r>
      <w:r>
        <w:rPr>
          <w:rFonts w:hint="eastAsia" w:ascii="宋体" w:hAnsi="宋体"/>
        </w:rPr>
        <w:t>：</w:t>
      </w:r>
    </w:p>
    <w:p w14:paraId="64BEE0D1">
      <w:pPr>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lang w:val="en-US" w:eastAsia="zh-CN"/>
        </w:rPr>
        <w:t xml:space="preserve">  </w:t>
      </w:r>
      <w:r>
        <w:rPr>
          <w:rFonts w:ascii="宋体" w:hAnsi="宋体"/>
          <w:u w:val="single"/>
        </w:rPr>
        <w:t xml:space="preserve">   </w:t>
      </w:r>
      <w:r>
        <w:rPr>
          <w:rFonts w:hint="eastAsia" w:ascii="宋体" w:hAnsi="宋体"/>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14:paraId="3E811CDE">
      <w:pPr>
        <w:spacing w:line="440" w:lineRule="exact"/>
        <w:rPr>
          <w:rFonts w:ascii="宋体"/>
        </w:rPr>
      </w:pPr>
      <w:r>
        <w:rPr>
          <w:rFonts w:ascii="宋体" w:hAnsi="宋体"/>
        </w:rPr>
        <w:t xml:space="preserve">    </w:t>
      </w:r>
      <w:r>
        <w:rPr>
          <w:rFonts w:hint="eastAsia" w:ascii="宋体" w:hAnsi="宋体"/>
        </w:rPr>
        <w:t>被授权人无转委托权，特此委托。</w:t>
      </w:r>
    </w:p>
    <w:p w14:paraId="1C87CAB0">
      <w:pPr>
        <w:spacing w:line="440" w:lineRule="exact"/>
        <w:rPr>
          <w:rFonts w:ascii="宋体"/>
        </w:rPr>
      </w:pPr>
    </w:p>
    <w:p w14:paraId="34DFCC91">
      <w:pPr>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2D226AFA">
      <w:pPr>
        <w:spacing w:line="440" w:lineRule="exact"/>
        <w:rPr>
          <w:rFonts w:ascii="宋体"/>
        </w:rPr>
      </w:pPr>
    </w:p>
    <w:p w14:paraId="147CDDF6">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454B5A74">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14:paraId="1A5CB321">
      <w:pPr>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14:paraId="0646A07B">
      <w:pPr>
        <w:spacing w:line="440" w:lineRule="exact"/>
        <w:ind w:left="420" w:leftChars="200"/>
        <w:rPr>
          <w:rFonts w:ascii="宋体"/>
        </w:rPr>
      </w:pPr>
    </w:p>
    <w:p w14:paraId="53FD314F">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367DFAA7">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p>
    <w:tbl>
      <w:tblPr>
        <w:tblStyle w:val="9"/>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2172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23C4D16F">
            <w:pPr>
              <w:keepNext w:val="0"/>
              <w:keepLines w:val="0"/>
              <w:widowControl w:val="0"/>
              <w:suppressLineNumbers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14:paraId="47026336">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14:paraId="6E1A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2811C4EE">
            <w:pPr>
              <w:keepNext w:val="0"/>
              <w:keepLines w:val="0"/>
              <w:widowControl w:val="0"/>
              <w:suppressLineNumbers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14:paraId="46CD445D">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14:paraId="4A83C71A">
      <w:pPr>
        <w:spacing w:line="440" w:lineRule="exact"/>
        <w:rPr>
          <w:rFonts w:ascii="宋体"/>
        </w:rPr>
      </w:pPr>
      <w:r>
        <w:rPr>
          <w:rFonts w:ascii="宋体" w:hAnsi="宋体"/>
          <w:u w:val="single"/>
        </w:rPr>
        <w:t xml:space="preserve">                     </w:t>
      </w:r>
    </w:p>
    <w:p w14:paraId="47D47E30">
      <w:pPr>
        <w:spacing w:line="440" w:lineRule="exact"/>
        <w:rPr>
          <w:rFonts w:ascii="宋体"/>
        </w:rPr>
      </w:pPr>
    </w:p>
    <w:p w14:paraId="4E669CEA">
      <w:pPr>
        <w:spacing w:before="240" w:beforeLines="100" w:after="240" w:afterLines="100" w:line="300" w:lineRule="exact"/>
        <w:jc w:val="center"/>
        <w:rPr>
          <w:rFonts w:ascii="宋体" w:hAnsi="宋体"/>
          <w:color w:val="auto"/>
          <w:highlight w:val="none"/>
        </w:rPr>
      </w:pPr>
      <w:r>
        <w:rPr>
          <w:b/>
          <w:sz w:val="24"/>
        </w:rPr>
        <w:br w:type="page"/>
      </w:r>
      <w:r>
        <w:rPr>
          <w:rFonts w:hint="eastAsia" w:ascii="Times New Roman" w:hAnsi="Times New Roman" w:eastAsia="宋体" w:cs="Times New Roman"/>
          <w:b/>
          <w:kern w:val="2"/>
          <w:sz w:val="28"/>
          <w:szCs w:val="22"/>
          <w:lang w:val="en-US" w:eastAsia="zh-CN" w:bidi="ar-SA"/>
        </w:rPr>
        <w:t>二、报价表</w:t>
      </w:r>
    </w:p>
    <w:p w14:paraId="79DD73F5">
      <w:pPr>
        <w:spacing w:line="400" w:lineRule="exact"/>
        <w:ind w:firstLine="420" w:firstLineChars="200"/>
        <w:rPr>
          <w:rFonts w:ascii="宋体" w:hAnsi="宋体"/>
          <w:color w:val="auto"/>
          <w:highlight w:val="none"/>
        </w:rPr>
      </w:pPr>
      <w:r>
        <w:rPr>
          <w:rFonts w:hint="eastAsia" w:ascii="宋体" w:hAnsi="宋体"/>
          <w:color w:val="auto"/>
          <w:highlight w:val="none"/>
        </w:rPr>
        <w:t>投标人名称：</w:t>
      </w:r>
    </w:p>
    <w:p w14:paraId="17E18AA6">
      <w:pPr>
        <w:spacing w:line="400" w:lineRule="exact"/>
        <w:ind w:firstLine="420" w:firstLineChars="200"/>
        <w:rPr>
          <w:rFonts w:hint="eastAsia" w:ascii="宋体" w:hAnsi="宋体"/>
          <w:color w:val="auto"/>
          <w:highlight w:val="none"/>
        </w:rPr>
      </w:pPr>
      <w:r>
        <w:rPr>
          <w:rFonts w:hint="eastAsia" w:ascii="宋体" w:hAnsi="宋体"/>
          <w:color w:val="auto"/>
          <w:highlight w:val="none"/>
        </w:rPr>
        <w:t xml:space="preserve">项目名称：                                          </w:t>
      </w:r>
    </w:p>
    <w:tbl>
      <w:tblPr>
        <w:tblStyle w:val="8"/>
        <w:tblW w:w="9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576"/>
        <w:gridCol w:w="2346"/>
        <w:gridCol w:w="2121"/>
        <w:gridCol w:w="1704"/>
      </w:tblGrid>
      <w:tr w14:paraId="7B98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13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F5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委托管理事宜</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D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拦标费率</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0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投标费率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EA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E4D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CF6D">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C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普定农商银行</w:t>
            </w:r>
            <w:r>
              <w:rPr>
                <w:rFonts w:hint="eastAsia" w:ascii="宋体" w:hAnsi="宋体" w:cs="宋体"/>
                <w:i w:val="0"/>
                <w:iCs w:val="0"/>
                <w:color w:val="000000"/>
                <w:kern w:val="0"/>
                <w:sz w:val="22"/>
                <w:szCs w:val="22"/>
                <w:u w:val="none"/>
                <w:lang w:val="en-US" w:eastAsia="zh-CN" w:bidi="ar"/>
              </w:rPr>
              <w:t>职工</w:t>
            </w:r>
            <w:r>
              <w:rPr>
                <w:rStyle w:val="23"/>
                <w:rFonts w:eastAsia="宋体"/>
                <w:lang w:val="en-US" w:eastAsia="zh-CN" w:bidi="ar"/>
              </w:rPr>
              <w:t>2024</w:t>
            </w:r>
            <w:r>
              <w:rPr>
                <w:rFonts w:hint="eastAsia" w:ascii="宋体" w:hAnsi="宋体" w:eastAsia="宋体" w:cs="宋体"/>
                <w:i w:val="0"/>
                <w:iCs w:val="0"/>
                <w:color w:val="000000"/>
                <w:kern w:val="0"/>
                <w:sz w:val="22"/>
                <w:szCs w:val="22"/>
                <w:u w:val="none"/>
                <w:lang w:val="en-US" w:eastAsia="zh-CN" w:bidi="ar"/>
              </w:rPr>
              <w:t>年补充医疗保险基金</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8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万分之一点五</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52BE">
            <w:pPr>
              <w:jc w:val="center"/>
              <w:rPr>
                <w:rFonts w:hint="default" w:ascii="Arial" w:hAnsi="Arial" w:cs="Arial"/>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72ED">
            <w:pPr>
              <w:jc w:val="center"/>
              <w:rPr>
                <w:rFonts w:hint="default" w:ascii="Arial" w:hAnsi="Arial" w:cs="Arial"/>
                <w:i w:val="0"/>
                <w:iCs w:val="0"/>
                <w:color w:val="000000"/>
                <w:sz w:val="22"/>
                <w:szCs w:val="22"/>
                <w:u w:val="none"/>
              </w:rPr>
            </w:pPr>
          </w:p>
        </w:tc>
      </w:tr>
    </w:tbl>
    <w:p w14:paraId="77C0382F">
      <w:pPr>
        <w:spacing w:before="240" w:beforeLines="100" w:after="240" w:afterLines="100" w:line="3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注：本项目为总体报价，报价应充分考虑：</w:t>
      </w:r>
      <w:r>
        <w:rPr>
          <w:rFonts w:hint="eastAsia" w:ascii="宋体" w:hAnsi="宋体" w:eastAsia="宋体" w:cs="宋体"/>
          <w:b/>
          <w:bCs/>
          <w:color w:val="auto"/>
          <w:szCs w:val="21"/>
          <w:highlight w:val="none"/>
        </w:rPr>
        <w:t>含人员工资、</w:t>
      </w:r>
      <w:r>
        <w:rPr>
          <w:rFonts w:hint="eastAsia" w:ascii="宋体" w:hAnsi="宋体" w:cs="宋体"/>
          <w:b/>
          <w:bCs/>
          <w:color w:val="auto"/>
          <w:szCs w:val="21"/>
          <w:highlight w:val="none"/>
          <w:lang w:eastAsia="zh-CN"/>
        </w:rPr>
        <w:t>专家费、餐饮费、住宿费、</w:t>
      </w:r>
      <w:r>
        <w:rPr>
          <w:rFonts w:hint="eastAsia" w:ascii="宋体" w:hAnsi="宋体" w:eastAsia="宋体" w:cs="宋体"/>
          <w:b/>
          <w:bCs/>
          <w:color w:val="auto"/>
          <w:szCs w:val="21"/>
          <w:highlight w:val="none"/>
          <w:lang w:eastAsia="zh-CN"/>
        </w:rPr>
        <w:t>差旅费、管理费、师资费、资料费、培训费、</w:t>
      </w:r>
      <w:r>
        <w:rPr>
          <w:rFonts w:hint="eastAsia" w:ascii="宋体" w:hAnsi="宋体" w:eastAsia="宋体" w:cs="宋体"/>
          <w:b/>
          <w:bCs/>
          <w:color w:val="auto"/>
          <w:szCs w:val="21"/>
          <w:highlight w:val="none"/>
        </w:rPr>
        <w:t>保险、利润、税金、发票税收等一切费用，采购单位不再支出其它费用；</w:t>
      </w:r>
      <w:r>
        <w:rPr>
          <w:rFonts w:hint="eastAsia" w:ascii="宋体" w:hAnsi="宋体" w:cs="宋体"/>
          <w:b/>
          <w:bCs/>
          <w:color w:val="auto"/>
          <w:szCs w:val="21"/>
          <w:highlight w:val="none"/>
        </w:rPr>
        <w:t>供应商应考虑该项目的各种风险因素，确定合理的报价。因供应商在计算报价过程中报价不合理或费用计算错误，采购人一律不予调整，由此产生的损失及后果自负。</w:t>
      </w:r>
    </w:p>
    <w:p w14:paraId="734FC5F5">
      <w:pPr>
        <w:spacing w:before="240" w:beforeLines="100" w:after="240" w:afterLines="100" w:line="300" w:lineRule="exact"/>
        <w:jc w:val="left"/>
        <w:rPr>
          <w:rFonts w:ascii="宋体" w:hAnsi="宋体" w:cs="宋体"/>
          <w:b/>
          <w:color w:val="auto"/>
          <w:szCs w:val="21"/>
          <w:highlight w:val="none"/>
        </w:rPr>
      </w:pPr>
    </w:p>
    <w:p w14:paraId="71858541">
      <w:pPr>
        <w:spacing w:before="240" w:beforeLines="100" w:after="240" w:afterLines="100" w:line="300" w:lineRule="exact"/>
        <w:jc w:val="left"/>
        <w:rPr>
          <w:rFonts w:ascii="宋体" w:hAnsi="宋体" w:cs="宋体"/>
          <w:b/>
          <w:color w:val="auto"/>
          <w:szCs w:val="21"/>
          <w:highlight w:val="none"/>
        </w:rPr>
      </w:pPr>
      <w:r>
        <w:rPr>
          <w:rFonts w:hint="eastAsia" w:ascii="宋体" w:hAnsi="宋体" w:cs="宋体"/>
          <w:b/>
          <w:color w:val="auto"/>
          <w:szCs w:val="21"/>
          <w:highlight w:val="none"/>
        </w:rPr>
        <w:t>投标人名称：                                    （加盖公章）</w:t>
      </w:r>
    </w:p>
    <w:p w14:paraId="60FB7FB5">
      <w:pPr>
        <w:spacing w:before="240" w:beforeLines="100" w:after="240" w:afterLines="100" w:line="300" w:lineRule="exact"/>
        <w:jc w:val="left"/>
        <w:rPr>
          <w:rFonts w:ascii="宋体" w:hAnsi="宋体" w:cs="宋体"/>
          <w:b/>
          <w:color w:val="auto"/>
          <w:szCs w:val="21"/>
          <w:highlight w:val="none"/>
        </w:rPr>
      </w:pPr>
    </w:p>
    <w:p w14:paraId="29E06296">
      <w:pPr>
        <w:spacing w:before="240" w:beforeLines="100" w:after="240" w:afterLines="100" w:line="300" w:lineRule="exact"/>
        <w:jc w:val="left"/>
        <w:rPr>
          <w:rFonts w:ascii="宋体" w:hAnsi="宋体" w:cs="宋体"/>
          <w:b/>
          <w:color w:val="auto"/>
          <w:szCs w:val="21"/>
          <w:highlight w:val="none"/>
        </w:rPr>
      </w:pPr>
      <w:r>
        <w:rPr>
          <w:rFonts w:hint="eastAsia" w:ascii="宋体" w:hAnsi="宋体" w:cs="宋体"/>
          <w:b/>
          <w:color w:val="auto"/>
          <w:szCs w:val="21"/>
          <w:highlight w:val="none"/>
        </w:rPr>
        <w:t>法定代表人或其代理人：                          （签    字）</w:t>
      </w:r>
    </w:p>
    <w:p w14:paraId="7B445B81">
      <w:pPr>
        <w:spacing w:before="240" w:beforeLines="100" w:after="240" w:afterLines="100" w:line="300" w:lineRule="exact"/>
        <w:rPr>
          <w:rFonts w:ascii="宋体" w:hAnsi="宋体" w:cs="宋体"/>
          <w:b/>
          <w:color w:val="auto"/>
          <w:szCs w:val="21"/>
          <w:highlight w:val="none"/>
        </w:rPr>
      </w:pPr>
    </w:p>
    <w:p w14:paraId="1E947996">
      <w:pPr>
        <w:spacing w:before="240" w:beforeLines="100" w:after="240" w:afterLines="100" w:line="300" w:lineRule="exact"/>
        <w:jc w:val="left"/>
        <w:rPr>
          <w:rFonts w:hint="eastAsia" w:ascii="仿宋" w:hAnsi="仿宋" w:eastAsia="仿宋" w:cs="仿宋"/>
          <w:b w:val="0"/>
          <w:i w:val="0"/>
          <w:caps w:val="0"/>
          <w:color w:val="auto"/>
          <w:spacing w:val="0"/>
          <w:w w:val="100"/>
          <w:kern w:val="2"/>
          <w:sz w:val="21"/>
          <w:szCs w:val="21"/>
          <w:highlight w:val="none"/>
          <w:lang w:val="en-US" w:eastAsia="zh-CN" w:bidi="ar-SA"/>
        </w:rPr>
      </w:pPr>
      <w:r>
        <w:rPr>
          <w:rFonts w:hint="eastAsia" w:ascii="宋体" w:hAnsi="宋体" w:cs="宋体"/>
          <w:b/>
          <w:color w:val="auto"/>
          <w:szCs w:val="21"/>
          <w:highlight w:val="none"/>
        </w:rPr>
        <w:t>日期：   年   月   日</w:t>
      </w:r>
    </w:p>
    <w:p w14:paraId="56716B36">
      <w:pPr>
        <w:spacing w:line="500" w:lineRule="exact"/>
        <w:jc w:val="center"/>
        <w:rPr>
          <w:rFonts w:hint="eastAsia"/>
          <w:b/>
          <w:sz w:val="32"/>
          <w:lang w:val="en-US" w:eastAsia="zh-CN"/>
        </w:rPr>
      </w:pPr>
    </w:p>
    <w:p w14:paraId="16E62E3E">
      <w:pPr>
        <w:spacing w:line="500" w:lineRule="exact"/>
        <w:jc w:val="both"/>
        <w:rPr>
          <w:rFonts w:hint="eastAsia"/>
          <w:b/>
          <w:sz w:val="32"/>
          <w:lang w:val="en-US" w:eastAsia="zh-CN"/>
        </w:rPr>
      </w:pPr>
    </w:p>
    <w:p w14:paraId="0B769D4F">
      <w:pPr>
        <w:spacing w:line="500" w:lineRule="exact"/>
        <w:jc w:val="both"/>
        <w:rPr>
          <w:rFonts w:hint="eastAsia"/>
          <w:b/>
          <w:sz w:val="32"/>
          <w:lang w:val="en-US" w:eastAsia="zh-CN"/>
        </w:rPr>
      </w:pPr>
    </w:p>
    <w:p w14:paraId="06B3D06C">
      <w:pPr>
        <w:pStyle w:val="2"/>
        <w:rPr>
          <w:rFonts w:hint="eastAsia"/>
          <w:lang w:val="en-US" w:eastAsia="zh-CN"/>
        </w:rPr>
      </w:pPr>
    </w:p>
    <w:p w14:paraId="01FDD29F">
      <w:pPr>
        <w:pStyle w:val="2"/>
        <w:rPr>
          <w:rFonts w:hint="eastAsia"/>
          <w:lang w:val="en-US" w:eastAsia="zh-CN"/>
        </w:rPr>
      </w:pPr>
    </w:p>
    <w:p w14:paraId="5DD79036">
      <w:pPr>
        <w:pStyle w:val="2"/>
        <w:rPr>
          <w:rFonts w:hint="eastAsia"/>
          <w:lang w:val="en-US" w:eastAsia="zh-CN"/>
        </w:rPr>
      </w:pPr>
    </w:p>
    <w:p w14:paraId="26B60DD5">
      <w:pPr>
        <w:pStyle w:val="2"/>
        <w:rPr>
          <w:rFonts w:hint="eastAsia"/>
          <w:lang w:val="en-US" w:eastAsia="zh-CN"/>
        </w:rPr>
      </w:pPr>
    </w:p>
    <w:p w14:paraId="509A4E4D">
      <w:pPr>
        <w:pStyle w:val="2"/>
        <w:rPr>
          <w:rFonts w:hint="eastAsia"/>
          <w:lang w:val="en-US" w:eastAsia="zh-CN"/>
        </w:rPr>
      </w:pPr>
    </w:p>
    <w:p w14:paraId="37116A16">
      <w:pPr>
        <w:pStyle w:val="2"/>
        <w:rPr>
          <w:rFonts w:hint="eastAsia"/>
          <w:lang w:val="en-US" w:eastAsia="zh-CN"/>
        </w:rPr>
      </w:pPr>
    </w:p>
    <w:p w14:paraId="33CADB26">
      <w:pPr>
        <w:pStyle w:val="2"/>
        <w:rPr>
          <w:rFonts w:hint="eastAsia"/>
          <w:lang w:val="en-US" w:eastAsia="zh-CN"/>
        </w:rPr>
      </w:pPr>
    </w:p>
    <w:p w14:paraId="76BA4AF1">
      <w:pPr>
        <w:pStyle w:val="2"/>
        <w:rPr>
          <w:rFonts w:hint="eastAsia"/>
          <w:lang w:val="en-US" w:eastAsia="zh-CN"/>
        </w:rPr>
      </w:pPr>
    </w:p>
    <w:p w14:paraId="47885C9F">
      <w:pPr>
        <w:pStyle w:val="2"/>
        <w:rPr>
          <w:rFonts w:hint="eastAsia"/>
          <w:lang w:val="en-US" w:eastAsia="zh-CN"/>
        </w:rPr>
      </w:pPr>
    </w:p>
    <w:p w14:paraId="52772AF3">
      <w:pPr>
        <w:pStyle w:val="2"/>
        <w:rPr>
          <w:rFonts w:hint="eastAsia"/>
          <w:lang w:val="en-US" w:eastAsia="zh-CN"/>
        </w:rPr>
      </w:pPr>
    </w:p>
    <w:p w14:paraId="299ECB1D">
      <w:pPr>
        <w:spacing w:line="500" w:lineRule="exact"/>
        <w:jc w:val="center"/>
        <w:rPr>
          <w:b/>
          <w:sz w:val="32"/>
        </w:rPr>
      </w:pPr>
      <w:r>
        <w:rPr>
          <w:rFonts w:hint="eastAsia"/>
          <w:b/>
          <w:sz w:val="32"/>
          <w:lang w:val="en-US" w:eastAsia="zh-CN"/>
        </w:rPr>
        <w:t>三</w:t>
      </w:r>
      <w:r>
        <w:rPr>
          <w:rFonts w:hint="eastAsia"/>
          <w:b/>
          <w:sz w:val="32"/>
        </w:rPr>
        <w:t>、服务方案</w:t>
      </w:r>
    </w:p>
    <w:p w14:paraId="148B8F35">
      <w:pPr>
        <w:pStyle w:val="6"/>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14:paraId="0A50A337">
      <w:pPr>
        <w:spacing w:line="460" w:lineRule="exact"/>
        <w:jc w:val="center"/>
        <w:rPr>
          <w:rFonts w:ascii="宋体"/>
          <w:b/>
        </w:rPr>
      </w:pPr>
    </w:p>
    <w:p w14:paraId="3D0F7F8C">
      <w:pPr>
        <w:spacing w:line="460" w:lineRule="exact"/>
        <w:jc w:val="left"/>
        <w:rPr>
          <w:rFonts w:ascii="宋体"/>
          <w:b/>
        </w:rPr>
      </w:pPr>
    </w:p>
    <w:p w14:paraId="541230F6">
      <w:pPr>
        <w:spacing w:line="460" w:lineRule="exact"/>
        <w:jc w:val="left"/>
        <w:rPr>
          <w:rFonts w:ascii="宋体"/>
          <w:b/>
        </w:rPr>
      </w:pPr>
    </w:p>
    <w:p w14:paraId="1D6ED131">
      <w:pPr>
        <w:spacing w:line="460" w:lineRule="exact"/>
        <w:jc w:val="left"/>
        <w:rPr>
          <w:rFonts w:ascii="宋体"/>
          <w:b/>
        </w:rPr>
      </w:pPr>
    </w:p>
    <w:p w14:paraId="75D9CABB">
      <w:pPr>
        <w:spacing w:line="460" w:lineRule="exact"/>
        <w:jc w:val="left"/>
        <w:rPr>
          <w:rFonts w:ascii="宋体"/>
          <w:b/>
        </w:rPr>
      </w:pPr>
    </w:p>
    <w:p w14:paraId="2CDE5CA8">
      <w:pPr>
        <w:spacing w:line="460" w:lineRule="exact"/>
        <w:jc w:val="left"/>
        <w:rPr>
          <w:rFonts w:ascii="宋体"/>
          <w:b/>
        </w:rPr>
      </w:pPr>
    </w:p>
    <w:p w14:paraId="2D3EE125">
      <w:pPr>
        <w:spacing w:line="460" w:lineRule="exact"/>
        <w:jc w:val="left"/>
        <w:rPr>
          <w:rFonts w:ascii="宋体"/>
          <w:b/>
        </w:rPr>
      </w:pPr>
    </w:p>
    <w:p w14:paraId="6946073A">
      <w:pPr>
        <w:spacing w:line="460" w:lineRule="exact"/>
        <w:jc w:val="left"/>
        <w:rPr>
          <w:rFonts w:ascii="宋体"/>
          <w:b/>
        </w:rPr>
      </w:pPr>
    </w:p>
    <w:p w14:paraId="033A2C98">
      <w:pPr>
        <w:spacing w:line="460" w:lineRule="exact"/>
        <w:jc w:val="left"/>
        <w:rPr>
          <w:rFonts w:ascii="宋体"/>
          <w:b/>
        </w:rPr>
      </w:pPr>
    </w:p>
    <w:p w14:paraId="184154BC">
      <w:pPr>
        <w:spacing w:line="460" w:lineRule="exact"/>
        <w:jc w:val="left"/>
        <w:rPr>
          <w:rFonts w:ascii="宋体"/>
          <w:b/>
        </w:rPr>
      </w:pPr>
    </w:p>
    <w:p w14:paraId="1E46694A">
      <w:pPr>
        <w:spacing w:line="460" w:lineRule="exact"/>
        <w:jc w:val="left"/>
        <w:rPr>
          <w:rFonts w:ascii="宋体"/>
          <w:b/>
        </w:rPr>
      </w:pPr>
    </w:p>
    <w:p w14:paraId="27E6B546">
      <w:pPr>
        <w:spacing w:line="460" w:lineRule="exact"/>
        <w:jc w:val="center"/>
        <w:rPr>
          <w:rFonts w:ascii="宋体"/>
          <w:b/>
        </w:rPr>
      </w:pPr>
    </w:p>
    <w:p w14:paraId="4BEE2F73">
      <w:pPr>
        <w:spacing w:line="460" w:lineRule="exact"/>
        <w:jc w:val="center"/>
        <w:rPr>
          <w:rFonts w:ascii="宋体"/>
          <w:b/>
        </w:rPr>
      </w:pPr>
    </w:p>
    <w:p w14:paraId="184CE660">
      <w:pPr>
        <w:spacing w:line="460" w:lineRule="exact"/>
        <w:jc w:val="center"/>
        <w:rPr>
          <w:rFonts w:ascii="宋体"/>
          <w:b/>
        </w:rPr>
      </w:pPr>
    </w:p>
    <w:p w14:paraId="2AF76E97">
      <w:pPr>
        <w:spacing w:line="460" w:lineRule="exact"/>
        <w:jc w:val="center"/>
        <w:rPr>
          <w:rFonts w:ascii="宋体"/>
          <w:b/>
        </w:rPr>
      </w:pPr>
    </w:p>
    <w:p w14:paraId="52F3E03F">
      <w:pPr>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14:paraId="4CA09105">
      <w:pPr>
        <w:spacing w:line="460" w:lineRule="exact"/>
        <w:jc w:val="center"/>
        <w:rPr>
          <w:rFonts w:ascii="宋体"/>
          <w:b/>
        </w:rPr>
      </w:pPr>
    </w:p>
    <w:p w14:paraId="1D63A795">
      <w:pPr>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14:paraId="4595A647">
      <w:pPr>
        <w:pStyle w:val="6"/>
        <w:spacing w:line="480" w:lineRule="exact"/>
        <w:ind w:firstLine="422" w:firstLineChars="200"/>
        <w:rPr>
          <w:rFonts w:ascii="宋体"/>
          <w:b/>
          <w:szCs w:val="21"/>
        </w:rPr>
      </w:pPr>
    </w:p>
    <w:p w14:paraId="65F961E3">
      <w:pPr>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14:paraId="23287364">
      <w:pPr>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14:paraId="6F598AC6">
      <w:pPr>
        <w:adjustRightInd w:val="0"/>
        <w:snapToGrid w:val="0"/>
        <w:spacing w:line="340" w:lineRule="exact"/>
        <w:ind w:firstLine="420" w:firstLineChars="200"/>
      </w:pPr>
    </w:p>
    <w:p w14:paraId="64281010">
      <w:pPr>
        <w:rPr>
          <w:rFonts w:ascii="宋体"/>
          <w:b/>
        </w:rPr>
      </w:pPr>
      <w:r>
        <w:rPr>
          <w:rFonts w:ascii="宋体"/>
          <w:b/>
        </w:rPr>
        <w:br w:type="page"/>
      </w:r>
    </w:p>
    <w:p w14:paraId="0A96147F">
      <w:pPr>
        <w:pStyle w:val="12"/>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14:paraId="5D604B26">
      <w:pPr>
        <w:spacing w:line="460" w:lineRule="exact"/>
        <w:jc w:val="center"/>
        <w:rPr>
          <w:rFonts w:ascii="宋体"/>
          <w:b/>
        </w:rPr>
      </w:pPr>
    </w:p>
    <w:p w14:paraId="6B29E6DB">
      <w:pPr>
        <w:spacing w:line="460" w:lineRule="exact"/>
        <w:jc w:val="center"/>
        <w:rPr>
          <w:rFonts w:ascii="宋体"/>
          <w:b/>
        </w:rPr>
      </w:pPr>
    </w:p>
    <w:p w14:paraId="14B2B89A">
      <w:pPr>
        <w:spacing w:line="460" w:lineRule="exact"/>
        <w:jc w:val="center"/>
        <w:rPr>
          <w:rFonts w:ascii="宋体"/>
          <w:b/>
        </w:rPr>
      </w:pPr>
    </w:p>
    <w:p w14:paraId="1D2F982B">
      <w:pPr>
        <w:spacing w:line="460" w:lineRule="exact"/>
        <w:jc w:val="center"/>
        <w:rPr>
          <w:rFonts w:ascii="宋体"/>
          <w:b/>
        </w:rPr>
      </w:pPr>
    </w:p>
    <w:p w14:paraId="1BB634C8">
      <w:pPr>
        <w:spacing w:line="460" w:lineRule="exact"/>
        <w:jc w:val="center"/>
        <w:rPr>
          <w:rFonts w:ascii="宋体"/>
          <w:b/>
        </w:rPr>
      </w:pPr>
    </w:p>
    <w:p w14:paraId="7F23673F">
      <w:pPr>
        <w:spacing w:line="460" w:lineRule="exact"/>
        <w:jc w:val="center"/>
        <w:rPr>
          <w:rFonts w:ascii="宋体"/>
          <w:b/>
        </w:rPr>
      </w:pPr>
    </w:p>
    <w:p w14:paraId="2E554992">
      <w:pPr>
        <w:spacing w:line="460" w:lineRule="exact"/>
        <w:jc w:val="center"/>
        <w:rPr>
          <w:rFonts w:ascii="宋体"/>
          <w:b/>
        </w:rPr>
      </w:pPr>
    </w:p>
    <w:p w14:paraId="49C0A1EA">
      <w:pPr>
        <w:spacing w:line="460" w:lineRule="exact"/>
        <w:jc w:val="center"/>
        <w:rPr>
          <w:rFonts w:ascii="宋体"/>
          <w:b/>
        </w:rPr>
      </w:pPr>
    </w:p>
    <w:p w14:paraId="60EF589A">
      <w:pPr>
        <w:spacing w:line="460" w:lineRule="exact"/>
        <w:jc w:val="center"/>
        <w:rPr>
          <w:rFonts w:ascii="宋体"/>
          <w:b/>
        </w:rPr>
      </w:pPr>
    </w:p>
    <w:p w14:paraId="3ECAC460">
      <w:pPr>
        <w:rPr>
          <w:rStyle w:val="13"/>
          <w:rFonts w:ascii="宋体"/>
          <w:b/>
          <w:sz w:val="32"/>
          <w:szCs w:val="32"/>
        </w:rPr>
      </w:pPr>
    </w:p>
    <w:p w14:paraId="3CA92EC5"/>
    <w:p w14:paraId="7B40E2F1">
      <w:pPr>
        <w:pStyle w:val="12"/>
      </w:pPr>
    </w:p>
    <w:p w14:paraId="6DF8F356">
      <w:pPr>
        <w:pStyle w:val="12"/>
      </w:pPr>
    </w:p>
    <w:p w14:paraId="5D863698">
      <w:pPr>
        <w:pStyle w:val="12"/>
      </w:pPr>
    </w:p>
    <w:p w14:paraId="675B47D6">
      <w:pPr>
        <w:pStyle w:val="12"/>
      </w:pPr>
    </w:p>
    <w:p w14:paraId="5103B3DC">
      <w:pPr>
        <w:pStyle w:val="12"/>
      </w:pPr>
    </w:p>
    <w:p w14:paraId="4B42B4E1">
      <w:pPr>
        <w:pStyle w:val="12"/>
      </w:pPr>
    </w:p>
    <w:p w14:paraId="704B9BEE">
      <w:pPr>
        <w:pStyle w:val="12"/>
      </w:pPr>
    </w:p>
    <w:p w14:paraId="1AC83E73">
      <w:pPr>
        <w:pStyle w:val="12"/>
      </w:pPr>
    </w:p>
    <w:p w14:paraId="7F6ECBEA">
      <w:pPr>
        <w:pStyle w:val="12"/>
      </w:pPr>
    </w:p>
    <w:p w14:paraId="00C51F79">
      <w:pPr>
        <w:pStyle w:val="12"/>
      </w:pPr>
    </w:p>
    <w:p w14:paraId="110568E2">
      <w:pPr>
        <w:pStyle w:val="12"/>
      </w:pPr>
    </w:p>
    <w:p w14:paraId="07314B29">
      <w:pPr>
        <w:pStyle w:val="12"/>
      </w:pPr>
    </w:p>
    <w:p w14:paraId="0C7C95DA">
      <w:pPr>
        <w:pStyle w:val="12"/>
      </w:pPr>
    </w:p>
    <w:p w14:paraId="33581BF7">
      <w:pPr>
        <w:pStyle w:val="12"/>
      </w:pPr>
    </w:p>
    <w:p w14:paraId="6469352B">
      <w:pPr>
        <w:pStyle w:val="12"/>
      </w:pPr>
    </w:p>
    <w:p w14:paraId="41051202">
      <w:pPr>
        <w:pStyle w:val="12"/>
      </w:pPr>
    </w:p>
    <w:p w14:paraId="65047E00">
      <w:pPr>
        <w:spacing w:line="800" w:lineRule="exact"/>
        <w:ind w:right="-4" w:rightChars="-2"/>
        <w:jc w:val="both"/>
        <w:rPr>
          <w:rFonts w:hint="eastAsia" w:ascii="宋体" w:hAnsi="宋体" w:cs="宋体"/>
          <w:b/>
          <w:position w:val="8"/>
          <w:sz w:val="44"/>
          <w:szCs w:val="44"/>
        </w:rPr>
      </w:pPr>
    </w:p>
    <w:p w14:paraId="40D3D348">
      <w:pPr>
        <w:spacing w:line="800" w:lineRule="exact"/>
        <w:ind w:right="-4" w:rightChars="-2"/>
        <w:jc w:val="center"/>
        <w:rPr>
          <w:rFonts w:ascii="宋体" w:hAnsi="宋体"/>
          <w:b/>
          <w:color w:val="auto"/>
          <w:position w:val="8"/>
          <w:sz w:val="44"/>
          <w:szCs w:val="44"/>
          <w:highlight w:val="none"/>
        </w:rPr>
      </w:pPr>
      <w:r>
        <w:rPr>
          <w:rFonts w:hint="eastAsia" w:ascii="宋体" w:hAnsi="宋体"/>
          <w:b/>
          <w:color w:val="auto"/>
          <w:position w:val="8"/>
          <w:sz w:val="44"/>
          <w:szCs w:val="44"/>
          <w:highlight w:val="none"/>
        </w:rPr>
        <w:t>最 终 报 价 函</w:t>
      </w:r>
    </w:p>
    <w:tbl>
      <w:tblPr>
        <w:tblStyle w:val="8"/>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640"/>
        <w:gridCol w:w="2025"/>
        <w:gridCol w:w="2968"/>
        <w:gridCol w:w="1050"/>
      </w:tblGrid>
      <w:tr w14:paraId="1CFB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98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2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委托管理事宜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EB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拦标费率</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C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投标费率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6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F96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67F0">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5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普定农商银行</w:t>
            </w:r>
            <w:r>
              <w:rPr>
                <w:rFonts w:hint="eastAsia" w:ascii="宋体" w:hAnsi="宋体" w:cs="宋体"/>
                <w:i w:val="0"/>
                <w:iCs w:val="0"/>
                <w:color w:val="000000"/>
                <w:kern w:val="0"/>
                <w:sz w:val="22"/>
                <w:szCs w:val="22"/>
                <w:u w:val="none"/>
                <w:lang w:val="en-US" w:eastAsia="zh-CN" w:bidi="ar"/>
              </w:rPr>
              <w:t>职工</w:t>
            </w:r>
            <w:r>
              <w:rPr>
                <w:rStyle w:val="23"/>
                <w:rFonts w:eastAsia="宋体"/>
                <w:lang w:val="en-US" w:eastAsia="zh-CN" w:bidi="ar"/>
              </w:rPr>
              <w:t>2024</w:t>
            </w:r>
            <w:r>
              <w:rPr>
                <w:rFonts w:hint="eastAsia" w:ascii="宋体" w:hAnsi="宋体" w:eastAsia="宋体" w:cs="宋体"/>
                <w:i w:val="0"/>
                <w:iCs w:val="0"/>
                <w:color w:val="000000"/>
                <w:kern w:val="0"/>
                <w:sz w:val="22"/>
                <w:szCs w:val="22"/>
                <w:u w:val="none"/>
                <w:lang w:val="en-US" w:eastAsia="zh-CN" w:bidi="ar"/>
              </w:rPr>
              <w:t>年补充医疗保险基金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6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万分之一点五</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A0AA">
            <w:pPr>
              <w:jc w:val="center"/>
              <w:rPr>
                <w:rFonts w:hint="default" w:ascii="Arial" w:hAnsi="Arial" w:cs="Arial"/>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804">
            <w:pPr>
              <w:jc w:val="center"/>
              <w:rPr>
                <w:rFonts w:hint="default" w:ascii="Arial" w:hAnsi="Arial" w:cs="Arial"/>
                <w:i w:val="0"/>
                <w:iCs w:val="0"/>
                <w:color w:val="000000"/>
                <w:sz w:val="22"/>
                <w:szCs w:val="22"/>
                <w:u w:val="none"/>
              </w:rPr>
            </w:pPr>
          </w:p>
        </w:tc>
      </w:tr>
    </w:tbl>
    <w:p w14:paraId="1F99FD1F">
      <w:pPr>
        <w:spacing w:line="500" w:lineRule="exact"/>
        <w:ind w:right="-4" w:rightChars="-2" w:firstLine="480" w:firstLineChars="200"/>
        <w:jc w:val="left"/>
        <w:rPr>
          <w:rFonts w:hint="eastAsia" w:ascii="宋体" w:hAnsi="宋体"/>
          <w:color w:val="auto"/>
          <w:position w:val="8"/>
          <w:sz w:val="24"/>
          <w:highlight w:val="none"/>
        </w:rPr>
      </w:pPr>
    </w:p>
    <w:p w14:paraId="2DBBFFC5">
      <w:pPr>
        <w:spacing w:line="500" w:lineRule="exact"/>
        <w:ind w:right="-500"/>
        <w:rPr>
          <w:rFonts w:ascii="宋体" w:hAnsi="宋体"/>
          <w:color w:val="auto"/>
          <w:sz w:val="24"/>
          <w:highlight w:val="none"/>
        </w:rPr>
      </w:pPr>
    </w:p>
    <w:p w14:paraId="7505AB28">
      <w:pPr>
        <w:spacing w:line="500" w:lineRule="exact"/>
        <w:ind w:right="-500"/>
        <w:rPr>
          <w:rFonts w:ascii="宋体" w:hAnsi="宋体"/>
          <w:color w:val="auto"/>
          <w:sz w:val="24"/>
          <w:highlight w:val="none"/>
        </w:rPr>
      </w:pPr>
    </w:p>
    <w:p w14:paraId="56A7509A">
      <w:pPr>
        <w:spacing w:line="500" w:lineRule="exact"/>
        <w:ind w:right="-1050" w:rightChars="-500" w:firstLine="2620" w:firstLineChars="1092"/>
        <w:rPr>
          <w:rFonts w:ascii="宋体" w:hAnsi="宋体"/>
          <w:color w:val="auto"/>
          <w:position w:val="8"/>
          <w:sz w:val="24"/>
          <w:highlight w:val="none"/>
        </w:rPr>
      </w:pPr>
      <w:r>
        <w:rPr>
          <w:rFonts w:hint="eastAsia" w:ascii="宋体" w:hAnsi="宋体"/>
          <w:color w:val="auto"/>
          <w:position w:val="8"/>
          <w:sz w:val="24"/>
          <w:highlight w:val="none"/>
        </w:rPr>
        <w:t>投标人名称：</w:t>
      </w:r>
      <w:r>
        <w:rPr>
          <w:rFonts w:hint="eastAsia" w:ascii="宋体" w:hAnsi="宋体"/>
          <w:color w:val="auto"/>
          <w:position w:val="8"/>
          <w:sz w:val="24"/>
          <w:highlight w:val="none"/>
          <w:u w:val="single"/>
        </w:rPr>
        <w:t xml:space="preserve">      </w:t>
      </w:r>
      <w:r>
        <w:rPr>
          <w:rFonts w:hint="eastAsia" w:ascii="宋体" w:hAnsi="宋体"/>
          <w:color w:val="auto"/>
          <w:position w:val="8"/>
          <w:sz w:val="24"/>
          <w:highlight w:val="none"/>
          <w:u w:val="single"/>
          <w:lang w:val="en-US" w:eastAsia="zh-CN"/>
        </w:rPr>
        <w:t xml:space="preserve">          </w:t>
      </w:r>
      <w:r>
        <w:rPr>
          <w:rFonts w:hint="eastAsia" w:ascii="宋体" w:hAnsi="宋体"/>
          <w:color w:val="auto"/>
          <w:position w:val="8"/>
          <w:sz w:val="24"/>
          <w:highlight w:val="none"/>
          <w:u w:val="single"/>
        </w:rPr>
        <w:t xml:space="preserve">                 </w:t>
      </w:r>
    </w:p>
    <w:p w14:paraId="3BA5D13C">
      <w:pPr>
        <w:spacing w:line="500" w:lineRule="exact"/>
        <w:ind w:right="-1050" w:rightChars="-500" w:firstLine="2620" w:firstLineChars="1092"/>
        <w:rPr>
          <w:rFonts w:ascii="宋体" w:hAnsi="宋体"/>
          <w:color w:val="auto"/>
          <w:position w:val="8"/>
          <w:sz w:val="24"/>
          <w:highlight w:val="none"/>
        </w:rPr>
      </w:pPr>
    </w:p>
    <w:p w14:paraId="39B99295">
      <w:pPr>
        <w:spacing w:line="500" w:lineRule="exact"/>
        <w:ind w:right="-1050" w:rightChars="-500" w:firstLine="2620" w:firstLineChars="1092"/>
        <w:rPr>
          <w:rFonts w:ascii="宋体" w:hAnsi="宋体"/>
          <w:color w:val="auto"/>
          <w:position w:val="8"/>
          <w:sz w:val="24"/>
          <w:highlight w:val="none"/>
        </w:rPr>
      </w:pPr>
      <w:r>
        <w:rPr>
          <w:rFonts w:hint="eastAsia" w:ascii="宋体" w:hAnsi="宋体"/>
          <w:color w:val="auto"/>
          <w:position w:val="8"/>
          <w:sz w:val="24"/>
          <w:highlight w:val="none"/>
        </w:rPr>
        <w:t>法定代表人或</w:t>
      </w:r>
    </w:p>
    <w:p w14:paraId="0723BADB">
      <w:pPr>
        <w:spacing w:line="500" w:lineRule="exact"/>
        <w:ind w:right="-1050" w:rightChars="-500" w:firstLine="2620" w:firstLineChars="1092"/>
        <w:rPr>
          <w:rFonts w:ascii="宋体" w:hAnsi="宋体"/>
          <w:color w:val="auto"/>
          <w:position w:val="8"/>
          <w:sz w:val="24"/>
          <w:highlight w:val="none"/>
        </w:rPr>
      </w:pPr>
      <w:r>
        <w:rPr>
          <w:rFonts w:hint="eastAsia" w:ascii="宋体" w:hAnsi="宋体"/>
          <w:color w:val="auto"/>
          <w:position w:val="8"/>
          <w:sz w:val="24"/>
          <w:highlight w:val="none"/>
        </w:rPr>
        <w:t>授权委托代理人：</w:t>
      </w:r>
      <w:r>
        <w:rPr>
          <w:rFonts w:hint="eastAsia" w:ascii="宋体" w:hAnsi="宋体"/>
          <w:color w:val="auto"/>
          <w:position w:val="8"/>
          <w:sz w:val="24"/>
          <w:highlight w:val="none"/>
          <w:u w:val="single"/>
        </w:rPr>
        <w:t xml:space="preserve">             （签字或盖章） </w:t>
      </w:r>
    </w:p>
    <w:p w14:paraId="7B773989">
      <w:pPr>
        <w:spacing w:line="500" w:lineRule="exact"/>
        <w:ind w:right="-1050" w:rightChars="-500" w:firstLine="240" w:firstLineChars="100"/>
        <w:rPr>
          <w:rFonts w:ascii="宋体" w:hAnsi="宋体"/>
          <w:color w:val="auto"/>
          <w:position w:val="8"/>
          <w:sz w:val="24"/>
          <w:highlight w:val="none"/>
        </w:rPr>
      </w:pPr>
    </w:p>
    <w:p w14:paraId="03305146">
      <w:pPr>
        <w:spacing w:line="500" w:lineRule="exact"/>
        <w:ind w:right="533" w:rightChars="254" w:firstLine="3120" w:firstLineChars="1300"/>
        <w:rPr>
          <w:rFonts w:ascii="宋体" w:hAnsi="宋体"/>
          <w:color w:val="auto"/>
          <w:sz w:val="24"/>
          <w:highlight w:val="none"/>
        </w:rPr>
      </w:pPr>
      <w:r>
        <w:rPr>
          <w:rFonts w:hint="eastAsia" w:ascii="宋体" w:hAnsi="宋体"/>
          <w:color w:val="auto"/>
          <w:sz w:val="24"/>
          <w:highlight w:val="none"/>
        </w:rPr>
        <w:t xml:space="preserve">日      期：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w:t>
      </w:r>
    </w:p>
    <w:p w14:paraId="6C65F3C8">
      <w:pPr>
        <w:pStyle w:val="3"/>
        <w:rPr>
          <w:rFonts w:ascii="宋体" w:hAnsi="宋体"/>
          <w:color w:val="auto"/>
          <w:sz w:val="22"/>
          <w:szCs w:val="22"/>
          <w:highlight w:val="none"/>
        </w:rPr>
      </w:pPr>
    </w:p>
    <w:p w14:paraId="24F0FF16">
      <w:pPr>
        <w:pStyle w:val="3"/>
        <w:rPr>
          <w:rFonts w:ascii="宋体" w:hAnsi="宋体"/>
          <w:color w:val="auto"/>
          <w:sz w:val="22"/>
          <w:szCs w:val="22"/>
          <w:highlight w:val="none"/>
        </w:rPr>
      </w:pPr>
    </w:p>
    <w:p w14:paraId="27F22934">
      <w:pPr>
        <w:pStyle w:val="3"/>
        <w:rPr>
          <w:rFonts w:ascii="宋体" w:hAnsi="宋体"/>
          <w:color w:val="auto"/>
          <w:sz w:val="22"/>
          <w:szCs w:val="22"/>
          <w:highlight w:val="none"/>
        </w:rPr>
      </w:pPr>
    </w:p>
    <w:p w14:paraId="47A90B39">
      <w:pPr>
        <w:pStyle w:val="3"/>
        <w:rPr>
          <w:rFonts w:ascii="宋体" w:hAnsi="宋体"/>
          <w:color w:val="auto"/>
          <w:sz w:val="22"/>
          <w:szCs w:val="22"/>
          <w:highlight w:val="none"/>
        </w:rPr>
      </w:pPr>
    </w:p>
    <w:p w14:paraId="41D2C63B">
      <w:pPr>
        <w:pStyle w:val="3"/>
        <w:rPr>
          <w:rFonts w:ascii="宋体" w:hAnsi="宋体"/>
          <w:color w:val="auto"/>
          <w:sz w:val="22"/>
          <w:szCs w:val="22"/>
          <w:highlight w:val="none"/>
        </w:rPr>
      </w:pPr>
    </w:p>
    <w:p w14:paraId="69F91FE6">
      <w:pPr>
        <w:pStyle w:val="3"/>
        <w:rPr>
          <w:rFonts w:ascii="宋体" w:hAnsi="宋体"/>
          <w:color w:val="auto"/>
          <w:sz w:val="22"/>
          <w:szCs w:val="22"/>
          <w:highlight w:val="none"/>
        </w:rPr>
      </w:pPr>
    </w:p>
    <w:p w14:paraId="5DD8B1D4">
      <w:pPr>
        <w:pStyle w:val="3"/>
        <w:rPr>
          <w:rFonts w:ascii="宋体" w:hAnsi="宋体"/>
          <w:color w:val="auto"/>
          <w:sz w:val="22"/>
          <w:szCs w:val="22"/>
          <w:highlight w:val="none"/>
        </w:rPr>
      </w:pPr>
    </w:p>
    <w:p w14:paraId="77016C46">
      <w:pPr>
        <w:pStyle w:val="3"/>
        <w:rPr>
          <w:rFonts w:ascii="宋体" w:hAnsi="宋体"/>
          <w:color w:val="auto"/>
          <w:sz w:val="22"/>
          <w:szCs w:val="22"/>
          <w:highlight w:val="none"/>
        </w:rPr>
      </w:pPr>
    </w:p>
    <w:p w14:paraId="323A7178">
      <w:pPr>
        <w:pStyle w:val="3"/>
        <w:rPr>
          <w:rFonts w:ascii="宋体" w:hAnsi="宋体"/>
          <w:color w:val="auto"/>
          <w:sz w:val="22"/>
          <w:szCs w:val="22"/>
          <w:highlight w:val="none"/>
        </w:rPr>
      </w:pPr>
    </w:p>
    <w:p w14:paraId="70B6D608">
      <w:pPr>
        <w:pStyle w:val="3"/>
        <w:rPr>
          <w:rFonts w:ascii="宋体" w:hAnsi="宋体"/>
          <w:color w:val="auto"/>
          <w:sz w:val="22"/>
          <w:szCs w:val="22"/>
          <w:highlight w:val="none"/>
        </w:rPr>
      </w:pPr>
    </w:p>
    <w:p w14:paraId="4FB84C46">
      <w:pPr>
        <w:pStyle w:val="3"/>
        <w:rPr>
          <w:rFonts w:ascii="宋体" w:hAnsi="宋体"/>
          <w:color w:val="auto"/>
          <w:sz w:val="22"/>
          <w:szCs w:val="22"/>
          <w:highlight w:val="none"/>
        </w:rPr>
      </w:pPr>
    </w:p>
    <w:p w14:paraId="3FE38031">
      <w:pPr>
        <w:pStyle w:val="3"/>
        <w:rPr>
          <w:rFonts w:ascii="宋体" w:hAnsi="宋体"/>
          <w:color w:val="auto"/>
          <w:sz w:val="22"/>
          <w:szCs w:val="22"/>
          <w:highlight w:val="none"/>
        </w:rPr>
      </w:pPr>
    </w:p>
    <w:p w14:paraId="4C845F27">
      <w:pPr>
        <w:pStyle w:val="3"/>
        <w:rPr>
          <w:rFonts w:ascii="宋体" w:hAnsi="宋体"/>
          <w:color w:val="auto"/>
          <w:sz w:val="22"/>
          <w:szCs w:val="22"/>
          <w:highlight w:val="none"/>
        </w:rPr>
      </w:pPr>
    </w:p>
    <w:p w14:paraId="10063F7C">
      <w:pPr>
        <w:pStyle w:val="3"/>
        <w:rPr>
          <w:rFonts w:ascii="宋体" w:hAnsi="宋体"/>
          <w:color w:val="auto"/>
          <w:sz w:val="22"/>
          <w:szCs w:val="22"/>
          <w:highlight w:val="none"/>
        </w:rPr>
      </w:pPr>
    </w:p>
    <w:p w14:paraId="02ECD7DB">
      <w:pPr>
        <w:pStyle w:val="3"/>
        <w:rPr>
          <w:rFonts w:ascii="宋体" w:hAnsi="宋体"/>
          <w:color w:val="auto"/>
          <w:sz w:val="22"/>
          <w:szCs w:val="22"/>
          <w:highlight w:val="none"/>
        </w:rPr>
      </w:pPr>
    </w:p>
    <w:p w14:paraId="48E93D11">
      <w:pPr>
        <w:pStyle w:val="3"/>
        <w:rPr>
          <w:rFonts w:ascii="宋体" w:hAnsi="宋体"/>
          <w:color w:val="auto"/>
          <w:sz w:val="22"/>
          <w:szCs w:val="22"/>
          <w:highlight w:val="none"/>
        </w:rPr>
      </w:pPr>
    </w:p>
    <w:p w14:paraId="2D60BA6E">
      <w:pPr>
        <w:pStyle w:val="3"/>
        <w:rPr>
          <w:rFonts w:ascii="宋体" w:hAnsi="宋体"/>
          <w:color w:val="auto"/>
          <w:sz w:val="22"/>
          <w:szCs w:val="22"/>
          <w:highlight w:val="none"/>
        </w:rPr>
      </w:pPr>
    </w:p>
    <w:p w14:paraId="6DE3FE1E">
      <w:pPr>
        <w:pStyle w:val="3"/>
        <w:rPr>
          <w:rFonts w:ascii="宋体" w:hAnsi="宋体"/>
          <w:color w:val="auto"/>
          <w:sz w:val="22"/>
          <w:szCs w:val="22"/>
          <w:highlight w:val="none"/>
        </w:rPr>
      </w:pPr>
    </w:p>
    <w:p w14:paraId="5E7C4442">
      <w:pPr>
        <w:pStyle w:val="3"/>
        <w:rPr>
          <w:rFonts w:ascii="宋体" w:hAnsi="宋体"/>
          <w:color w:val="auto"/>
          <w:sz w:val="22"/>
          <w:szCs w:val="22"/>
          <w:highlight w:val="none"/>
        </w:rPr>
      </w:pPr>
    </w:p>
    <w:p w14:paraId="1FA9C284">
      <w:pPr>
        <w:pStyle w:val="3"/>
        <w:rPr>
          <w:rFonts w:ascii="宋体" w:hAnsi="宋体"/>
          <w:color w:val="auto"/>
          <w:sz w:val="22"/>
          <w:szCs w:val="22"/>
          <w:highlight w:val="none"/>
        </w:rPr>
      </w:pPr>
    </w:p>
    <w:p w14:paraId="6DEDCAA9">
      <w:pPr>
        <w:pStyle w:val="3"/>
        <w:rPr>
          <w:rFonts w:ascii="宋体" w:hAnsi="宋体"/>
          <w:color w:val="auto"/>
          <w:sz w:val="22"/>
          <w:szCs w:val="22"/>
          <w:highlight w:val="none"/>
        </w:rPr>
      </w:pPr>
    </w:p>
    <w:p w14:paraId="275F4C45">
      <w:pPr>
        <w:pStyle w:val="3"/>
        <w:rPr>
          <w:rFonts w:ascii="宋体" w:hAnsi="宋体"/>
          <w:color w:val="auto"/>
          <w:sz w:val="22"/>
          <w:szCs w:val="22"/>
          <w:highlight w:val="none"/>
        </w:rPr>
      </w:pPr>
    </w:p>
    <w:p w14:paraId="268D131C">
      <w:pPr>
        <w:pStyle w:val="3"/>
        <w:rPr>
          <w:rFonts w:ascii="宋体" w:hAnsi="宋体"/>
          <w:color w:val="auto"/>
          <w:sz w:val="22"/>
          <w:szCs w:val="22"/>
          <w:highlight w:val="none"/>
        </w:rPr>
      </w:pPr>
    </w:p>
    <w:p w14:paraId="14C5C8D6">
      <w:pPr>
        <w:pStyle w:val="3"/>
        <w:rPr>
          <w:rFonts w:ascii="宋体" w:hAnsi="宋体"/>
          <w:color w:val="auto"/>
          <w:sz w:val="22"/>
          <w:szCs w:val="22"/>
          <w:highlight w:val="none"/>
        </w:rPr>
      </w:pPr>
    </w:p>
    <w:p w14:paraId="497FAA74">
      <w:pPr>
        <w:pStyle w:val="3"/>
        <w:rPr>
          <w:rFonts w:ascii="宋体" w:hAnsi="宋体"/>
          <w:color w:val="auto"/>
          <w:sz w:val="22"/>
          <w:szCs w:val="22"/>
          <w:highlight w:val="none"/>
        </w:rPr>
      </w:pPr>
    </w:p>
    <w:p w14:paraId="551CB6EC">
      <w:pPr>
        <w:spacing w:line="500" w:lineRule="exact"/>
        <w:ind w:right="533" w:rightChars="254"/>
      </w:pPr>
      <w:r>
        <w:rPr>
          <w:rFonts w:hint="eastAsia" w:ascii="宋体" w:hAnsi="宋体"/>
          <w:color w:val="auto"/>
          <w:sz w:val="22"/>
          <w:szCs w:val="22"/>
          <w:highlight w:val="none"/>
        </w:rPr>
        <w:t>注：此表不列入密封响应文件内，单独打印盖好公章，于磋商现场提交。</w:t>
      </w:r>
    </w:p>
    <w:sectPr>
      <w:footerReference r:id="rId6" w:type="default"/>
      <w:pgSz w:w="11906" w:h="16838"/>
      <w:pgMar w:top="1089" w:right="1106" w:bottom="829" w:left="1259" w:header="624" w:footer="720"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557D4">
    <w:pPr>
      <w:pStyle w:val="4"/>
      <w:tabs>
        <w:tab w:val="left" w:pos="2884"/>
        <w:tab w:val="center" w:pos="4153"/>
        <w:tab w:val="right" w:pos="8306"/>
        <w:tab w:val="clear" w:pos="4140"/>
        <w:tab w:val="clear" w:pos="8300"/>
      </w:tabs>
      <w:rPr>
        <w:rStyle w:val="13"/>
      </w:rPr>
    </w:pPr>
    <w:r>
      <w:rPr>
        <w:rStyle w:val="13"/>
      </w:rPr>
      <w:tab/>
    </w:r>
    <w:r>
      <w:rPr>
        <w:rStyle w:val="13"/>
      </w:rPr>
      <w:tab/>
    </w:r>
    <w:r>
      <w:rPr>
        <w:rStyle w:val="1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37F3">
    <w:pPr>
      <w:pStyle w:val="4"/>
      <w:tabs>
        <w:tab w:val="center" w:pos="4153"/>
        <w:tab w:val="right" w:pos="8306"/>
        <w:tab w:val="clear" w:pos="4140"/>
        <w:tab w:val="clear" w:pos="8300"/>
      </w:tabs>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51967">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14:paraId="4F963FD5">
                          <w:pPr>
                            <w:rPr>
                              <w:rStyle w:val="13"/>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14:paraId="71651967">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14:paraId="4F963FD5">
                    <w:pPr>
                      <w:rPr>
                        <w:rStyle w:val="1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36FE">
    <w:pPr>
      <w:pStyle w:val="4"/>
      <w:tabs>
        <w:tab w:val="center" w:pos="4153"/>
        <w:tab w:val="right" w:pos="8306"/>
        <w:tab w:val="clear" w:pos="4140"/>
        <w:tab w:val="clear" w:pos="830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27888">
    <w:pPr>
      <w:pStyle w:val="4"/>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A248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3A248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4"/>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42F4"/>
    <w:rsid w:val="005B7967"/>
    <w:rsid w:val="03D84064"/>
    <w:rsid w:val="048149C1"/>
    <w:rsid w:val="059142FB"/>
    <w:rsid w:val="0BF41831"/>
    <w:rsid w:val="0D7B3E67"/>
    <w:rsid w:val="0F3D053F"/>
    <w:rsid w:val="101A30EF"/>
    <w:rsid w:val="161A79E1"/>
    <w:rsid w:val="17E048DF"/>
    <w:rsid w:val="180F1333"/>
    <w:rsid w:val="1ABB1519"/>
    <w:rsid w:val="1BBB1A71"/>
    <w:rsid w:val="1EE16F79"/>
    <w:rsid w:val="203B0283"/>
    <w:rsid w:val="20A97C7E"/>
    <w:rsid w:val="21A51C1D"/>
    <w:rsid w:val="221C145A"/>
    <w:rsid w:val="26B92A5E"/>
    <w:rsid w:val="27C72A73"/>
    <w:rsid w:val="28DA242D"/>
    <w:rsid w:val="291542F4"/>
    <w:rsid w:val="2A3675DB"/>
    <w:rsid w:val="2F8533E6"/>
    <w:rsid w:val="34B426F3"/>
    <w:rsid w:val="38E77EED"/>
    <w:rsid w:val="39225246"/>
    <w:rsid w:val="3A537CC8"/>
    <w:rsid w:val="3B1157C3"/>
    <w:rsid w:val="3CAC551C"/>
    <w:rsid w:val="4B877F46"/>
    <w:rsid w:val="501A5E34"/>
    <w:rsid w:val="5D562E76"/>
    <w:rsid w:val="5FF13901"/>
    <w:rsid w:val="6ADA10C3"/>
    <w:rsid w:val="6D1D4D37"/>
    <w:rsid w:val="72080B40"/>
    <w:rsid w:val="76C078B4"/>
    <w:rsid w:val="7B3662B0"/>
    <w:rsid w:val="7D6F5B06"/>
    <w:rsid w:val="E7BE30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New"/>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99"/>
    <w:pPr>
      <w:widowControl w:val="0"/>
    </w:pPr>
    <w:rPr>
      <w:b/>
      <w:spacing w:val="-20"/>
      <w:sz w:val="84"/>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widowControl w:val="0"/>
      <w:spacing w:after="120" w:line="480" w:lineRule="auto"/>
    </w:pPr>
  </w:style>
  <w:style w:type="paragraph" w:styleId="7">
    <w:name w:val="Normal (Web)"/>
    <w:basedOn w:val="1"/>
    <w:qFormat/>
    <w:uiPriority w:val="99"/>
    <w:pPr>
      <w:spacing w:before="30" w:after="100" w:afterAutospacing="1"/>
      <w:ind w:left="90"/>
      <w:jc w:val="left"/>
    </w:pPr>
    <w:rPr>
      <w:rFonts w:hAnsi="宋体"/>
      <w:color w:val="000000"/>
      <w:sz w:val="18"/>
      <w:szCs w:val="18"/>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99"/>
    <w:rPr>
      <w:rFonts w:ascii="Times New Roman" w:hAnsi="Times New Roman" w:eastAsia="宋体" w:cs="Times New Roman"/>
      <w:b/>
    </w:rPr>
  </w:style>
  <w:style w:type="paragraph" w:customStyle="1" w:styleId="12">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character" w:customStyle="1" w:styleId="13">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4">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5">
    <w:name w:val="（符号）三标题1.1"/>
    <w:basedOn w:val="1"/>
    <w:qFormat/>
    <w:uiPriority w:val="99"/>
    <w:pPr>
      <w:tabs>
        <w:tab w:val="left" w:pos="700"/>
      </w:tabs>
      <w:spacing w:line="500" w:lineRule="exact"/>
    </w:pPr>
    <w:rPr>
      <w:rFonts w:ascii="宋体" w:hAnsi="宋体"/>
      <w:sz w:val="24"/>
    </w:rPr>
  </w:style>
  <w:style w:type="paragraph" w:customStyle="1" w:styleId="16">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styleId="17">
    <w:name w:val="List Paragraph"/>
    <w:basedOn w:val="1"/>
    <w:qFormat/>
    <w:uiPriority w:val="99"/>
    <w:pPr>
      <w:ind w:firstLine="420" w:firstLineChars="200"/>
    </w:pPr>
  </w:style>
  <w:style w:type="paragraph" w:customStyle="1" w:styleId="18">
    <w:name w:val="正文2"/>
    <w:basedOn w:val="1"/>
    <w:qFormat/>
    <w:uiPriority w:val="0"/>
    <w:pPr>
      <w:widowControl w:val="0"/>
      <w:wordWrap w:val="0"/>
      <w:spacing w:line="360" w:lineRule="auto"/>
      <w:ind w:firstLine="200" w:firstLineChars="200"/>
      <w:textAlignment w:val="auto"/>
    </w:pPr>
    <w:rPr>
      <w:rFonts w:eastAsiaTheme="minorEastAsia"/>
      <w:sz w:val="24"/>
      <w:szCs w:val="22"/>
    </w:rPr>
  </w:style>
  <w:style w:type="character" w:customStyle="1" w:styleId="19">
    <w:name w:val="font41"/>
    <w:basedOn w:val="10"/>
    <w:qFormat/>
    <w:uiPriority w:val="0"/>
    <w:rPr>
      <w:rFonts w:hint="eastAsia" w:ascii="宋体" w:hAnsi="宋体" w:eastAsia="宋体" w:cs="宋体"/>
      <w:b/>
      <w:bCs/>
      <w:color w:val="000000"/>
      <w:sz w:val="24"/>
      <w:szCs w:val="24"/>
      <w:u w:val="single"/>
    </w:rPr>
  </w:style>
  <w:style w:type="character" w:customStyle="1" w:styleId="20">
    <w:name w:val="font31"/>
    <w:basedOn w:val="10"/>
    <w:qFormat/>
    <w:uiPriority w:val="0"/>
    <w:rPr>
      <w:rFonts w:hint="eastAsia" w:ascii="宋体" w:hAnsi="宋体" w:eastAsia="宋体" w:cs="宋体"/>
      <w:b/>
      <w:bCs/>
      <w:color w:val="000000"/>
      <w:sz w:val="24"/>
      <w:szCs w:val="24"/>
      <w:u w:val="none"/>
    </w:rPr>
  </w:style>
  <w:style w:type="character" w:customStyle="1" w:styleId="21">
    <w:name w:val="font51"/>
    <w:basedOn w:val="10"/>
    <w:qFormat/>
    <w:uiPriority w:val="0"/>
    <w:rPr>
      <w:rFonts w:ascii="Arial" w:hAnsi="Arial" w:cs="Arial"/>
      <w:color w:val="000000"/>
      <w:sz w:val="16"/>
      <w:szCs w:val="16"/>
      <w:u w:val="none"/>
    </w:rPr>
  </w:style>
  <w:style w:type="character" w:customStyle="1" w:styleId="22">
    <w:name w:val="font61"/>
    <w:basedOn w:val="10"/>
    <w:qFormat/>
    <w:uiPriority w:val="0"/>
    <w:rPr>
      <w:rFonts w:hint="default" w:ascii="Arial" w:hAnsi="Arial" w:cs="Arial"/>
      <w:color w:val="000000"/>
      <w:sz w:val="19"/>
      <w:szCs w:val="19"/>
      <w:u w:val="none"/>
    </w:rPr>
  </w:style>
  <w:style w:type="character" w:customStyle="1" w:styleId="23">
    <w:name w:val="font01"/>
    <w:basedOn w:val="10"/>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1931</Words>
  <Characters>1999</Characters>
  <Lines>0</Lines>
  <Paragraphs>0</Paragraphs>
  <TotalTime>6</TotalTime>
  <ScaleCrop>false</ScaleCrop>
  <LinksUpToDate>false</LinksUpToDate>
  <CharactersWithSpaces>2044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2024-06-19T20:21:00Z</dcterms:created>
  <dc:creator>170441-谢雯玲</dc:creator>
  <cp:lastModifiedBy>127935-王永梅</cp:lastModifiedBy>
  <dcterms:modified xsi:type="dcterms:W3CDTF">2025-10-31T10:04:58Z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0B9905B1C268497695C673A1250763A4_13</vt:lpwstr>
  </property>
  <property fmtid="{D5CDD505-2E9C-101B-9397-08002B2CF9AE}" pid="4" name="KSOTemplateDocerSaveRecord">
    <vt:lpwstr>eyJoZGlkIjoiMzEwNTM5NzYwMDRjMzkwZTVkZjY2ODkwMGIxNGU0OTUiLCJ1c2VySWQiOiIzNzg2Njg0NTYifQ==</vt:lpwstr>
  </property>
</Properties>
</file>