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wind咨询数据终端与市场上其他同类型软件的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核心功能对比表</w:t>
      </w:r>
      <w:bookmarkStart w:id="2" w:name="_GoBack"/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684"/>
        <w:gridCol w:w="1660"/>
        <w:gridCol w:w="1659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DM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QB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同花顺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Wind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咨询数据终端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债券一级市场&gt;较竞品优势&gt;债市日历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DM没有该功能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指标少于wind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没有该功能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1.Wind债市日历一般在招标结束1-3分钟左右推送全部相关结果:全场倍数、边际倍数、加权利率、边际利率等。速度最快。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2.wind标出专项、城投等标签，还附上了发行公告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3.wind债市日历还可以查询新债公告、缴款、上市等信息，更加全面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债券一级市场&gt;较竞品优势&gt;新债上市首日偏离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只有统计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指标少于wind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只有统计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标出了每个主承的具体的包销份额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债券一级市场&gt;较竞品优势&gt;债券承销排行榜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无法获得各类协议，排名也就不被认可。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无法获得各类协议，排名也就不被认可。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无法获得各类协议，排名也就不被认可。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承销排名最重要的是公允，能够反映各家真实的份额情况。我司可以获得主承机构发送的各类承销协议，并且有完善的评估机制，保证排名的公允。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是业内当前认可的。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BBQ</w:t>
            </w: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4"/>
            <w:bookmarkStart w:id="1" w:name="OLE_LINK3"/>
            <w:r>
              <w:rPr>
                <w:rFonts w:hint="eastAsia" w:ascii="仿宋_GB2312" w:hAnsi="仿宋_GB2312" w:eastAsia="仿宋_GB2312" w:cs="仿宋_GB2312"/>
                <w:sz w:val="24"/>
              </w:rPr>
              <w:t>单个担保人</w:t>
            </w:r>
            <w:bookmarkEnd w:id="0"/>
            <w:bookmarkEnd w:id="1"/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无科创债概念板块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可设置提醒条件单一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灵活窗口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1.不能搜担保人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单个担保人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1、可看批量担保人担保的券的实时行情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2、科技创新公司债（科创债）有单独的概念板块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3、个券和板块能设置多种行情条件提醒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4、有灵活的各种小窗，如最优小窗、报价小窗、排名小窗、明细小窗。可同时监控多个债券/板块的实时行情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BMW</w:t>
            </w: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1、利率债，信用债和NCD无多源行情，仅支持经纪商行情。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2、信用债矩阵筛选项没有WIND丰富，例如没有债券评级，上市场所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发行方式，是否含权，是否永续，行业筛选等。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3、没有我的自选债个性化选债模块成交统计。</w:t>
            </w: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1、无多源行情，仅支持经纪商行情。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2、没有专门城投债成交统计界面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3、没有地方债成交统计界面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4、非会员状态仅能查看历史7天成交统计数据。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5、利率债无次活跃矩阵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1、最重要的经纪商行情源缺少信唐和上田成交数据，成交数据不完整。6家经纪商缺2家。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2、无多源行情，仅支持经纪商行情。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3、没有专门城投债成交统计界面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4、没有地方债成交统计界面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5、没有我的自选债个性化选债模块成交统计。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1、提供多源行情。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2、提供特色成交统计模块:城投债(按评级)、城投债(按地域)、地方债成交统计界面。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3、提供个性化成交统计界面:我的自选债成交统计界面。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国债期货</w:t>
            </w:r>
          </w:p>
        </w:tc>
        <w:tc>
          <w:tcPr>
            <w:tcW w:w="1684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仅期货合约行情，其他一片空白。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0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缺少F5多空、热点等交易行为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缺少F9深度资料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缺少强大的数据导出功能。</w:t>
            </w:r>
          </w:p>
        </w:tc>
        <w:tc>
          <w:tcPr>
            <w:tcW w:w="1659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缺少F5多空、热点等交易行为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缺少国债期货价差分析;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缺少期现分析历史数据</w:t>
            </w:r>
          </w:p>
        </w:tc>
        <w:tc>
          <w:tcPr>
            <w:tcW w:w="1608" w:type="dxa"/>
          </w:tcPr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全面的行情</w:t>
            </w:r>
          </w:p>
          <w:p>
            <w:pPr>
              <w:spacing w:after="156" w:afterLines="50"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便捷的数据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060B"/>
    <w:rsid w:val="21CF2F04"/>
    <w:rsid w:val="283E3416"/>
    <w:rsid w:val="2FF821C9"/>
    <w:rsid w:val="45315588"/>
    <w:rsid w:val="62546121"/>
    <w:rsid w:val="744477B1"/>
    <w:rsid w:val="7D9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2025-08-12T03:27:20Z</dcterms:created>
  <dc:creator>Administrator.DESKTOP-EEH4016</dc:creator>
  <cp:lastModifiedBy>行政采购岗</cp:lastModifiedBy>
  <dcterms:modified xsi:type="dcterms:W3CDTF">2025-08-12T03:27:52Z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