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hAnsi="宋体" w:cs="Times New Roman"/>
          <w:b/>
          <w:szCs w:val="32"/>
          <w:lang w:eastAsia="zh-CN"/>
        </w:rPr>
      </w:pPr>
      <w:r>
        <w:rPr>
          <w:rFonts w:hint="eastAsia" w:ascii="仿宋_GB2312" w:hAnsi="宋体" w:cs="Times New Roman"/>
          <w:b/>
          <w:szCs w:val="32"/>
          <w:lang w:eastAsia="zh-CN"/>
        </w:rPr>
        <w:t>附件</w:t>
      </w:r>
      <w:r>
        <w:rPr>
          <w:rFonts w:hint="eastAsia" w:ascii="仿宋_GB2312" w:hAnsi="宋体" w:cs="Times New Roman"/>
          <w:b/>
          <w:szCs w:val="32"/>
          <w:lang w:val="en-US" w:eastAsia="zh-CN"/>
        </w:rPr>
        <w:t>1</w:t>
      </w:r>
      <w:r>
        <w:rPr>
          <w:rFonts w:hint="eastAsia" w:ascii="仿宋_GB2312" w:hAnsi="宋体" w:cs="Times New Roman"/>
          <w:b/>
          <w:szCs w:val="32"/>
          <w:lang w:eastAsia="zh-CN"/>
        </w:rPr>
        <w:t>：</w:t>
      </w:r>
    </w:p>
    <w:p>
      <w:pPr>
        <w:pStyle w:val="4"/>
        <w:ind w:firstLine="2160" w:firstLineChars="600"/>
        <w:rPr>
          <w:rFonts w:hint="eastAsia" w:ascii="方正小标宋简体" w:hAnsi="宋体" w:eastAsia="方正小标宋简体"/>
          <w:sz w:val="36"/>
          <w:szCs w:val="36"/>
          <w:lang w:eastAsia="zh-CN"/>
        </w:rPr>
      </w:pPr>
      <w:r>
        <w:rPr>
          <w:rFonts w:hint="eastAsia" w:ascii="方正小标宋简体" w:hAnsi="宋体" w:eastAsia="方正小标宋简体"/>
          <w:sz w:val="36"/>
          <w:szCs w:val="36"/>
          <w:lang w:eastAsia="zh-CN"/>
        </w:rPr>
        <w:t>房地产年租金预评估明细表</w:t>
      </w:r>
    </w:p>
    <w:p>
      <w:pPr>
        <w:pStyle w:val="4"/>
        <w:ind w:firstLine="3200" w:firstLineChars="160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评估基准日：2025年8月15日</w:t>
      </w:r>
    </w:p>
    <w:tbl>
      <w:tblPr>
        <w:tblStyle w:val="5"/>
        <w:tblW w:w="110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2"/>
        <w:gridCol w:w="1695"/>
        <w:gridCol w:w="1178"/>
        <w:gridCol w:w="1126"/>
        <w:gridCol w:w="795"/>
        <w:gridCol w:w="945"/>
        <w:gridCol w:w="1245"/>
        <w:gridCol w:w="1545"/>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45" w:type="dxa"/>
            <w:gridSpan w:val="3"/>
            <w:tcBorders>
              <w:top w:val="nil"/>
              <w:left w:val="nil"/>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委托方：贵州赫章农村</w:t>
            </w:r>
            <w:bookmarkStart w:id="0" w:name="_GoBack"/>
            <w:bookmarkEnd w:id="0"/>
            <w:r>
              <w:rPr>
                <w:rFonts w:hint="eastAsia" w:ascii="宋体" w:hAnsi="宋体" w:eastAsia="宋体" w:cs="宋体"/>
                <w:i w:val="0"/>
                <w:iCs w:val="0"/>
                <w:color w:val="000000"/>
                <w:kern w:val="0"/>
                <w:sz w:val="20"/>
                <w:szCs w:val="20"/>
                <w:u w:val="none"/>
                <w:lang w:val="en-US" w:eastAsia="zh-CN" w:bidi="ar"/>
              </w:rPr>
              <w:t>商业银行股份有限公司</w:t>
            </w:r>
          </w:p>
        </w:tc>
        <w:tc>
          <w:tcPr>
            <w:tcW w:w="1126" w:type="dxa"/>
            <w:tcBorders>
              <w:top w:val="nil"/>
              <w:left w:val="nil"/>
              <w:bottom w:val="single" w:color="000000" w:sz="4" w:space="0"/>
              <w:right w:val="nil"/>
            </w:tcBorders>
            <w:noWrap/>
            <w:vAlign w:val="center"/>
          </w:tcPr>
          <w:p>
            <w:pPr>
              <w:rPr>
                <w:rFonts w:hint="eastAsia" w:ascii="宋体" w:hAnsi="宋体" w:eastAsia="宋体" w:cs="宋体"/>
                <w:i w:val="0"/>
                <w:iCs w:val="0"/>
                <w:color w:val="000000"/>
                <w:sz w:val="20"/>
                <w:szCs w:val="20"/>
                <w:u w:val="none"/>
              </w:rPr>
            </w:pPr>
          </w:p>
        </w:tc>
        <w:tc>
          <w:tcPr>
            <w:tcW w:w="795" w:type="dxa"/>
            <w:tcBorders>
              <w:top w:val="nil"/>
              <w:left w:val="nil"/>
              <w:bottom w:val="single" w:color="000000" w:sz="4" w:space="0"/>
              <w:right w:val="nil"/>
            </w:tcBorders>
            <w:noWrap/>
            <w:vAlign w:val="center"/>
          </w:tcPr>
          <w:p>
            <w:pPr>
              <w:rPr>
                <w:rFonts w:hint="eastAsia" w:ascii="宋体" w:hAnsi="宋体" w:eastAsia="宋体" w:cs="宋体"/>
                <w:i w:val="0"/>
                <w:iCs w:val="0"/>
                <w:color w:val="000000"/>
                <w:sz w:val="20"/>
                <w:szCs w:val="20"/>
                <w:u w:val="none"/>
              </w:rPr>
            </w:pPr>
          </w:p>
        </w:tc>
        <w:tc>
          <w:tcPr>
            <w:tcW w:w="945" w:type="dxa"/>
            <w:tcBorders>
              <w:top w:val="nil"/>
              <w:left w:val="nil"/>
              <w:bottom w:val="single" w:color="000000" w:sz="4" w:space="0"/>
              <w:right w:val="nil"/>
            </w:tcBorders>
            <w:noWrap/>
            <w:vAlign w:val="center"/>
          </w:tcPr>
          <w:p>
            <w:pPr>
              <w:rPr>
                <w:rFonts w:hint="eastAsia" w:ascii="宋体" w:hAnsi="宋体" w:eastAsia="宋体" w:cs="宋体"/>
                <w:i w:val="0"/>
                <w:iCs w:val="0"/>
                <w:color w:val="000000"/>
                <w:sz w:val="20"/>
                <w:szCs w:val="20"/>
                <w:u w:val="none"/>
              </w:rPr>
            </w:pPr>
          </w:p>
        </w:tc>
        <w:tc>
          <w:tcPr>
            <w:tcW w:w="1245" w:type="dxa"/>
            <w:tcBorders>
              <w:top w:val="nil"/>
              <w:left w:val="nil"/>
              <w:bottom w:val="single" w:color="000000" w:sz="4" w:space="0"/>
              <w:right w:val="nil"/>
            </w:tcBorders>
            <w:noWrap w:val="0"/>
            <w:vAlign w:val="center"/>
          </w:tcPr>
          <w:p>
            <w:pPr>
              <w:rPr>
                <w:rFonts w:hint="eastAsia" w:ascii="宋体" w:hAnsi="宋体" w:eastAsia="宋体" w:cs="宋体"/>
                <w:i w:val="0"/>
                <w:iCs w:val="0"/>
                <w:color w:val="000000"/>
                <w:sz w:val="20"/>
                <w:szCs w:val="20"/>
                <w:u w:val="none"/>
              </w:rPr>
            </w:pPr>
          </w:p>
        </w:tc>
        <w:tc>
          <w:tcPr>
            <w:tcW w:w="1545" w:type="dxa"/>
            <w:tcBorders>
              <w:top w:val="nil"/>
              <w:left w:val="nil"/>
              <w:bottom w:val="single" w:color="000000" w:sz="4" w:space="0"/>
              <w:right w:val="nil"/>
            </w:tcBorders>
            <w:noWrap w:val="0"/>
            <w:vAlign w:val="center"/>
          </w:tcPr>
          <w:p>
            <w:pPr>
              <w:rPr>
                <w:rFonts w:hint="eastAsia" w:ascii="宋体" w:hAnsi="宋体" w:eastAsia="宋体" w:cs="宋体"/>
                <w:i w:val="0"/>
                <w:iCs w:val="0"/>
                <w:color w:val="000000"/>
                <w:sz w:val="20"/>
                <w:szCs w:val="20"/>
                <w:u w:val="none"/>
              </w:rPr>
            </w:pPr>
          </w:p>
        </w:tc>
        <w:tc>
          <w:tcPr>
            <w:tcW w:w="1832" w:type="dxa"/>
            <w:tcBorders>
              <w:top w:val="nil"/>
              <w:left w:val="nil"/>
              <w:bottom w:val="single" w:color="000000" w:sz="4" w:space="0"/>
              <w:right w:val="nil"/>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资产名称</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位置</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所在楼层</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建筑面积（平方米）</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单位年租金（元/平方米）</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评估总值(万元)</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原信用联社老办公楼1号门面</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赫章县小康二路</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钢混结构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1层</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53.59 </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1,319.00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70,685.00</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原信用联社老办公楼2号门面</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赫章县小康二路</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钢混结构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1层</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29.13 </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1,392.00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40,549.00</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原信用联社老办公楼3号门面</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赫章县小康二路</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钢混结构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1层</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15.49 </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1,319.00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20,431.00</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原信用联社老办公楼5号门面</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赫章县小康二路</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钢混结构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1层</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41.28 </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1,319.00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54,448.00</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原信用联社老办公楼7号门面</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赫章县小康二路</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钢混结构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1层</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27.22 </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1,319.00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35,903.00</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原信用联社老办公楼9号门面</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赫章县小康二路</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钢混结构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1层</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44.51 </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1,319.00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58,709.00</w:t>
            </w:r>
          </w:p>
        </w:tc>
        <w:tc>
          <w:tcPr>
            <w:tcW w:w="18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原信用联社老办公楼10号门面</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赫章县小康二路</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钢混结构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1层</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16.93 </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1,465.00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24,802.00</w:t>
            </w:r>
          </w:p>
        </w:tc>
        <w:tc>
          <w:tcPr>
            <w:tcW w:w="18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原信用联社老办公楼11号门面</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赫章县小康二路</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钢混结构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1层</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136.12 </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1,845.00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251,141.00</w:t>
            </w:r>
          </w:p>
        </w:tc>
        <w:tc>
          <w:tcPr>
            <w:tcW w:w="18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原信用联社老办公楼12号门面</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赫章县小康二路</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钢混结构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1层</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33.12 </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1,937.00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64,153.00</w:t>
            </w:r>
          </w:p>
        </w:tc>
        <w:tc>
          <w:tcPr>
            <w:tcW w:w="18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原信用联社老办公楼13号门面</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赫章县小康二路</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钢混结构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1层</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32.64 </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2,030.00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66,259.00</w:t>
            </w:r>
          </w:p>
        </w:tc>
        <w:tc>
          <w:tcPr>
            <w:tcW w:w="18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原信用联社老办公楼14号门面</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赫章县小康二路</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钢混结构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1层</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12.87 </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2,715.00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34,942.00</w:t>
            </w:r>
          </w:p>
        </w:tc>
        <w:tc>
          <w:tcPr>
            <w:tcW w:w="18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原信用联社老办公楼15号门面</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赫章县小康二路</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钢混结构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1层</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38.91 </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1,545.00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60,116.00</w:t>
            </w:r>
          </w:p>
        </w:tc>
        <w:tc>
          <w:tcPr>
            <w:tcW w:w="18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原信用联社老办公楼16号门面</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赫章县小康二路</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钢混结构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1层</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32.83 </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1,700.00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55,811.00</w:t>
            </w:r>
          </w:p>
        </w:tc>
        <w:tc>
          <w:tcPr>
            <w:tcW w:w="18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4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2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514.64 </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837,949.00</w:t>
            </w:r>
          </w:p>
        </w:tc>
        <w:tc>
          <w:tcPr>
            <w:tcW w:w="18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71"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评估机构：毕节兴业资产评估事务所有限公司</w:t>
            </w:r>
          </w:p>
        </w:tc>
        <w:tc>
          <w:tcPr>
            <w:tcW w:w="795" w:type="dxa"/>
            <w:tcBorders>
              <w:top w:val="single" w:color="000000" w:sz="4" w:space="0"/>
              <w:left w:val="nil"/>
              <w:bottom w:val="nil"/>
              <w:right w:val="nil"/>
            </w:tcBorders>
            <w:noWrap/>
            <w:vAlign w:val="center"/>
          </w:tcPr>
          <w:p>
            <w:pPr>
              <w:rPr>
                <w:rFonts w:hint="eastAsia" w:ascii="宋体" w:hAnsi="宋体" w:eastAsia="宋体" w:cs="宋体"/>
                <w:b/>
                <w:bCs/>
                <w:i w:val="0"/>
                <w:iCs w:val="0"/>
                <w:color w:val="000000"/>
                <w:sz w:val="20"/>
                <w:szCs w:val="20"/>
                <w:u w:val="none"/>
              </w:rPr>
            </w:pPr>
          </w:p>
        </w:tc>
        <w:tc>
          <w:tcPr>
            <w:tcW w:w="945" w:type="dxa"/>
            <w:tcBorders>
              <w:top w:val="single" w:color="000000" w:sz="4" w:space="0"/>
              <w:left w:val="nil"/>
              <w:bottom w:val="nil"/>
              <w:right w:val="nil"/>
            </w:tcBorders>
            <w:noWrap/>
            <w:vAlign w:val="center"/>
          </w:tcPr>
          <w:p>
            <w:pPr>
              <w:rPr>
                <w:rFonts w:hint="eastAsia" w:ascii="宋体" w:hAnsi="宋体" w:eastAsia="宋体" w:cs="宋体"/>
                <w:b/>
                <w:bCs/>
                <w:i w:val="0"/>
                <w:iCs w:val="0"/>
                <w:color w:val="000000"/>
                <w:sz w:val="20"/>
                <w:szCs w:val="20"/>
                <w:u w:val="none"/>
              </w:rPr>
            </w:pPr>
          </w:p>
        </w:tc>
        <w:tc>
          <w:tcPr>
            <w:tcW w:w="1245" w:type="dxa"/>
            <w:tcBorders>
              <w:top w:val="single" w:color="000000" w:sz="4" w:space="0"/>
              <w:left w:val="nil"/>
              <w:bottom w:val="nil"/>
              <w:right w:val="nil"/>
            </w:tcBorders>
            <w:noWrap/>
            <w:vAlign w:val="center"/>
          </w:tcPr>
          <w:p>
            <w:pPr>
              <w:rPr>
                <w:rFonts w:hint="eastAsia" w:ascii="宋体" w:hAnsi="宋体" w:eastAsia="宋体" w:cs="宋体"/>
                <w:b/>
                <w:bCs/>
                <w:i w:val="0"/>
                <w:iCs w:val="0"/>
                <w:color w:val="000000"/>
                <w:sz w:val="20"/>
                <w:szCs w:val="20"/>
                <w:u w:val="none"/>
              </w:rPr>
            </w:pPr>
          </w:p>
        </w:tc>
        <w:tc>
          <w:tcPr>
            <w:tcW w:w="1545" w:type="dxa"/>
            <w:tcBorders>
              <w:top w:val="single" w:color="000000" w:sz="4" w:space="0"/>
              <w:left w:val="nil"/>
              <w:bottom w:val="nil"/>
              <w:right w:val="nil"/>
            </w:tcBorders>
            <w:noWrap/>
            <w:vAlign w:val="center"/>
          </w:tcPr>
          <w:p>
            <w:pPr>
              <w:rPr>
                <w:rFonts w:hint="eastAsia" w:ascii="宋体" w:hAnsi="宋体" w:eastAsia="宋体" w:cs="宋体"/>
                <w:b/>
                <w:bCs/>
                <w:i w:val="0"/>
                <w:iCs w:val="0"/>
                <w:color w:val="000000"/>
                <w:sz w:val="20"/>
                <w:szCs w:val="20"/>
                <w:u w:val="none"/>
              </w:rPr>
            </w:pPr>
          </w:p>
        </w:tc>
        <w:tc>
          <w:tcPr>
            <w:tcW w:w="1832" w:type="dxa"/>
            <w:tcBorders>
              <w:top w:val="single" w:color="000000" w:sz="4" w:space="0"/>
              <w:left w:val="nil"/>
              <w:bottom w:val="nil"/>
              <w:right w:val="nil"/>
            </w:tcBorders>
            <w:noWrap/>
            <w:vAlign w:val="center"/>
          </w:tcPr>
          <w:p>
            <w:pPr>
              <w:rPr>
                <w:rFonts w:hint="eastAsia" w:ascii="宋体" w:hAnsi="宋体" w:eastAsia="宋体" w:cs="宋体"/>
                <w:b/>
                <w:bCs/>
                <w:i w:val="0"/>
                <w:iCs w:val="0"/>
                <w:color w:val="000000"/>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B385B"/>
    <w:rsid w:val="77EB3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
    <w:name w:val="无间隔1"/>
    <w:basedOn w:val="1"/>
    <w:qFormat/>
    <w:uiPriority w:val="0"/>
    <w:rPr>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2025-08-27T13:20:00Z</dcterms:created>
  <dc:creator>168216-王超兰</dc:creator>
  <cp:lastModifiedBy>168216-王超兰</cp:lastModifiedBy>
  <dcterms:modified xsi:type="dcterms:W3CDTF">2025-08-27T13:21:27Z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