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贵州息烽农村商业银行股份有限公司2025年二季度关联交易情况披露报告</w:t>
      </w:r>
    </w:p>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根据</w:t>
      </w:r>
      <w:r>
        <w:rPr>
          <w:rFonts w:hint="eastAsia" w:ascii="仿宋_GB2312" w:hAnsi="仿宋_GB2312" w:eastAsia="仿宋_GB2312" w:cs="仿宋_GB2312"/>
          <w:sz w:val="32"/>
          <w:szCs w:val="32"/>
        </w:rPr>
        <w:t>《银行保险机构关联交易管理办法》（中国银保监会令2022年1号）的有关规定，</w:t>
      </w:r>
      <w:r>
        <w:rPr>
          <w:rFonts w:hint="eastAsia" w:ascii="仿宋_GB2312" w:hAnsi="仿宋_GB2312" w:eastAsia="仿宋_GB2312" w:cs="仿宋_GB2312"/>
          <w:sz w:val="32"/>
          <w:szCs w:val="32"/>
          <w:lang w:eastAsia="zh-CN"/>
        </w:rPr>
        <w:t>现将贵州息烽农村商业银行股份有限公司</w:t>
      </w:r>
      <w:r>
        <w:rPr>
          <w:rFonts w:hint="eastAsia" w:ascii="仿宋_GB2312" w:hAnsi="仿宋_GB2312" w:eastAsia="仿宋_GB2312" w:cs="仿宋_GB2312"/>
          <w:sz w:val="32"/>
          <w:szCs w:val="32"/>
        </w:rPr>
        <w:t>（以下简称“</w:t>
      </w:r>
      <w:r>
        <w:rPr>
          <w:rFonts w:hint="eastAsia" w:ascii="仿宋_GB2312" w:hAnsi="仿宋_GB2312" w:eastAsia="仿宋_GB2312" w:cs="仿宋_GB2312"/>
          <w:sz w:val="32"/>
          <w:szCs w:val="32"/>
          <w:lang w:eastAsia="zh-CN"/>
        </w:rPr>
        <w:t>本</w:t>
      </w:r>
      <w:r>
        <w:rPr>
          <w:rFonts w:hint="eastAsia" w:ascii="仿宋_GB2312" w:hAnsi="仿宋_GB2312" w:eastAsia="仿宋_GB2312" w:cs="仿宋_GB2312"/>
          <w:sz w:val="32"/>
          <w:szCs w:val="32"/>
        </w:rPr>
        <w:t>行”）202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年度</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季度关联交易情况披露如下：</w:t>
      </w:r>
    </w:p>
    <w:p>
      <w:pPr>
        <w:numPr>
          <w:ilvl w:val="0"/>
          <w:numId w:val="1"/>
        </w:numPr>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关联方</w:t>
      </w:r>
      <w:r>
        <w:rPr>
          <w:rFonts w:hint="eastAsia" w:ascii="黑体" w:hAnsi="黑体" w:eastAsia="黑体" w:cs="黑体"/>
          <w:sz w:val="32"/>
          <w:szCs w:val="32"/>
        </w:rPr>
        <w:t>界定范围</w:t>
      </w:r>
    </w:p>
    <w:p>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本行的</w:t>
      </w:r>
      <w:r>
        <w:rPr>
          <w:rFonts w:hint="eastAsia" w:ascii="仿宋_GB2312" w:hAnsi="仿宋_GB2312" w:eastAsia="仿宋_GB2312" w:cs="仿宋_GB2312"/>
          <w:sz w:val="32"/>
          <w:szCs w:val="32"/>
        </w:rPr>
        <w:t>关联方按照《银行保险机构关联交易管理办法》（中国银保监会令2022年1号）第五条至第</w:t>
      </w:r>
      <w:r>
        <w:rPr>
          <w:rFonts w:hint="eastAsia" w:ascii="仿宋_GB2312" w:hAnsi="仿宋_GB2312" w:eastAsia="仿宋_GB2312" w:cs="仿宋_GB2312"/>
          <w:sz w:val="32"/>
          <w:szCs w:val="32"/>
          <w:lang w:eastAsia="zh-CN"/>
        </w:rPr>
        <w:t>九</w:t>
      </w:r>
      <w:r>
        <w:rPr>
          <w:rFonts w:hint="eastAsia" w:ascii="仿宋_GB2312" w:hAnsi="仿宋_GB2312" w:eastAsia="仿宋_GB2312" w:cs="仿宋_GB2312"/>
          <w:sz w:val="32"/>
          <w:szCs w:val="32"/>
        </w:rPr>
        <w:t>条的相关规定进行确认。</w:t>
      </w:r>
    </w:p>
    <w:p>
      <w:pPr>
        <w:numPr>
          <w:ilvl w:val="0"/>
          <w:numId w:val="1"/>
        </w:numPr>
        <w:ind w:left="0" w:leftChars="0" w:firstLine="640" w:firstLineChars="200"/>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eastAsia="zh-CN"/>
        </w:rPr>
        <w:t>关联交易总体情况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截至</w:t>
      </w:r>
      <w:r>
        <w:rPr>
          <w:rFonts w:hint="eastAsia" w:ascii="仿宋_GB2312" w:hAnsi="仿宋_GB2312" w:eastAsia="仿宋_GB2312" w:cs="仿宋_GB2312"/>
          <w:sz w:val="32"/>
          <w:szCs w:val="32"/>
          <w:lang w:val="en-US" w:eastAsia="zh-CN"/>
        </w:rPr>
        <w:t>2025年6月末，本行</w:t>
      </w:r>
      <w:r>
        <w:rPr>
          <w:rFonts w:hint="eastAsia" w:ascii="仿宋_GB2312" w:hAnsi="仿宋_GB2312" w:eastAsia="仿宋_GB2312" w:cs="仿宋_GB2312"/>
          <w:sz w:val="32"/>
          <w:szCs w:val="32"/>
        </w:rPr>
        <w:t>资</w:t>
      </w:r>
      <w:r>
        <w:rPr>
          <w:rFonts w:hint="eastAsia" w:ascii="仿宋_GB2312" w:hAnsi="仿宋_GB2312" w:eastAsia="仿宋_GB2312" w:cs="仿宋_GB2312"/>
          <w:color w:val="auto"/>
          <w:sz w:val="32"/>
          <w:szCs w:val="32"/>
        </w:rPr>
        <w:t>本净额</w:t>
      </w:r>
      <w:r>
        <w:rPr>
          <w:rFonts w:hint="eastAsia" w:ascii="仿宋_GB2312" w:hAnsi="仿宋_GB2312" w:eastAsia="仿宋_GB2312" w:cs="仿宋_GB2312"/>
          <w:color w:val="auto"/>
          <w:sz w:val="32"/>
          <w:szCs w:val="32"/>
          <w:lang w:val="en-US" w:eastAsia="zh-CN"/>
        </w:rPr>
        <w:t>68682.64</w:t>
      </w:r>
      <w:r>
        <w:rPr>
          <w:rFonts w:hint="eastAsia" w:ascii="仿宋_GB2312" w:hAnsi="仿宋_GB2312" w:eastAsia="仿宋_GB2312" w:cs="仿宋_GB2312"/>
          <w:color w:val="auto"/>
          <w:sz w:val="32"/>
          <w:szCs w:val="32"/>
        </w:rPr>
        <w:t>万元，全</w:t>
      </w:r>
      <w:r>
        <w:rPr>
          <w:rFonts w:hint="eastAsia" w:ascii="仿宋_GB2312" w:hAnsi="仿宋_GB2312" w:eastAsia="仿宋_GB2312" w:cs="仿宋_GB2312"/>
          <w:sz w:val="32"/>
          <w:szCs w:val="32"/>
        </w:rPr>
        <w:t>部关联方</w:t>
      </w:r>
      <w:r>
        <w:rPr>
          <w:rFonts w:hint="eastAsia" w:ascii="仿宋_GB2312" w:hAnsi="仿宋_GB2312" w:eastAsia="仿宋_GB2312" w:cs="仿宋_GB2312"/>
          <w:sz w:val="32"/>
          <w:szCs w:val="32"/>
          <w:lang w:eastAsia="zh-CN"/>
        </w:rPr>
        <w:t>授信</w:t>
      </w:r>
      <w:r>
        <w:rPr>
          <w:rFonts w:hint="eastAsia" w:ascii="仿宋_GB2312" w:hAnsi="仿宋_GB2312" w:eastAsia="仿宋_GB2312" w:cs="仿宋_GB2312"/>
          <w:sz w:val="32"/>
          <w:szCs w:val="32"/>
        </w:rPr>
        <w:t>余额</w:t>
      </w:r>
      <w:r>
        <w:rPr>
          <w:rFonts w:hint="eastAsia" w:ascii="仿宋_GB2312" w:hAnsi="仿宋_GB2312" w:eastAsia="仿宋_GB2312" w:cs="仿宋_GB2312"/>
          <w:sz w:val="32"/>
          <w:szCs w:val="32"/>
          <w:lang w:val="en-US" w:eastAsia="zh-CN"/>
        </w:rPr>
        <w:t>1670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eastAsia="仿宋_GB2312"/>
          <w:b w:val="0"/>
          <w:bCs w:val="0"/>
          <w:color w:val="auto"/>
          <w:sz w:val="32"/>
          <w:szCs w:val="32"/>
          <w:highlight w:val="none"/>
          <w:lang w:val="en-US" w:eastAsia="zh-CN"/>
        </w:rPr>
        <w:t>扣除授信时关联方提供的保证金存款以及质押的银行存单和国债金额</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上季末资本净额</w:t>
      </w:r>
      <w:r>
        <w:rPr>
          <w:rFonts w:hint="eastAsia" w:ascii="仿宋_GB2312" w:hAnsi="仿宋_GB2312" w:eastAsia="仿宋_GB2312" w:cs="仿宋_GB2312"/>
          <w:sz w:val="32"/>
          <w:szCs w:val="32"/>
          <w:lang w:val="en-US" w:eastAsia="zh-CN"/>
        </w:rPr>
        <w:t>65372.93</w:t>
      </w:r>
      <w:r>
        <w:rPr>
          <w:rFonts w:hint="eastAsia" w:ascii="仿宋_GB2312" w:hAnsi="仿宋_GB2312" w:eastAsia="仿宋_GB2312" w:cs="仿宋_GB2312"/>
          <w:sz w:val="32"/>
          <w:szCs w:val="32"/>
          <w:lang w:eastAsia="zh-CN"/>
        </w:rPr>
        <w:t>万元，全部关联方授信</w:t>
      </w:r>
      <w:r>
        <w:rPr>
          <w:rFonts w:hint="eastAsia" w:ascii="仿宋_GB2312" w:hAnsi="仿宋_GB2312" w:eastAsia="仿宋_GB2312" w:cs="仿宋_GB2312"/>
          <w:sz w:val="32"/>
          <w:szCs w:val="32"/>
        </w:rPr>
        <w:t>余额占</w:t>
      </w:r>
      <w:r>
        <w:rPr>
          <w:rFonts w:hint="eastAsia" w:ascii="仿宋_GB2312" w:hAnsi="仿宋_GB2312" w:eastAsia="仿宋_GB2312" w:cs="仿宋_GB2312"/>
          <w:sz w:val="32"/>
          <w:szCs w:val="32"/>
          <w:lang w:eastAsia="zh-CN"/>
        </w:rPr>
        <w:t>上季末</w:t>
      </w:r>
      <w:r>
        <w:rPr>
          <w:rFonts w:hint="eastAsia" w:ascii="仿宋_GB2312" w:hAnsi="仿宋_GB2312" w:eastAsia="仿宋_GB2312" w:cs="仿宋_GB2312"/>
          <w:sz w:val="32"/>
          <w:szCs w:val="32"/>
        </w:rPr>
        <w:t>资本净额</w:t>
      </w:r>
      <w:r>
        <w:rPr>
          <w:rFonts w:hint="eastAsia" w:ascii="仿宋_GB2312" w:hAnsi="仿宋_GB2312" w:eastAsia="仿宋_GB2312" w:cs="仿宋_GB2312"/>
          <w:color w:val="auto"/>
          <w:sz w:val="32"/>
          <w:szCs w:val="32"/>
        </w:rPr>
        <w:t>比例</w:t>
      </w:r>
      <w:r>
        <w:rPr>
          <w:rFonts w:hint="eastAsia" w:ascii="仿宋_GB2312" w:hAnsi="仿宋_GB2312" w:eastAsia="仿宋_GB2312" w:cs="仿宋_GB2312"/>
          <w:color w:val="auto"/>
          <w:sz w:val="32"/>
          <w:szCs w:val="32"/>
          <w:lang w:eastAsia="zh-CN"/>
        </w:rPr>
        <w:t>为</w:t>
      </w:r>
      <w:r>
        <w:rPr>
          <w:rFonts w:hint="eastAsia" w:ascii="仿宋_GB2312" w:hAnsi="仿宋_GB2312" w:eastAsia="仿宋_GB2312" w:cs="仿宋_GB2312"/>
          <w:color w:val="auto"/>
          <w:sz w:val="32"/>
          <w:szCs w:val="32"/>
          <w:lang w:val="en-US" w:eastAsia="zh-CN"/>
        </w:rPr>
        <w:t>2.55</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Arial" w:eastAsia="仿宋_GB2312" w:cs="Arial"/>
          <w:sz w:val="32"/>
          <w:szCs w:val="32"/>
          <w:shd w:val="clear" w:color="auto" w:fill="FFFFFF"/>
          <w:lang w:eastAsia="zh-CN"/>
        </w:rPr>
      </w:pPr>
      <w:r>
        <w:rPr>
          <w:rFonts w:hint="eastAsia" w:ascii="仿宋_GB2312" w:hAnsi="仿宋" w:eastAsia="仿宋_GB2312"/>
          <w:color w:val="000000" w:themeColor="text1"/>
          <w:sz w:val="32"/>
          <w:szCs w:val="32"/>
          <w:lang w:eastAsia="zh-CN"/>
          <w14:textFill>
            <w14:solidFill>
              <w14:schemeClr w14:val="tx1"/>
            </w14:solidFill>
          </w14:textFill>
        </w:rPr>
        <w:t>根据</w:t>
      </w:r>
      <w:r>
        <w:rPr>
          <w:rFonts w:hint="eastAsia" w:ascii="仿宋_GB2312" w:hAnsi="仿宋" w:eastAsia="仿宋_GB2312"/>
          <w:color w:val="000000" w:themeColor="text1"/>
          <w:sz w:val="32"/>
          <w:szCs w:val="32"/>
          <w14:textFill>
            <w14:solidFill>
              <w14:schemeClr w14:val="tx1"/>
            </w14:solidFill>
          </w14:textFill>
        </w:rPr>
        <w:t>《</w:t>
      </w:r>
      <w:r>
        <w:rPr>
          <w:rFonts w:hint="eastAsia" w:ascii="仿宋_GB2312" w:hAnsi="仿宋" w:eastAsia="仿宋_GB2312"/>
          <w:sz w:val="32"/>
          <w:szCs w:val="32"/>
          <w:lang w:eastAsia="zh-CN"/>
        </w:rPr>
        <w:t>银行保险机构关联交易管理办法</w:t>
      </w:r>
      <w:r>
        <w:rPr>
          <w:rFonts w:hint="eastAsia" w:ascii="仿宋_GB2312" w:hAnsi="仿宋" w:eastAsia="仿宋_GB2312"/>
          <w:sz w:val="32"/>
          <w:szCs w:val="32"/>
        </w:rPr>
        <w:t>》</w:t>
      </w:r>
      <w:r>
        <w:rPr>
          <w:rFonts w:hint="eastAsia" w:ascii="仿宋_GB2312" w:hAnsi="仿宋" w:eastAsia="仿宋_GB2312"/>
          <w:color w:val="000000" w:themeColor="text1"/>
          <w:sz w:val="32"/>
          <w:szCs w:val="32"/>
          <w:lang w:eastAsia="zh-CN"/>
          <w14:textFill>
            <w14:solidFill>
              <w14:schemeClr w14:val="tx1"/>
            </w14:solidFill>
          </w14:textFill>
        </w:rPr>
        <w:t>规定：“银行对单个关联方的授信余额不得超过银行机构上季末资本净额的</w:t>
      </w:r>
      <w:r>
        <w:rPr>
          <w:rFonts w:hint="eastAsia" w:ascii="仿宋_GB2312" w:hAnsi="仿宋" w:eastAsia="仿宋_GB2312"/>
          <w:color w:val="000000" w:themeColor="text1"/>
          <w:sz w:val="32"/>
          <w:szCs w:val="32"/>
          <w:lang w:val="en-US" w:eastAsia="zh-CN"/>
          <w14:textFill>
            <w14:solidFill>
              <w14:schemeClr w14:val="tx1"/>
            </w14:solidFill>
          </w14:textFill>
        </w:rPr>
        <w:t>10%，银行机构对单个关联法人或非法人组织所在集团客户的合计授信余额不得超过银行机构上季末资本净额的15%，银行机构对全部关联方的授信余额不得超过银行机构上季末资本净额的50%</w:t>
      </w:r>
      <w:r>
        <w:rPr>
          <w:rFonts w:hint="eastAsia" w:ascii="仿宋_GB2312" w:hAnsi="仿宋" w:eastAsia="仿宋_GB2312"/>
          <w:color w:val="000000" w:themeColor="text1"/>
          <w:sz w:val="32"/>
          <w:szCs w:val="32"/>
          <w:lang w:eastAsia="zh-CN"/>
          <w14:textFill>
            <w14:solidFill>
              <w14:schemeClr w14:val="tx1"/>
            </w14:solidFill>
          </w14:textFill>
        </w:rPr>
        <w:t>”规定，</w:t>
      </w:r>
      <w:r>
        <w:rPr>
          <w:rFonts w:hint="eastAsia" w:ascii="仿宋_GB2312" w:hAnsi="仿宋" w:eastAsia="仿宋_GB2312"/>
          <w:sz w:val="32"/>
          <w:szCs w:val="32"/>
          <w:lang w:val="en-US" w:eastAsia="zh-CN"/>
        </w:rPr>
        <w:t>2025年1季度</w:t>
      </w:r>
      <w:r>
        <w:rPr>
          <w:rFonts w:hint="eastAsia" w:ascii="仿宋_GB2312" w:hAnsi="仿宋" w:eastAsia="仿宋_GB2312"/>
          <w:sz w:val="32"/>
          <w:szCs w:val="32"/>
          <w:lang w:eastAsia="zh-CN"/>
        </w:rPr>
        <w:t>本行</w:t>
      </w:r>
      <w:r>
        <w:rPr>
          <w:rFonts w:hint="eastAsia" w:ascii="仿宋_GB2312" w:hAnsi="仿宋" w:eastAsia="仿宋_GB2312"/>
          <w:sz w:val="32"/>
          <w:szCs w:val="32"/>
        </w:rPr>
        <w:t>对</w:t>
      </w:r>
      <w:r>
        <w:rPr>
          <w:rFonts w:hint="eastAsia" w:ascii="仿宋_GB2312" w:hAnsi="仿宋" w:eastAsia="仿宋_GB2312"/>
          <w:sz w:val="32"/>
          <w:szCs w:val="32"/>
          <w:lang w:eastAsia="zh-CN"/>
        </w:rPr>
        <w:t>全部</w:t>
      </w:r>
      <w:r>
        <w:rPr>
          <w:rFonts w:hint="eastAsia" w:ascii="仿宋_GB2312" w:hAnsi="Arial" w:eastAsia="仿宋_GB2312" w:cs="Arial"/>
          <w:sz w:val="32"/>
          <w:szCs w:val="32"/>
          <w:shd w:val="clear" w:color="auto" w:fill="FFFFFF"/>
        </w:rPr>
        <w:t>关联方授信</w:t>
      </w:r>
      <w:r>
        <w:rPr>
          <w:rFonts w:hint="eastAsia" w:ascii="仿宋_GB2312" w:hAnsi="Arial" w:eastAsia="仿宋_GB2312" w:cs="Arial"/>
          <w:sz w:val="32"/>
          <w:szCs w:val="32"/>
          <w:shd w:val="clear" w:color="auto" w:fill="FFFFFF"/>
          <w:lang w:eastAsia="zh-CN"/>
        </w:rPr>
        <w:t>余额</w:t>
      </w:r>
      <w:r>
        <w:rPr>
          <w:rFonts w:hint="eastAsia" w:ascii="仿宋_GB2312" w:hAnsi="Arial" w:eastAsia="仿宋_GB2312" w:cs="Arial"/>
          <w:sz w:val="32"/>
          <w:szCs w:val="32"/>
          <w:shd w:val="clear" w:color="auto" w:fill="FFFFFF"/>
        </w:rPr>
        <w:t>控制在监管要求的范围之内</w:t>
      </w:r>
      <w:r>
        <w:rPr>
          <w:rFonts w:hint="eastAsia" w:ascii="仿宋_GB2312" w:hAnsi="Arial" w:eastAsia="仿宋_GB2312" w:cs="Arial"/>
          <w:sz w:val="32"/>
          <w:szCs w:val="32"/>
          <w:shd w:val="clear" w:color="auto" w:fill="FFFFFF"/>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重大关联交易情况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lang w:val="en-US" w:eastAsia="zh-CN"/>
        </w:rPr>
        <w:t>截至2025年6月末，本行本年累计发生重大关联交易0户0笔。</w:t>
      </w:r>
      <w:r>
        <w:rPr>
          <w:rFonts w:hint="eastAsia" w:ascii="仿宋_GB2312" w:hAnsi="仿宋" w:eastAsia="仿宋_GB2312"/>
          <w:color w:val="auto"/>
          <w:sz w:val="32"/>
          <w:szCs w:val="32"/>
          <w:highlight w:val="none"/>
          <w:lang w:val="en-US" w:eastAsia="zh-CN"/>
        </w:rPr>
        <w:t>表内外授信余额合计</w:t>
      </w:r>
      <w:r>
        <w:rPr>
          <w:rFonts w:hint="eastAsia" w:ascii="仿宋_GB2312" w:hAnsi="仿宋_GB2312" w:eastAsia="仿宋_GB2312" w:cs="仿宋_GB2312"/>
          <w:sz w:val="32"/>
          <w:szCs w:val="32"/>
          <w:lang w:val="en-US" w:eastAsia="zh-CN"/>
        </w:rPr>
        <w:t>1670</w:t>
      </w:r>
      <w:r>
        <w:rPr>
          <w:rFonts w:hint="eastAsia" w:ascii="仿宋_GB2312" w:hAnsi="仿宋" w:eastAsia="仿宋_GB2312"/>
          <w:color w:val="auto"/>
          <w:sz w:val="32"/>
          <w:szCs w:val="32"/>
          <w:highlight w:val="none"/>
          <w:lang w:val="en-US" w:eastAsia="zh-CN"/>
        </w:rPr>
        <w:t>万元，</w:t>
      </w:r>
      <w:r>
        <w:rPr>
          <w:rFonts w:hint="eastAsia" w:ascii="仿宋_GB2312" w:hAnsi="仿宋_GB2312" w:eastAsia="仿宋_GB2312" w:cs="仿宋_GB2312"/>
          <w:color w:val="auto"/>
          <w:sz w:val="32"/>
          <w:szCs w:val="32"/>
        </w:rPr>
        <w:t>占</w:t>
      </w:r>
      <w:r>
        <w:rPr>
          <w:rFonts w:hint="eastAsia" w:ascii="仿宋_GB2312" w:hAnsi="仿宋_GB2312" w:eastAsia="仿宋_GB2312" w:cs="仿宋_GB2312"/>
          <w:color w:val="auto"/>
          <w:sz w:val="32"/>
          <w:szCs w:val="32"/>
          <w:lang w:eastAsia="zh-CN"/>
        </w:rPr>
        <w:t>上季末</w:t>
      </w:r>
      <w:r>
        <w:rPr>
          <w:rFonts w:hint="eastAsia" w:ascii="仿宋_GB2312" w:hAnsi="仿宋_GB2312" w:eastAsia="仿宋_GB2312" w:cs="仿宋_GB2312"/>
          <w:color w:val="auto"/>
          <w:sz w:val="32"/>
          <w:szCs w:val="32"/>
        </w:rPr>
        <w:t>资本净额比例</w:t>
      </w:r>
      <w:r>
        <w:rPr>
          <w:rFonts w:hint="eastAsia" w:ascii="仿宋_GB2312" w:hAnsi="仿宋_GB2312" w:eastAsia="仿宋_GB2312" w:cs="仿宋_GB2312"/>
          <w:color w:val="auto"/>
          <w:sz w:val="32"/>
          <w:szCs w:val="32"/>
          <w:lang w:eastAsia="zh-CN"/>
        </w:rPr>
        <w:t>为</w:t>
      </w:r>
      <w:r>
        <w:rPr>
          <w:rFonts w:hint="eastAsia" w:ascii="仿宋_GB2312" w:hAnsi="仿宋_GB2312" w:eastAsia="仿宋_GB2312" w:cs="仿宋_GB2312"/>
          <w:color w:val="auto"/>
          <w:sz w:val="32"/>
          <w:szCs w:val="32"/>
          <w:lang w:val="en-US" w:eastAsia="zh-CN"/>
        </w:rPr>
        <w:t>2.55%。</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一般关联交易情况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val="en-US" w:eastAsia="zh-CN"/>
        </w:rPr>
      </w:pPr>
      <w:r>
        <w:rPr>
          <w:rFonts w:hint="eastAsia" w:ascii="仿宋_GB2312" w:hAnsi="仿宋_GB2312" w:eastAsia="仿宋_GB2312" w:cs="仿宋_GB2312"/>
          <w:sz w:val="32"/>
          <w:szCs w:val="32"/>
        </w:rPr>
        <w:t>截</w:t>
      </w:r>
      <w:r>
        <w:rPr>
          <w:rFonts w:hint="eastAsia" w:ascii="仿宋_GB2312" w:hAnsi="仿宋_GB2312" w:eastAsia="仿宋_GB2312" w:cs="仿宋_GB2312"/>
          <w:sz w:val="32"/>
          <w:szCs w:val="32"/>
          <w:lang w:eastAsia="zh-CN"/>
        </w:rPr>
        <w:t>至</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6月末</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本行本年累计发生</w:t>
      </w:r>
      <w:r>
        <w:rPr>
          <w:rFonts w:hint="eastAsia" w:ascii="仿宋_GB2312" w:hAnsi="仿宋_GB2312" w:eastAsia="仿宋_GB2312" w:cs="仿宋_GB2312"/>
          <w:sz w:val="32"/>
          <w:szCs w:val="32"/>
        </w:rPr>
        <w:t>一般关联交易</w:t>
      </w:r>
      <w:r>
        <w:rPr>
          <w:rFonts w:hint="eastAsia" w:ascii="仿宋_GB2312" w:hAnsi="仿宋_GB2312" w:eastAsia="仿宋_GB2312" w:cs="仿宋_GB2312"/>
          <w:sz w:val="32"/>
          <w:szCs w:val="32"/>
          <w:lang w:val="en-US" w:eastAsia="zh-CN"/>
        </w:rPr>
        <w:t>6户12笔</w:t>
      </w:r>
      <w:r>
        <w:rPr>
          <w:rFonts w:hint="eastAsia" w:ascii="仿宋_GB2312" w:hAnsi="仿宋_GB2312" w:eastAsia="仿宋_GB2312" w:cs="仿宋_GB2312"/>
          <w:sz w:val="32"/>
          <w:szCs w:val="32"/>
        </w:rPr>
        <w:t>，表内外授信</w:t>
      </w:r>
      <w:r>
        <w:rPr>
          <w:rFonts w:hint="eastAsia" w:ascii="仿宋_GB2312" w:hAnsi="仿宋_GB2312" w:eastAsia="仿宋_GB2312" w:cs="仿宋_GB2312"/>
          <w:sz w:val="32"/>
          <w:szCs w:val="32"/>
          <w:lang w:eastAsia="zh-CN"/>
        </w:rPr>
        <w:t>余</w:t>
      </w:r>
      <w:r>
        <w:rPr>
          <w:rFonts w:hint="eastAsia" w:ascii="仿宋_GB2312" w:hAnsi="仿宋_GB2312" w:eastAsia="仿宋_GB2312" w:cs="仿宋_GB2312"/>
          <w:sz w:val="32"/>
          <w:szCs w:val="32"/>
        </w:rPr>
        <w:t>额</w:t>
      </w:r>
      <w:r>
        <w:rPr>
          <w:rFonts w:hint="eastAsia" w:ascii="仿宋_GB2312" w:hAnsi="仿宋_GB2312" w:eastAsia="仿宋_GB2312" w:cs="仿宋_GB2312"/>
          <w:sz w:val="32"/>
          <w:szCs w:val="32"/>
          <w:lang w:val="en-US" w:eastAsia="zh-CN"/>
        </w:rPr>
        <w:t>530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eastAsia="zh-CN"/>
        </w:rPr>
        <w:t>上季末</w:t>
      </w:r>
      <w:r>
        <w:rPr>
          <w:rFonts w:hint="eastAsia" w:ascii="仿宋_GB2312" w:hAnsi="仿宋_GB2312" w:eastAsia="仿宋_GB2312" w:cs="仿宋_GB2312"/>
          <w:sz w:val="32"/>
          <w:szCs w:val="32"/>
        </w:rPr>
        <w:t>资本净额的比例为</w:t>
      </w:r>
      <w:r>
        <w:rPr>
          <w:rFonts w:hint="eastAsia" w:ascii="仿宋_GB2312" w:hAnsi="仿宋_GB2312" w:eastAsia="仿宋_GB2312" w:cs="仿宋_GB2312"/>
          <w:sz w:val="32"/>
          <w:szCs w:val="32"/>
          <w:lang w:val="en-US" w:eastAsia="zh-CN"/>
        </w:rPr>
        <w:t>0.81</w:t>
      </w:r>
      <w:r>
        <w:rPr>
          <w:rFonts w:hint="eastAsia" w:ascii="仿宋_GB2312" w:hAnsi="仿宋_GB2312" w:eastAsia="仿宋_GB2312" w:cs="仿宋_GB2312"/>
          <w:sz w:val="32"/>
          <w:szCs w:val="32"/>
        </w:rPr>
        <w:t>%，均为对关联自然人授信，符合监管要求。</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黑体" w:hAnsi="黑体" w:eastAsia="黑体" w:cs="黑体"/>
          <w:sz w:val="32"/>
          <w:szCs w:val="32"/>
          <w:lang w:val="en-US" w:eastAsia="zh-CN"/>
        </w:rPr>
        <w:t xml:space="preserve">   五、其他情况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 w:eastAsia="仿宋_GB2312"/>
          <w:sz w:val="32"/>
          <w:szCs w:val="32"/>
          <w:lang w:eastAsia="zh-CN"/>
        </w:rPr>
        <w:t>本行</w:t>
      </w:r>
      <w:r>
        <w:rPr>
          <w:rFonts w:hint="eastAsia" w:ascii="仿宋_GB2312" w:hAnsi="仿宋" w:eastAsia="仿宋_GB2312"/>
          <w:sz w:val="32"/>
          <w:szCs w:val="32"/>
        </w:rPr>
        <w:t>与关联方交易的定价遵循市场价格原则，按照关联方交易类型确定定价，</w:t>
      </w:r>
      <w:r>
        <w:rPr>
          <w:rFonts w:hint="eastAsia" w:ascii="仿宋_GB2312" w:hAnsi="仿宋" w:eastAsia="仿宋_GB2312"/>
          <w:sz w:val="32"/>
          <w:szCs w:val="32"/>
          <w:lang w:eastAsia="zh-CN"/>
        </w:rPr>
        <w:t>针对授信类关联交易，严格按照授信业务定价管理规定执行，</w:t>
      </w:r>
      <w:r>
        <w:rPr>
          <w:rFonts w:hint="eastAsia" w:ascii="仿宋_GB2312" w:hAnsi="仿宋_GB2312" w:eastAsia="仿宋_GB2312" w:cs="仿宋_GB2312"/>
          <w:sz w:val="32"/>
          <w:szCs w:val="32"/>
        </w:rPr>
        <w:t>确保本行关联交易定价的合法性和公允性。</w:t>
      </w:r>
      <w:r>
        <w:rPr>
          <w:rFonts w:hint="eastAsia" w:ascii="仿宋_GB2312" w:hAnsi="仿宋_GB2312" w:eastAsia="仿宋_GB2312" w:cs="仿宋_GB2312"/>
          <w:sz w:val="32"/>
          <w:szCs w:val="32"/>
          <w:lang w:eastAsia="zh-CN"/>
        </w:rPr>
        <w:t>截至</w:t>
      </w:r>
      <w:r>
        <w:rPr>
          <w:rFonts w:hint="eastAsia" w:ascii="仿宋_GB2312" w:hAnsi="仿宋_GB2312" w:eastAsia="仿宋_GB2312" w:cs="仿宋_GB2312"/>
          <w:sz w:val="32"/>
          <w:szCs w:val="32"/>
          <w:lang w:val="en-US" w:eastAsia="zh-CN"/>
        </w:rPr>
        <w:t>2025年6月末，</w:t>
      </w:r>
      <w:r>
        <w:rPr>
          <w:rFonts w:hint="eastAsia" w:ascii="仿宋_GB2312" w:hAnsi="仿宋_GB2312" w:eastAsia="仿宋_GB2312" w:cs="仿宋_GB2312"/>
          <w:sz w:val="32"/>
          <w:szCs w:val="32"/>
        </w:rPr>
        <w:t>本行暂未开展除授信</w:t>
      </w:r>
      <w:r>
        <w:rPr>
          <w:rFonts w:hint="eastAsia" w:ascii="仿宋_GB2312" w:hAnsi="仿宋_GB2312" w:eastAsia="仿宋_GB2312" w:cs="仿宋_GB2312"/>
          <w:sz w:val="32"/>
          <w:szCs w:val="32"/>
          <w:lang w:eastAsia="zh-CN"/>
        </w:rPr>
        <w:t>业务</w:t>
      </w:r>
      <w:r>
        <w:rPr>
          <w:rFonts w:hint="eastAsia" w:ascii="仿宋_GB2312" w:hAnsi="仿宋_GB2312" w:eastAsia="仿宋_GB2312" w:cs="仿宋_GB2312"/>
          <w:sz w:val="32"/>
          <w:szCs w:val="32"/>
        </w:rPr>
        <w:t>以外的其他类型关联交易。</w:t>
      </w:r>
    </w:p>
    <w:p>
      <w:pPr>
        <w:numPr>
          <w:ilvl w:val="0"/>
          <w:numId w:val="0"/>
        </w:numPr>
        <w:ind w:leftChars="3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特此公告。</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贵州息烽农村商业银行股份有限公司</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2025年7月17</w:t>
      </w:r>
      <w:bookmarkStart w:id="0" w:name="_GoBack"/>
      <w:bookmarkEnd w:id="0"/>
      <w:r>
        <w:rPr>
          <w:rFonts w:hint="eastAsia" w:ascii="仿宋_GB2312" w:hAnsi="仿宋_GB2312" w:eastAsia="仿宋_GB2312" w:cs="仿宋_GB2312"/>
          <w:sz w:val="32"/>
          <w:szCs w:val="32"/>
          <w:lang w:val="en-US" w:eastAsia="zh-CN"/>
        </w:rPr>
        <w:t>日</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590D28"/>
    <w:multiLevelType w:val="singleLevel"/>
    <w:tmpl w:val="9F590D28"/>
    <w:lvl w:ilvl="0" w:tentative="0">
      <w:start w:val="1"/>
      <w:numFmt w:val="chineseCounting"/>
      <w:suff w:val="nothing"/>
      <w:lvlText w:val="%1、"/>
      <w:lvlJc w:val="left"/>
      <w:rPr>
        <w:rFonts w:hint="eastAsia" w:ascii="黑体" w:hAnsi="黑体" w:eastAsia="黑体" w:cs="黑体"/>
        <w:sz w:val="32"/>
        <w:szCs w:val="3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0MGY2NWJkYWQxZjUwMDM1ODkwM2QxMWYwZDg1NTYifQ=="/>
  </w:docVars>
  <w:rsids>
    <w:rsidRoot w:val="2A3B426A"/>
    <w:rsid w:val="00750C1B"/>
    <w:rsid w:val="010B3B28"/>
    <w:rsid w:val="0207446D"/>
    <w:rsid w:val="03114CF2"/>
    <w:rsid w:val="03B14FC6"/>
    <w:rsid w:val="03B22B04"/>
    <w:rsid w:val="05715072"/>
    <w:rsid w:val="0703203C"/>
    <w:rsid w:val="07893007"/>
    <w:rsid w:val="08BF0985"/>
    <w:rsid w:val="0C511794"/>
    <w:rsid w:val="0C853CD0"/>
    <w:rsid w:val="0CA87890"/>
    <w:rsid w:val="0E097479"/>
    <w:rsid w:val="0E2B3218"/>
    <w:rsid w:val="0EFC603F"/>
    <w:rsid w:val="0F1A79EB"/>
    <w:rsid w:val="0F321E78"/>
    <w:rsid w:val="0FC42ED5"/>
    <w:rsid w:val="12437483"/>
    <w:rsid w:val="13B31AB1"/>
    <w:rsid w:val="142A08CB"/>
    <w:rsid w:val="14302359"/>
    <w:rsid w:val="14930146"/>
    <w:rsid w:val="17ED165A"/>
    <w:rsid w:val="1944184E"/>
    <w:rsid w:val="19724EAB"/>
    <w:rsid w:val="1A6F746E"/>
    <w:rsid w:val="1A7C1D53"/>
    <w:rsid w:val="1B7D457E"/>
    <w:rsid w:val="1C2D321F"/>
    <w:rsid w:val="1C3C30C8"/>
    <w:rsid w:val="1CCA41AB"/>
    <w:rsid w:val="1D7C5045"/>
    <w:rsid w:val="1E343524"/>
    <w:rsid w:val="1EFE2604"/>
    <w:rsid w:val="1F501B41"/>
    <w:rsid w:val="23433544"/>
    <w:rsid w:val="23DE5AEF"/>
    <w:rsid w:val="24864FF7"/>
    <w:rsid w:val="257C3C2A"/>
    <w:rsid w:val="26CB02EF"/>
    <w:rsid w:val="29B96328"/>
    <w:rsid w:val="2A3B426A"/>
    <w:rsid w:val="2C4A18A2"/>
    <w:rsid w:val="2CB54C60"/>
    <w:rsid w:val="2ECA4489"/>
    <w:rsid w:val="2ED1692E"/>
    <w:rsid w:val="30A32ED0"/>
    <w:rsid w:val="322A60B2"/>
    <w:rsid w:val="32B11884"/>
    <w:rsid w:val="32C75A72"/>
    <w:rsid w:val="32EF60B7"/>
    <w:rsid w:val="358738F2"/>
    <w:rsid w:val="36D3358D"/>
    <w:rsid w:val="36EA5315"/>
    <w:rsid w:val="3A6125E6"/>
    <w:rsid w:val="3A672EBD"/>
    <w:rsid w:val="3A9C7D8C"/>
    <w:rsid w:val="3BB020F6"/>
    <w:rsid w:val="3BC177E1"/>
    <w:rsid w:val="3BD87BB4"/>
    <w:rsid w:val="3CE85D1B"/>
    <w:rsid w:val="3DAA2844"/>
    <w:rsid w:val="3DFE3A27"/>
    <w:rsid w:val="3EE67F00"/>
    <w:rsid w:val="428F457C"/>
    <w:rsid w:val="44907A54"/>
    <w:rsid w:val="45450812"/>
    <w:rsid w:val="45765835"/>
    <w:rsid w:val="457E4CAA"/>
    <w:rsid w:val="483130BD"/>
    <w:rsid w:val="48DE2B26"/>
    <w:rsid w:val="4AA2178C"/>
    <w:rsid w:val="4AFD18E5"/>
    <w:rsid w:val="4C106AA1"/>
    <w:rsid w:val="4C51545F"/>
    <w:rsid w:val="4C887A85"/>
    <w:rsid w:val="4CDE304C"/>
    <w:rsid w:val="4FF72222"/>
    <w:rsid w:val="50283D6D"/>
    <w:rsid w:val="510A14CD"/>
    <w:rsid w:val="517C1068"/>
    <w:rsid w:val="51E060E8"/>
    <w:rsid w:val="54017533"/>
    <w:rsid w:val="54271C4E"/>
    <w:rsid w:val="56AC1996"/>
    <w:rsid w:val="57CE3EDA"/>
    <w:rsid w:val="590C7665"/>
    <w:rsid w:val="59C86798"/>
    <w:rsid w:val="5A1C0C69"/>
    <w:rsid w:val="5A344D17"/>
    <w:rsid w:val="5C2A3C75"/>
    <w:rsid w:val="5D9B6AD4"/>
    <w:rsid w:val="5E2B7601"/>
    <w:rsid w:val="5E826685"/>
    <w:rsid w:val="5EBB1331"/>
    <w:rsid w:val="5EEA4BC7"/>
    <w:rsid w:val="5F667568"/>
    <w:rsid w:val="604B0D61"/>
    <w:rsid w:val="60902E51"/>
    <w:rsid w:val="60D27292"/>
    <w:rsid w:val="61971CF3"/>
    <w:rsid w:val="62326D1A"/>
    <w:rsid w:val="623442AA"/>
    <w:rsid w:val="63263997"/>
    <w:rsid w:val="63780AE1"/>
    <w:rsid w:val="65717C61"/>
    <w:rsid w:val="660B74DC"/>
    <w:rsid w:val="67523F5F"/>
    <w:rsid w:val="68CE29F2"/>
    <w:rsid w:val="6DA24145"/>
    <w:rsid w:val="6E1E399B"/>
    <w:rsid w:val="6E3C41F1"/>
    <w:rsid w:val="6F6B1F76"/>
    <w:rsid w:val="700F6114"/>
    <w:rsid w:val="70B8241D"/>
    <w:rsid w:val="70CF0EFC"/>
    <w:rsid w:val="70E12C0E"/>
    <w:rsid w:val="72542133"/>
    <w:rsid w:val="75A74BA2"/>
    <w:rsid w:val="75C975AC"/>
    <w:rsid w:val="787F16A1"/>
    <w:rsid w:val="78C109DD"/>
    <w:rsid w:val="79D20C9C"/>
    <w:rsid w:val="79F23427"/>
    <w:rsid w:val="7A123E6A"/>
    <w:rsid w:val="7B9C5B65"/>
    <w:rsid w:val="7BC472D5"/>
    <w:rsid w:val="7BE1157A"/>
    <w:rsid w:val="7C2F6EE9"/>
    <w:rsid w:val="7CB47A50"/>
    <w:rsid w:val="7ECD01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unhideWhenUsed/>
    <w:qFormat/>
    <w:uiPriority w:val="99"/>
    <w:pPr>
      <w:ind w:left="420" w:left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6</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2023-07-20T06:49:00Z</dcterms:created>
  <dc:creator>166242-晋育慧</dc:creator>
  <cp:lastModifiedBy>Lenovo</cp:lastModifiedBy>
  <cp:lastPrinted>2025-04-16T01:12:00Z</cp:lastPrinted>
  <dcterms:modified xsi:type="dcterms:W3CDTF">2025-08-26T05:20:54Z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EFE4F0C5FB8B4FF68971EE265FBD7B8A_13</vt:lpwstr>
  </property>
</Properties>
</file>