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绥阳农信联社关于公开发布资产转让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绥阳农信联社拟公开转让部分自有不动产，根据相关规定，我社已经委托贵州阳光产权交易所有限公司对相关资产挂网披露，并进行公开转让资产，现将相关事宜公告如下：</w:t>
      </w:r>
    </w:p>
    <w:p>
      <w:pPr>
        <w:numPr>
          <w:ilvl w:val="0"/>
          <w:numId w:val="1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拟公开转让资产基本情况</w:t>
      </w:r>
    </w:p>
    <w:tbl>
      <w:tblPr>
        <w:tblStyle w:val="4"/>
        <w:tblW w:w="8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9"/>
        <w:gridCol w:w="990"/>
        <w:gridCol w:w="830"/>
        <w:gridCol w:w="1101"/>
        <w:gridCol w:w="529"/>
        <w:gridCol w:w="1275"/>
        <w:gridCol w:w="1066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资产类型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面积（单位：㎡）</w:t>
            </w:r>
          </w:p>
        </w:tc>
        <w:tc>
          <w:tcPr>
            <w:tcW w:w="11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资产位置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租赁情况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挂牌价(元)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蓝天苑A幢1-1号至1-6号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学坝路蓝天苑A幢1-1号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出租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2,602,206.74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1-1至1-6号打包处置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96.29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学坝路蓝天苑A幢1-2号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学坝路蓝天苑A幢1-3号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学坝路蓝天苑A幢1-4号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学坝路蓝天苑A幢1-5号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学坝路蓝天苑A幢1-6号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蓝天苑A幢1-7号至1-8号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学坝路蓝天苑A幢1-7号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456,218.40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1-7号涉及的纠纷隐患由竞拍买受人自行处置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学坝路蓝天苑A幢1-8号</w:t>
            </w: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学坝路蓝天苑A幢1-9号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428,201.10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学坝路蓝天苑A幢1-10号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421,757.25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蓝天苑A幢1-11号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学坝路蓝天苑A幢1-11号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536,826.00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蓝天苑A幢1-12号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学坝路蓝天苑A幢1-12号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536,826.00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蓝天苑A幢1-13号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学坝路蓝天苑A幢1-13号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421,757.25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蓝天苑A幢1-14号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学坝路蓝天苑A幢1-14号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闲置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415,410.30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购买意向人也可以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登录“贵州阳光产权交易所有限公司（以下简称：贵州阳光产权交易所）”官网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https://www.prechina.net/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，查阅公开转让资产相关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信息，该网站已经对拟公开转让资产相关信息进行披露。</w:t>
      </w:r>
    </w:p>
    <w:p>
      <w:pPr>
        <w:numPr>
          <w:ilvl w:val="0"/>
          <w:numId w:val="2"/>
        </w:numPr>
        <w:ind w:left="20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竞买方式及流程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（一）竞买方式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报名及公示：购买意向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联系贵州阳光产权交易所项目经理，由项目经理指导客户参与项目报名流程（包括报名资料的填写及项目保证金的缴纳），报名及公示期为10个工作日。项目经理联系电话：李女士（18690737477）、张女士（15519196777）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买受人资格审查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贵州阳光产权交易所对购买意向人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提交的受让申请及相关报名材料进行审核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再由绥阳联社对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审核意见予以书面回复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（三）保证金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1.保证金。购买意向人购买单宗资产需要交纳保证金10000元，保证金账户信息如下：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户名：贵州阳光产权交易所有限公司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帐号：2181010001201100015343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开户行：贵阳农村商业银行股份有限公司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（四）成交确认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宗资产如果仅一家购买意向人报名，在挂牌底价的基础上以自主报价的方式交易。购买人在收到贵州阳光产权交易所出具的《成交通知书》之日起3个工作日内与绥阳联社签署不动产的转让合同，并约定办理不动产变更登记时间并办理过户手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2.单宗资产如果有两家及以上购买意向人报名，贵州阳光产权交易所与绥阳联社确定竞价时间后，通知该标的购买意向者签署《网络竞价保证书》，通过权益云网站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"https://www.unibid.cn/portal/pro/hall.jsp?org=GZ1"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https://www.unibid.cn/portal/pro/hall.jsp?org=GZ1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进行网络竞价方式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以最后出价高者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确定受让方。购买人在收到贵州阳光产权交易所出具的《竞价结果通知单》之日起3个工作日内与绥阳联社签署不动产的转让合同，并约定办理不动产变更登记时间并办理过户手续。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交易服务费核算。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单个子标的通过在挂牌底价的基础上以自主报价方式交易的，服务费用按照成交价格*1％进行收取，由买方承担。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单个子标的通过网络竞价方式交易的，服务费用按照成交价格*3.5%进行收取，由买方承担。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交易成功的，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贵州阳光产权交易所在保证金里面扣除服务费用后，剩余部分转给卖方作购房款结算，竞价未成功的，保证金原路退回。</w:t>
      </w:r>
    </w:p>
    <w:p>
      <w:pPr>
        <w:numPr>
          <w:ilvl w:val="0"/>
          <w:numId w:val="2"/>
        </w:numPr>
        <w:ind w:left="20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资产转让联系人:刘经理18985228589、王经理18083632000。</w:t>
      </w:r>
    </w:p>
    <w:p>
      <w:pPr>
        <w:numPr>
          <w:ilvl w:val="0"/>
          <w:numId w:val="2"/>
        </w:numPr>
        <w:ind w:left="20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网上交易行为接受双方监督，委托方监督人：绥阳农信联社纪检监察室冉晏（15985133965）。</w:t>
      </w:r>
    </w:p>
    <w:p>
      <w:pPr>
        <w:numPr>
          <w:ilvl w:val="0"/>
          <w:numId w:val="0"/>
        </w:numPr>
        <w:ind w:left="8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790" w:leftChars="182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790" w:leftChars="1824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790" w:leftChars="1824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绥阳县农村信用合作联社                          2025年8月18日  </w:t>
      </w:r>
    </w:p>
    <w:p>
      <w:pPr>
        <w:numPr>
          <w:ilvl w:val="0"/>
          <w:numId w:val="0"/>
        </w:numPr>
        <w:rPr>
          <w:rFonts w:hint="default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F2269"/>
    <w:multiLevelType w:val="singleLevel"/>
    <w:tmpl w:val="920F226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5AC65B"/>
    <w:multiLevelType w:val="singleLevel"/>
    <w:tmpl w:val="B55AC65B"/>
    <w:lvl w:ilvl="0" w:tentative="0">
      <w:start w:val="2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2">
    <w:nsid w:val="27A473ED"/>
    <w:multiLevelType w:val="singleLevel"/>
    <w:tmpl w:val="27A473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B6D25CE"/>
    <w:multiLevelType w:val="singleLevel"/>
    <w:tmpl w:val="3B6D25C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D16D5"/>
    <w:rsid w:val="011C626C"/>
    <w:rsid w:val="039B617D"/>
    <w:rsid w:val="0638358B"/>
    <w:rsid w:val="0A007C28"/>
    <w:rsid w:val="0F7D081D"/>
    <w:rsid w:val="103E1460"/>
    <w:rsid w:val="15714980"/>
    <w:rsid w:val="18756535"/>
    <w:rsid w:val="1AFD76E8"/>
    <w:rsid w:val="1C077DEC"/>
    <w:rsid w:val="1C3477B8"/>
    <w:rsid w:val="1F450870"/>
    <w:rsid w:val="1FAD4807"/>
    <w:rsid w:val="22FD5AA5"/>
    <w:rsid w:val="24AE2FBC"/>
    <w:rsid w:val="2539436B"/>
    <w:rsid w:val="255045B2"/>
    <w:rsid w:val="25970C9A"/>
    <w:rsid w:val="262B3290"/>
    <w:rsid w:val="28D80F0B"/>
    <w:rsid w:val="2E0D2EFA"/>
    <w:rsid w:val="30C21C26"/>
    <w:rsid w:val="347E0A2A"/>
    <w:rsid w:val="356D31DE"/>
    <w:rsid w:val="3DF15DAF"/>
    <w:rsid w:val="3FA532F5"/>
    <w:rsid w:val="452067F0"/>
    <w:rsid w:val="47C3256A"/>
    <w:rsid w:val="48E43FA6"/>
    <w:rsid w:val="4D797A4F"/>
    <w:rsid w:val="526606C2"/>
    <w:rsid w:val="569917A1"/>
    <w:rsid w:val="57D4431F"/>
    <w:rsid w:val="5CC378DA"/>
    <w:rsid w:val="624627A5"/>
    <w:rsid w:val="660D16D5"/>
    <w:rsid w:val="663E6A7F"/>
    <w:rsid w:val="68A1099A"/>
    <w:rsid w:val="6B256F14"/>
    <w:rsid w:val="6D4175CC"/>
    <w:rsid w:val="7313550C"/>
    <w:rsid w:val="7CF44998"/>
    <w:rsid w:val="7D4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1499</Characters>
  <Lines>0</Lines>
  <Paragraphs>0</Paragraphs>
  <TotalTime>6</TotalTime>
  <ScaleCrop>false</ScaleCrop>
  <LinksUpToDate>false</LinksUpToDate>
  <CharactersWithSpaces>1566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2025-07-08T08:31:00Z</dcterms:created>
  <dc:creator>SYNX</dc:creator>
  <cp:lastModifiedBy>104520-华端政</cp:lastModifiedBy>
  <dcterms:modified xsi:type="dcterms:W3CDTF">2025-08-18T08:41:15Z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TemplateDocerSaveRecord">
    <vt:lpwstr>eyJoZGlkIjoiNmJiYTY2MDNjYjRhY2U4YjYwMmE4M2QxNjZmYzk0MmMiLCJ1c2VySWQiOiIxOTM4NDY3NTQifQ==</vt:lpwstr>
  </property>
  <property fmtid="{D5CDD505-2E9C-101B-9397-08002B2CF9AE}" pid="4" name="ICV">
    <vt:lpwstr>19F6BCD9CFAF488398F7C8FE45CC498E_12</vt:lpwstr>
  </property>
</Properties>
</file>