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贵州玉屏农村商业银行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5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eastAsia="zh-CN"/>
        </w:rPr>
        <w:t>办公设备和用品项目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4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1.营业执照。                                        </w:t>
      </w:r>
    </w:p>
    <w:p>
      <w:pPr>
        <w:pStyle w:val="14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2.法定代表人资格证明书。                            </w:t>
      </w:r>
    </w:p>
    <w:p>
      <w:pPr>
        <w:pStyle w:val="14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3.法定代表人授权书（若有授权）。                             </w:t>
      </w:r>
    </w:p>
    <w:p>
      <w:pPr>
        <w:pStyle w:val="14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入失信被执行人、重大税收违法案件当事人名单、未被列入政府采购严重失信行为记录名单的承诺书并</w:t>
      </w:r>
      <w:r>
        <w:rPr>
          <w:rFonts w:hint="eastAsia" w:ascii="仿宋_GB2312" w:hAnsi="宋体" w:eastAsia="仿宋_GB2312"/>
          <w:bCs/>
          <w:color w:val="FF0000"/>
          <w:sz w:val="28"/>
          <w:szCs w:val="28"/>
          <w:lang w:val="en-US" w:eastAsia="zh-CN"/>
        </w:rPr>
        <w:t>附加截图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。</w:t>
      </w:r>
    </w:p>
    <w:p>
      <w:pPr>
        <w:pStyle w:val="14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5.最近一年内任意3个月纳税的证明材料。</w:t>
      </w:r>
    </w:p>
    <w:p>
      <w:pPr>
        <w:pStyle w:val="14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6.报名文件</w:t>
      </w:r>
    </w:p>
    <w:p>
      <w:pPr>
        <w:pStyle w:val="14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7.具备服务玉屏农商银行综合能力承诺函（格式自拟）</w:t>
      </w:r>
    </w:p>
    <w:p>
      <w:pPr>
        <w:pStyle w:val="14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8.要求：报送PDF版到指定邮箱，图片要清晰可见并加盖公章。                                  </w:t>
      </w:r>
    </w:p>
    <w:p>
      <w:pPr>
        <w:pStyle w:val="14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4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2.法定代表人资格证明(加盖公章）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420" w:firstLineChars="200"/>
        <w:rPr>
          <w:rFonts w:eastAsia="楷体_GB2312"/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>
      <w:pPr>
        <w:ind w:firstLine="420" w:firstLineChars="200"/>
        <w:rPr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>
      <w:pPr>
        <w:spacing w:line="520" w:lineRule="exact"/>
        <w:rPr>
          <w:szCs w:val="28"/>
        </w:rPr>
      </w:pPr>
    </w:p>
    <w:p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玉屏农商银行</w:t>
      </w:r>
      <w:r>
        <w:rPr>
          <w:rFonts w:hint="eastAsia"/>
          <w:szCs w:val="28"/>
        </w:rPr>
        <w:t>：</w:t>
      </w:r>
    </w:p>
    <w:p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>
      <w:pPr>
        <w:spacing w:line="520" w:lineRule="exact"/>
        <w:ind w:firstLine="600"/>
        <w:rPr>
          <w:szCs w:val="28"/>
        </w:rPr>
      </w:pPr>
    </w:p>
    <w:p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>
      <w:pPr>
        <w:spacing w:line="520" w:lineRule="exact"/>
        <w:ind w:firstLine="2520" w:firstLineChars="12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>
      <w:pPr>
        <w:pStyle w:val="11"/>
      </w:pPr>
    </w:p>
    <w:p>
      <w:pPr>
        <w:pStyle w:val="11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73"/>
      </w:pPr>
    </w:p>
    <w:p>
      <w:pPr>
        <w:ind w:firstLine="573"/>
      </w:pPr>
    </w:p>
    <w:p>
      <w:pPr>
        <w:ind w:firstLine="573"/>
      </w:pPr>
    </w:p>
    <w:p>
      <w:pPr>
        <w:spacing w:line="520" w:lineRule="exact"/>
        <w:rPr>
          <w:rFonts w:hint="eastAsia"/>
          <w:szCs w:val="28"/>
        </w:rPr>
      </w:pPr>
    </w:p>
    <w:p>
      <w:pPr>
        <w:spacing w:line="520" w:lineRule="exact"/>
        <w:ind w:firstLine="630" w:firstLineChars="3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4.未被“信用中国”网站列入失信被执行人、重大税收违法案件当事人名单、未被列入政府采购严重失信行为记录名单的承诺书并附加截图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玉屏农商银行</w:t>
      </w:r>
      <w:r>
        <w:rPr>
          <w:rFonts w:hint="eastAsia" w:ascii="仿宋_GB2312" w:hAnsi="宋体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</w:t>
      </w:r>
      <w:r>
        <w:rPr>
          <w:rFonts w:hint="eastAsia" w:ascii="仿宋_GB2312" w:hAnsi="宋体"/>
          <w:szCs w:val="28"/>
        </w:rPr>
        <w:t>采购活动，承诺声明如下：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3570" w:firstLineChars="17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5.最近一年内任意3个月纳税的证明材料</w:t>
      </w: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numPr>
          <w:ilvl w:val="0"/>
          <w:numId w:val="0"/>
        </w:numPr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numPr>
          <w:ilvl w:val="0"/>
          <w:numId w:val="0"/>
        </w:numPr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6.报名文件</w:t>
      </w:r>
    </w:p>
    <w:p>
      <w:pPr>
        <w:pStyle w:val="2"/>
      </w:pPr>
    </w:p>
    <w:tbl>
      <w:tblPr>
        <w:tblStyle w:val="8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708"/>
        <w:gridCol w:w="1013"/>
        <w:gridCol w:w="2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玉屏农商银行办公设备和用品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征集供应商报名表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注册资本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  经营范围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14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4"/>
        <w:snapToGri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具备服务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eastAsia="zh-CN"/>
        </w:rPr>
        <w:t>玉屏农商银行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</w:rPr>
        <w:t>综合能力承诺函（格式自拟）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94444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010E2442"/>
    <w:rsid w:val="0D1B4602"/>
    <w:rsid w:val="0D422369"/>
    <w:rsid w:val="19E73DA2"/>
    <w:rsid w:val="19FA4AF5"/>
    <w:rsid w:val="1EA238AA"/>
    <w:rsid w:val="1F71761D"/>
    <w:rsid w:val="202A50CE"/>
    <w:rsid w:val="218E769A"/>
    <w:rsid w:val="21FC0BBB"/>
    <w:rsid w:val="25457A46"/>
    <w:rsid w:val="255F63D5"/>
    <w:rsid w:val="2E067327"/>
    <w:rsid w:val="2F2B5748"/>
    <w:rsid w:val="2F3338E2"/>
    <w:rsid w:val="2FE1589F"/>
    <w:rsid w:val="31F76E27"/>
    <w:rsid w:val="333B2CCF"/>
    <w:rsid w:val="35C04AF4"/>
    <w:rsid w:val="396E4A1B"/>
    <w:rsid w:val="3C08667F"/>
    <w:rsid w:val="41A7312B"/>
    <w:rsid w:val="42976231"/>
    <w:rsid w:val="43583A26"/>
    <w:rsid w:val="44AE49FA"/>
    <w:rsid w:val="4D09120F"/>
    <w:rsid w:val="50930913"/>
    <w:rsid w:val="52BA3542"/>
    <w:rsid w:val="537B22E9"/>
    <w:rsid w:val="58024D92"/>
    <w:rsid w:val="5B2B1FF1"/>
    <w:rsid w:val="5F063490"/>
    <w:rsid w:val="63AD1601"/>
    <w:rsid w:val="649B7F68"/>
    <w:rsid w:val="696F55D2"/>
    <w:rsid w:val="78216CB5"/>
    <w:rsid w:val="7F1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PwC Normal"/>
    <w:basedOn w:val="1"/>
    <w:qFormat/>
    <w:uiPriority w:val="99"/>
    <w:pPr>
      <w:spacing w:before="180" w:after="180" w:line="240" w:lineRule="atLeast"/>
    </w:p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4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6">
    <w:name w:val="列出段落 字符"/>
    <w:link w:val="15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7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1328</Words>
  <Characters>1402</Characters>
  <Lines>7</Lines>
  <Paragraphs>2</Paragraphs>
  <TotalTime>627</TotalTime>
  <ScaleCrop>false</ScaleCrop>
  <LinksUpToDate>false</LinksUpToDate>
  <CharactersWithSpaces>1658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124078-赵丹</cp:lastModifiedBy>
  <dcterms:modified xsi:type="dcterms:W3CDTF">2025-06-18T01:32:17Z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78FF574C1BB343A1B87D4EE3E55AFE88_13</vt:lpwstr>
  </property>
</Properties>
</file>