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contextualSpacing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安顺农商银行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2024年四季度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一般关联交易</w:t>
      </w:r>
    </w:p>
    <w:p>
      <w:pPr>
        <w:widowControl w:val="0"/>
        <w:spacing w:after="0" w:line="560" w:lineRule="exact"/>
        <w:contextualSpacing/>
        <w:jc w:val="center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信息披露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报告</w:t>
      </w:r>
    </w:p>
    <w:p>
      <w:pPr>
        <w:jc w:val="righ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根据国家金融监督管理总局《银行保险机构关联交易管理办法》（中国银保监会2022年1号令）相关规定，现将 2024 年第四季度一般关联交易披露如下： </w:t>
      </w:r>
    </w:p>
    <w:p>
      <w:pPr>
        <w:spacing w:line="560" w:lineRule="exact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一、一般关联交易情况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截止2024年第三季度末，我行资本净额为157314.4万元。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2024年第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季度发生一般关联交易共10户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9笔，总金额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108.05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，占上季度资本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净额0.07%。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二、关联交易总体情况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（一）本季度发生的关联交易均为授信类关联交易。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（二）以上关联交易均遵守法律法规和有关监管规定，遵循诚信、公允的原则。</w:t>
      </w:r>
    </w:p>
    <w:p>
      <w:pPr>
        <w:spacing w:line="560" w:lineRule="exact"/>
        <w:ind w:firstLine="640" w:firstLineChars="200"/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（三）截止2024年四季度末，本行发生一般关联交易共计49户84笔，合计余额为970.82万元，交易余额占上季度末资本净额的0.62%，符合监管要求。</w:t>
      </w:r>
    </w:p>
    <w:p>
      <w:pPr>
        <w:spacing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特此公告。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安顺农村商业银行股份有限公司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          2025年4月26日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88"/>
    <w:rsid w:val="001609F7"/>
    <w:rsid w:val="00165614"/>
    <w:rsid w:val="002537EA"/>
    <w:rsid w:val="002A409A"/>
    <w:rsid w:val="002A5FA2"/>
    <w:rsid w:val="002C3C88"/>
    <w:rsid w:val="003926BB"/>
    <w:rsid w:val="003A6BE5"/>
    <w:rsid w:val="003E63F6"/>
    <w:rsid w:val="0040007F"/>
    <w:rsid w:val="0049199B"/>
    <w:rsid w:val="0051448E"/>
    <w:rsid w:val="005F61F6"/>
    <w:rsid w:val="00792600"/>
    <w:rsid w:val="007B7091"/>
    <w:rsid w:val="007C5E7F"/>
    <w:rsid w:val="00810F38"/>
    <w:rsid w:val="0087251D"/>
    <w:rsid w:val="00A15557"/>
    <w:rsid w:val="00A7220C"/>
    <w:rsid w:val="00B93B7F"/>
    <w:rsid w:val="00C21250"/>
    <w:rsid w:val="00CB5126"/>
    <w:rsid w:val="00CF6C8B"/>
    <w:rsid w:val="00D37DE7"/>
    <w:rsid w:val="00E50C1F"/>
    <w:rsid w:val="00E60A41"/>
    <w:rsid w:val="00ED0982"/>
    <w:rsid w:val="00EE6999"/>
    <w:rsid w:val="00EF401A"/>
    <w:rsid w:val="00F76994"/>
    <w:rsid w:val="00FE333B"/>
    <w:rsid w:val="24E920F1"/>
    <w:rsid w:val="4ED03BF7"/>
    <w:rsid w:val="7B3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</w:style>
  <w:style w:type="character" w:customStyle="1" w:styleId="10">
    <w:name w:val="页脚 字符"/>
    <w:basedOn w:val="8"/>
    <w:link w:val="4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_Style 2"/>
    <w:basedOn w:val="1"/>
    <w:next w:val="1"/>
    <w:qFormat/>
    <w:uiPriority w:val="0"/>
    <w:pPr>
      <w:ind w:firstLine="200" w:firstLineChars="200"/>
    </w:pPr>
    <w:rPr>
      <w:rFonts w:ascii="Calibri" w:hAnsi="Calibri" w:cs="Times New Roman"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KPMG</Company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2024-02-01T02:40:00Z</dcterms:created>
  <dc:creator>Shi, Sandra S.N. (BJ/RC)</dc:creator>
  <cp:lastModifiedBy>108067-杨婷</cp:lastModifiedBy>
  <dcterms:modified xsi:type="dcterms:W3CDTF">2025-05-13T03:41:35Z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