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topLinePunct w:val="0"/>
        <w:bidi w:val="0"/>
        <w:spacing w:line="560" w:lineRule="exact"/>
        <w:jc w:val="center"/>
        <w:rPr>
          <w:rFonts w:hint="eastAsia" w:ascii="黑体" w:hAnsi="黑体" w:eastAsia="黑体"/>
          <w:b/>
          <w:color w:val="auto"/>
          <w:sz w:val="56"/>
          <w:szCs w:val="44"/>
          <w:highlight w:val="none"/>
        </w:rPr>
      </w:pPr>
    </w:p>
    <w:p>
      <w:pPr>
        <w:keepNext w:val="0"/>
        <w:keepLines w:val="0"/>
        <w:pageBreakBefore w:val="0"/>
        <w:kinsoku/>
        <w:wordWrap/>
        <w:topLinePunct w:val="0"/>
        <w:bidi w:val="0"/>
        <w:spacing w:line="560" w:lineRule="exact"/>
        <w:jc w:val="center"/>
        <w:rPr>
          <w:rFonts w:hint="eastAsia" w:ascii="黑体" w:hAnsi="黑体" w:eastAsia="黑体"/>
          <w:b/>
          <w:color w:val="auto"/>
          <w:sz w:val="56"/>
          <w:szCs w:val="44"/>
          <w:highlight w:val="none"/>
        </w:rPr>
      </w:pPr>
    </w:p>
    <w:p>
      <w:pPr>
        <w:pStyle w:val="10"/>
        <w:rPr>
          <w:rFonts w:hint="eastAsia" w:ascii="黑体" w:hAnsi="黑体" w:eastAsia="黑体"/>
          <w:b/>
          <w:color w:val="auto"/>
          <w:sz w:val="56"/>
          <w:szCs w:val="44"/>
          <w:highlight w:val="none"/>
        </w:rPr>
      </w:pPr>
    </w:p>
    <w:p>
      <w:pPr>
        <w:pStyle w:val="4"/>
        <w:rPr>
          <w:rFonts w:hint="eastAsia"/>
          <w:color w:val="auto"/>
          <w:highlight w:val="none"/>
        </w:rPr>
      </w:pPr>
    </w:p>
    <w:p>
      <w:pPr>
        <w:keepNext w:val="0"/>
        <w:keepLines w:val="0"/>
        <w:pageBreakBefore w:val="0"/>
        <w:kinsoku/>
        <w:wordWrap/>
        <w:topLinePunct w:val="0"/>
        <w:bidi w:val="0"/>
        <w:spacing w:line="560" w:lineRule="exact"/>
        <w:jc w:val="center"/>
        <w:rPr>
          <w:rFonts w:hint="eastAsia" w:ascii="黑体" w:hAnsi="黑体" w:eastAsia="黑体"/>
          <w:b/>
          <w:color w:val="auto"/>
          <w:sz w:val="56"/>
          <w:szCs w:val="44"/>
          <w:highlight w:val="none"/>
        </w:rPr>
      </w:pPr>
      <w:r>
        <w:rPr>
          <w:rFonts w:hint="eastAsia" w:ascii="黑体" w:hAnsi="黑体" w:eastAsia="黑体"/>
          <w:b/>
          <w:color w:val="auto"/>
          <w:sz w:val="56"/>
          <w:szCs w:val="44"/>
          <w:highlight w:val="none"/>
        </w:rPr>
        <w:t>安顺农村商业银行股份有限公司</w:t>
      </w:r>
    </w:p>
    <w:p>
      <w:pPr>
        <w:pStyle w:val="11"/>
        <w:keepNext w:val="0"/>
        <w:keepLines w:val="0"/>
        <w:pageBreakBefore w:val="0"/>
        <w:kinsoku/>
        <w:wordWrap/>
        <w:topLinePunct w:val="0"/>
        <w:bidi w:val="0"/>
        <w:spacing w:line="560" w:lineRule="exact"/>
        <w:ind w:firstLine="586"/>
        <w:rPr>
          <w:rFonts w:hint="eastAsia"/>
          <w:color w:val="auto"/>
          <w:highlight w:val="none"/>
        </w:rPr>
      </w:pPr>
    </w:p>
    <w:p>
      <w:pPr>
        <w:rPr>
          <w:rFonts w:hint="eastAsia"/>
        </w:rPr>
      </w:pPr>
    </w:p>
    <w:p>
      <w:pPr>
        <w:pStyle w:val="11"/>
        <w:keepNext w:val="0"/>
        <w:keepLines w:val="0"/>
        <w:pageBreakBefore w:val="0"/>
        <w:kinsoku/>
        <w:wordWrap/>
        <w:topLinePunct w:val="0"/>
        <w:bidi w:val="0"/>
        <w:spacing w:line="560" w:lineRule="exact"/>
        <w:ind w:firstLine="586"/>
        <w:rPr>
          <w:rFonts w:hint="eastAsia"/>
          <w:color w:val="auto"/>
          <w:highlight w:val="none"/>
        </w:rPr>
      </w:pPr>
    </w:p>
    <w:p>
      <w:pPr>
        <w:keepNext w:val="0"/>
        <w:keepLines w:val="0"/>
        <w:pageBreakBefore w:val="0"/>
        <w:kinsoku/>
        <w:wordWrap/>
        <w:topLinePunct w:val="0"/>
        <w:bidi w:val="0"/>
        <w:spacing w:line="560" w:lineRule="exact"/>
        <w:jc w:val="center"/>
        <w:rPr>
          <w:rFonts w:hint="eastAsia" w:ascii="仿宋" w:hAnsi="仿宋" w:eastAsia="仿宋"/>
          <w:b/>
          <w:color w:val="auto"/>
          <w:sz w:val="48"/>
          <w:szCs w:val="44"/>
          <w:highlight w:val="none"/>
        </w:rPr>
      </w:pPr>
      <w:r>
        <w:rPr>
          <w:rFonts w:hint="eastAsia" w:ascii="仿宋" w:hAnsi="仿宋" w:eastAsia="仿宋"/>
          <w:b/>
          <w:color w:val="auto"/>
          <w:sz w:val="48"/>
          <w:szCs w:val="44"/>
          <w:highlight w:val="none"/>
        </w:rPr>
        <w:t>202</w:t>
      </w:r>
      <w:r>
        <w:rPr>
          <w:rFonts w:hint="eastAsia" w:ascii="仿宋" w:hAnsi="仿宋" w:eastAsia="仿宋"/>
          <w:b/>
          <w:color w:val="auto"/>
          <w:sz w:val="48"/>
          <w:szCs w:val="44"/>
          <w:highlight w:val="none"/>
          <w:lang w:val="en-US" w:eastAsia="zh-CN"/>
        </w:rPr>
        <w:t>4</w:t>
      </w:r>
      <w:r>
        <w:rPr>
          <w:rFonts w:hint="eastAsia" w:ascii="仿宋" w:hAnsi="仿宋" w:eastAsia="仿宋"/>
          <w:b/>
          <w:color w:val="auto"/>
          <w:sz w:val="48"/>
          <w:szCs w:val="44"/>
          <w:highlight w:val="none"/>
        </w:rPr>
        <w:t>年度信息披露报告</w:t>
      </w:r>
    </w:p>
    <w:p>
      <w:pPr>
        <w:keepNext w:val="0"/>
        <w:keepLines w:val="0"/>
        <w:pageBreakBefore w:val="0"/>
        <w:kinsoku/>
        <w:wordWrap/>
        <w:topLinePunct w:val="0"/>
        <w:bidi w:val="0"/>
        <w:adjustRightInd w:val="0"/>
        <w:snapToGrid w:val="0"/>
        <w:spacing w:line="560" w:lineRule="exact"/>
        <w:jc w:val="center"/>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8"/>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adjustRightInd w:val="0"/>
        <w:snapToGrid w:val="0"/>
        <w:spacing w:line="560" w:lineRule="exact"/>
        <w:jc w:val="center"/>
        <w:rPr>
          <w:rFonts w:hint="eastAsia" w:ascii="方正小标宋简体" w:hAnsi="方正小标宋简体" w:eastAsia="方正小标宋简体" w:cs="方正小标宋简体"/>
          <w:b w:val="0"/>
          <w:bCs/>
          <w:color w:val="auto"/>
          <w:sz w:val="44"/>
          <w:szCs w:val="44"/>
          <w:highlight w:val="none"/>
        </w:rPr>
      </w:pPr>
    </w:p>
    <w:p>
      <w:pPr>
        <w:keepNext w:val="0"/>
        <w:keepLines w:val="0"/>
        <w:pageBreakBefore w:val="0"/>
        <w:kinsoku/>
        <w:wordWrap/>
        <w:topLinePunct w:val="0"/>
        <w:bidi w:val="0"/>
        <w:adjustRightInd w:val="0"/>
        <w:snapToGrid w:val="0"/>
        <w:spacing w:line="560" w:lineRule="exact"/>
        <w:jc w:val="center"/>
        <w:rPr>
          <w:rFonts w:hint="eastAsia" w:ascii="方正小标宋简体" w:hAnsi="方正小标宋简体" w:eastAsia="方正小标宋简体" w:cs="方正小标宋简体"/>
          <w:b w:val="0"/>
          <w:bCs/>
          <w:color w:val="auto"/>
          <w:sz w:val="44"/>
          <w:szCs w:val="44"/>
          <w:highlight w:val="none"/>
        </w:rPr>
      </w:pPr>
    </w:p>
    <w:p>
      <w:pPr>
        <w:keepNext w:val="0"/>
        <w:keepLines w:val="0"/>
        <w:pageBreakBefore w:val="0"/>
        <w:kinsoku/>
        <w:wordWrap/>
        <w:topLinePunct w:val="0"/>
        <w:bidi w:val="0"/>
        <w:adjustRightInd w:val="0"/>
        <w:snapToGrid w:val="0"/>
        <w:spacing w:line="560" w:lineRule="exact"/>
        <w:jc w:val="center"/>
        <w:rPr>
          <w:rFonts w:hint="eastAsia" w:ascii="方正小标宋简体" w:hAnsi="方正小标宋简体" w:eastAsia="方正小标宋简体" w:cs="方正小标宋简体"/>
          <w:b w:val="0"/>
          <w:bCs/>
          <w:color w:val="auto"/>
          <w:sz w:val="44"/>
          <w:szCs w:val="44"/>
          <w:highlight w:val="none"/>
        </w:rPr>
      </w:pPr>
      <w:r>
        <w:rPr>
          <w:rFonts w:hint="eastAsia" w:ascii="方正小标宋简体" w:hAnsi="方正小标宋简体" w:eastAsia="方正小标宋简体" w:cs="方正小标宋简体"/>
          <w:b w:val="0"/>
          <w:bCs/>
          <w:color w:val="auto"/>
          <w:sz w:val="44"/>
          <w:szCs w:val="44"/>
          <w:highlight w:val="none"/>
        </w:rPr>
        <w:t>重要信息提示</w:t>
      </w:r>
    </w:p>
    <w:p>
      <w:pPr>
        <w:keepNext w:val="0"/>
        <w:keepLines w:val="0"/>
        <w:pageBreakBefore w:val="0"/>
        <w:kinsoku/>
        <w:wordWrap/>
        <w:topLinePunct w:val="0"/>
        <w:bidi w:val="0"/>
        <w:adjustRightInd w:val="0"/>
        <w:snapToGrid w:val="0"/>
        <w:spacing w:line="560" w:lineRule="exact"/>
        <w:jc w:val="center"/>
        <w:rPr>
          <w:rFonts w:hint="eastAsia" w:ascii="仿宋" w:hAnsi="仿宋" w:eastAsia="仿宋"/>
          <w:b/>
          <w:color w:val="auto"/>
          <w:sz w:val="32"/>
          <w:szCs w:val="32"/>
          <w:highlight w:val="none"/>
        </w:rPr>
      </w:pPr>
    </w:p>
    <w:p>
      <w:pPr>
        <w:pStyle w:val="6"/>
        <w:keepNext w:val="0"/>
        <w:keepLines w:val="0"/>
        <w:pageBreakBefore w:val="0"/>
        <w:numPr>
          <w:ilvl w:val="0"/>
          <w:numId w:val="0"/>
        </w:numPr>
        <w:tabs>
          <w:tab w:val="left" w:pos="8640"/>
        </w:tabs>
        <w:kinsoku/>
        <w:wordWrap/>
        <w:topLinePunct w:val="0"/>
        <w:bidi w:val="0"/>
        <w:spacing w:line="560" w:lineRule="exact"/>
        <w:ind w:firstLine="640" w:firstLineChars="200"/>
        <w:rPr>
          <w:rFonts w:hint="default" w:ascii="Times New Roman" w:hAnsi="Times New Roman" w:eastAsia="仿宋_GB2312" w:cs="Times New Roman"/>
          <w:b w:val="0"/>
          <w:bCs/>
          <w:color w:val="auto"/>
          <w:sz w:val="32"/>
          <w:szCs w:val="32"/>
          <w:highlight w:val="none"/>
        </w:rPr>
      </w:pPr>
      <w:r>
        <w:rPr>
          <w:rFonts w:hint="eastAsia" w:ascii="Times New Roman" w:hAnsi="Times New Roman" w:eastAsia="仿宋_GB2312" w:cs="Times New Roman"/>
          <w:b w:val="0"/>
          <w:bCs/>
          <w:color w:val="auto"/>
          <w:sz w:val="32"/>
          <w:szCs w:val="32"/>
          <w:highlight w:val="none"/>
          <w:lang w:eastAsia="zh-CN"/>
        </w:rPr>
        <w:t>一、</w:t>
      </w:r>
      <w:r>
        <w:rPr>
          <w:rFonts w:hint="default" w:ascii="Times New Roman" w:hAnsi="Times New Roman" w:eastAsia="仿宋_GB2312" w:cs="Times New Roman"/>
          <w:b w:val="0"/>
          <w:bCs/>
          <w:color w:val="auto"/>
          <w:sz w:val="32"/>
          <w:szCs w:val="32"/>
          <w:highlight w:val="none"/>
        </w:rPr>
        <w:t>本公司董事会及董事保证本报告所载资料不存在任何虚假记载、误导性陈述或者重大遗漏，并对其内容的真实性、准确性和完整性承担个别及连带责任。</w:t>
      </w:r>
    </w:p>
    <w:p>
      <w:pPr>
        <w:pStyle w:val="6"/>
        <w:keepNext w:val="0"/>
        <w:keepLines w:val="0"/>
        <w:pageBreakBefore w:val="0"/>
        <w:numPr>
          <w:ilvl w:val="0"/>
          <w:numId w:val="0"/>
        </w:numPr>
        <w:tabs>
          <w:tab w:val="left" w:pos="8640"/>
        </w:tabs>
        <w:kinsoku/>
        <w:wordWrap/>
        <w:topLinePunct w:val="0"/>
        <w:bidi w:val="0"/>
        <w:spacing w:line="560" w:lineRule="exact"/>
        <w:ind w:firstLine="640" w:firstLineChars="200"/>
        <w:rPr>
          <w:rFonts w:hint="default" w:ascii="Times New Roman" w:hAnsi="Times New Roman" w:eastAsia="仿宋_GB2312" w:cs="Times New Roman"/>
          <w:b w:val="0"/>
          <w:bCs/>
          <w:color w:val="auto"/>
          <w:sz w:val="32"/>
          <w:szCs w:val="32"/>
          <w:highlight w:val="none"/>
        </w:rPr>
      </w:pPr>
      <w:r>
        <w:rPr>
          <w:rFonts w:hint="eastAsia" w:ascii="Times New Roman" w:hAnsi="Times New Roman" w:eastAsia="仿宋_GB2312" w:cs="Times New Roman"/>
          <w:b w:val="0"/>
          <w:bCs/>
          <w:color w:val="auto"/>
          <w:kern w:val="0"/>
          <w:sz w:val="32"/>
          <w:szCs w:val="32"/>
          <w:highlight w:val="none"/>
          <w:lang w:eastAsia="zh-CN"/>
        </w:rPr>
        <w:t>二、</w:t>
      </w:r>
      <w:r>
        <w:rPr>
          <w:rFonts w:hint="default" w:ascii="Times New Roman" w:hAnsi="Times New Roman" w:eastAsia="仿宋_GB2312" w:cs="Times New Roman"/>
          <w:b w:val="0"/>
          <w:bCs/>
          <w:color w:val="auto"/>
          <w:kern w:val="0"/>
          <w:sz w:val="32"/>
          <w:szCs w:val="32"/>
          <w:highlight w:val="none"/>
        </w:rPr>
        <w:t>贵州永诚会计师事务所</w:t>
      </w:r>
      <w:r>
        <w:rPr>
          <w:rFonts w:hint="default" w:ascii="Times New Roman" w:hAnsi="Times New Roman" w:eastAsia="仿宋_GB2312" w:cs="Times New Roman"/>
          <w:b w:val="0"/>
          <w:bCs/>
          <w:color w:val="auto"/>
          <w:sz w:val="32"/>
          <w:szCs w:val="32"/>
          <w:highlight w:val="none"/>
        </w:rPr>
        <w:t>根据国内审计准则审计并出具了审计报告，本公司董事会、监事会对相关事项亦有详细说明，请公众注意阅读。</w:t>
      </w:r>
    </w:p>
    <w:p>
      <w:pPr>
        <w:pStyle w:val="6"/>
        <w:keepNext w:val="0"/>
        <w:keepLines w:val="0"/>
        <w:pageBreakBefore w:val="0"/>
        <w:numPr>
          <w:ilvl w:val="0"/>
          <w:numId w:val="0"/>
        </w:numPr>
        <w:tabs>
          <w:tab w:val="left" w:pos="8640"/>
        </w:tabs>
        <w:kinsoku/>
        <w:wordWrap/>
        <w:topLinePunct w:val="0"/>
        <w:bidi w:val="0"/>
        <w:spacing w:line="560" w:lineRule="exact"/>
        <w:ind w:firstLine="640" w:firstLineChars="200"/>
        <w:rPr>
          <w:rFonts w:hint="default"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eastAsia="zh-CN"/>
        </w:rPr>
        <w:t>三、本公司于</w:t>
      </w:r>
      <w:r>
        <w:rPr>
          <w:rFonts w:hint="eastAsia" w:ascii="Times New Roman" w:hAnsi="Times New Roman" w:eastAsia="仿宋_GB2312" w:cs="Times New Roman"/>
          <w:b w:val="0"/>
          <w:bCs/>
          <w:color w:val="auto"/>
          <w:sz w:val="32"/>
          <w:szCs w:val="32"/>
          <w:highlight w:val="none"/>
          <w:lang w:val="en-US" w:eastAsia="zh-CN"/>
        </w:rPr>
        <w:t>2024年变更主要股东股权，由安顺市恒伟实业有限公司变更为安顺市资产运营有限公司，涉及股权</w:t>
      </w:r>
      <w:r>
        <w:rPr>
          <w:rFonts w:hint="default" w:ascii="Times New Roman" w:hAnsi="Times New Roman" w:eastAsia="仿宋_GB2312" w:cs="Times New Roman"/>
          <w:b w:val="0"/>
          <w:bCs/>
          <w:color w:val="auto"/>
          <w:sz w:val="32"/>
          <w:szCs w:val="32"/>
          <w:highlight w:val="none"/>
          <w:lang w:val="en-US" w:eastAsia="zh-CN"/>
        </w:rPr>
        <w:t>23,095,301</w:t>
      </w:r>
      <w:r>
        <w:rPr>
          <w:rFonts w:hint="eastAsia" w:ascii="Times New Roman" w:hAnsi="Times New Roman" w:eastAsia="仿宋_GB2312" w:cs="Times New Roman"/>
          <w:b w:val="0"/>
          <w:bCs/>
          <w:color w:val="auto"/>
          <w:sz w:val="32"/>
          <w:szCs w:val="32"/>
          <w:highlight w:val="none"/>
          <w:lang w:val="en-US" w:eastAsia="zh-CN"/>
        </w:rPr>
        <w:t>股，比例6.33%。</w:t>
      </w:r>
    </w:p>
    <w:p>
      <w:pPr>
        <w:pStyle w:val="6"/>
        <w:keepNext w:val="0"/>
        <w:keepLines w:val="0"/>
        <w:pageBreakBefore w:val="0"/>
        <w:numPr>
          <w:ilvl w:val="0"/>
          <w:numId w:val="0"/>
        </w:numPr>
        <w:tabs>
          <w:tab w:val="left" w:pos="8640"/>
        </w:tabs>
        <w:kinsoku/>
        <w:wordWrap/>
        <w:topLinePunct w:val="0"/>
        <w:bidi w:val="0"/>
        <w:spacing w:line="560" w:lineRule="exact"/>
        <w:ind w:firstLine="640" w:firstLineChars="200"/>
        <w:rPr>
          <w:rFonts w:hint="default" w:ascii="Times New Roman" w:hAnsi="Times New Roman" w:eastAsia="仿宋_GB2312" w:cs="Times New Roman"/>
          <w:b w:val="0"/>
          <w:bCs/>
          <w:color w:val="auto"/>
          <w:sz w:val="32"/>
          <w:szCs w:val="32"/>
          <w:highlight w:val="none"/>
        </w:rPr>
      </w:pPr>
      <w:r>
        <w:rPr>
          <w:rFonts w:hint="eastAsia" w:ascii="Times New Roman" w:hAnsi="Times New Roman" w:eastAsia="仿宋_GB2312" w:cs="Times New Roman"/>
          <w:b w:val="0"/>
          <w:bCs/>
          <w:color w:val="auto"/>
          <w:sz w:val="32"/>
          <w:szCs w:val="32"/>
          <w:highlight w:val="none"/>
          <w:lang w:eastAsia="zh-CN"/>
        </w:rPr>
        <w:t>四、</w:t>
      </w:r>
      <w:r>
        <w:rPr>
          <w:rFonts w:hint="default" w:ascii="Times New Roman" w:hAnsi="Times New Roman" w:eastAsia="仿宋_GB2312" w:cs="Times New Roman"/>
          <w:b w:val="0"/>
          <w:bCs/>
          <w:color w:val="auto"/>
          <w:sz w:val="32"/>
          <w:szCs w:val="32"/>
          <w:highlight w:val="none"/>
          <w:lang w:eastAsia="zh-CN"/>
        </w:rPr>
        <w:t>本公司于</w:t>
      </w:r>
      <w:r>
        <w:rPr>
          <w:rFonts w:hint="default" w:ascii="Times New Roman" w:hAnsi="Times New Roman" w:eastAsia="仿宋_GB2312" w:cs="Times New Roman"/>
          <w:b w:val="0"/>
          <w:bCs/>
          <w:color w:val="auto"/>
          <w:sz w:val="32"/>
          <w:szCs w:val="32"/>
          <w:highlight w:val="none"/>
          <w:lang w:val="en-US" w:eastAsia="zh-CN"/>
        </w:rPr>
        <w:t>202</w:t>
      </w:r>
      <w:r>
        <w:rPr>
          <w:rFonts w:hint="eastAsia" w:ascii="Times New Roman" w:hAnsi="Times New Roman" w:eastAsia="仿宋_GB2312" w:cs="Times New Roman"/>
          <w:b w:val="0"/>
          <w:bCs/>
          <w:color w:val="auto"/>
          <w:sz w:val="32"/>
          <w:szCs w:val="32"/>
          <w:highlight w:val="none"/>
          <w:lang w:val="en-US" w:eastAsia="zh-CN"/>
        </w:rPr>
        <w:t>4</w:t>
      </w:r>
      <w:r>
        <w:rPr>
          <w:rFonts w:hint="default" w:ascii="Times New Roman" w:hAnsi="Times New Roman" w:eastAsia="仿宋_GB2312" w:cs="Times New Roman"/>
          <w:b w:val="0"/>
          <w:bCs/>
          <w:color w:val="auto"/>
          <w:sz w:val="32"/>
          <w:szCs w:val="32"/>
          <w:highlight w:val="none"/>
          <w:lang w:val="en-US" w:eastAsia="zh-CN"/>
        </w:rPr>
        <w:t>年终止营业网点2处，分别是</w:t>
      </w:r>
      <w:r>
        <w:rPr>
          <w:rFonts w:hint="eastAsia" w:ascii="Times New Roman" w:hAnsi="Times New Roman" w:eastAsia="仿宋_GB2312" w:cs="Times New Roman"/>
          <w:b w:val="0"/>
          <w:bCs/>
          <w:color w:val="auto"/>
          <w:sz w:val="32"/>
          <w:szCs w:val="32"/>
          <w:highlight w:val="none"/>
          <w:lang w:val="en-US" w:eastAsia="zh-CN"/>
        </w:rPr>
        <w:t>西水</w:t>
      </w:r>
      <w:r>
        <w:rPr>
          <w:rFonts w:hint="default" w:ascii="Times New Roman" w:hAnsi="Times New Roman" w:eastAsia="仿宋_GB2312" w:cs="Times New Roman"/>
          <w:b w:val="0"/>
          <w:bCs/>
          <w:color w:val="auto"/>
          <w:sz w:val="32"/>
          <w:szCs w:val="32"/>
          <w:highlight w:val="none"/>
          <w:lang w:val="en-US" w:eastAsia="zh-CN"/>
        </w:rPr>
        <w:t>支行、</w:t>
      </w:r>
      <w:r>
        <w:rPr>
          <w:rFonts w:hint="eastAsia" w:ascii="Times New Roman" w:hAnsi="Times New Roman" w:eastAsia="仿宋_GB2312" w:cs="Times New Roman"/>
          <w:b w:val="0"/>
          <w:bCs/>
          <w:color w:val="auto"/>
          <w:sz w:val="32"/>
          <w:szCs w:val="32"/>
          <w:highlight w:val="none"/>
          <w:lang w:val="en-US" w:eastAsia="zh-CN"/>
        </w:rPr>
        <w:t>马鞍山</w:t>
      </w:r>
      <w:r>
        <w:rPr>
          <w:rFonts w:hint="default" w:ascii="Times New Roman" w:hAnsi="Times New Roman" w:eastAsia="仿宋_GB2312" w:cs="Times New Roman"/>
          <w:b w:val="0"/>
          <w:bCs/>
          <w:color w:val="auto"/>
          <w:sz w:val="32"/>
          <w:szCs w:val="32"/>
          <w:highlight w:val="none"/>
          <w:lang w:val="en-US" w:eastAsia="zh-CN"/>
        </w:rPr>
        <w:t>支行。</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b w:val="0"/>
          <w:bCs/>
          <w:color w:val="auto"/>
          <w:kern w:val="0"/>
          <w:sz w:val="32"/>
          <w:szCs w:val="32"/>
          <w:highlight w:val="none"/>
        </w:rPr>
      </w:pPr>
      <w:r>
        <w:rPr>
          <w:rFonts w:hint="eastAsia" w:cs="Times New Roman"/>
          <w:b w:val="0"/>
          <w:bCs/>
          <w:color w:val="auto"/>
          <w:kern w:val="0"/>
          <w:sz w:val="32"/>
          <w:szCs w:val="32"/>
          <w:highlight w:val="none"/>
          <w:lang w:eastAsia="zh-CN"/>
        </w:rPr>
        <w:t>五、</w:t>
      </w:r>
      <w:r>
        <w:rPr>
          <w:rFonts w:hint="default" w:ascii="Times New Roman" w:hAnsi="Times New Roman" w:eastAsia="仿宋_GB2312" w:cs="Times New Roman"/>
          <w:b w:val="0"/>
          <w:bCs/>
          <w:color w:val="auto"/>
          <w:kern w:val="0"/>
          <w:sz w:val="32"/>
          <w:szCs w:val="32"/>
          <w:highlight w:val="none"/>
        </w:rPr>
        <w:t>本报告中，“本行</w:t>
      </w:r>
      <w:r>
        <w:rPr>
          <w:rFonts w:hint="default" w:ascii="Times New Roman" w:hAnsi="Times New Roman" w:eastAsia="仿宋_GB2312" w:cs="Times New Roman"/>
          <w:b w:val="0"/>
          <w:bCs/>
          <w:color w:val="auto"/>
          <w:kern w:val="0"/>
          <w:sz w:val="32"/>
          <w:szCs w:val="32"/>
          <w:highlight w:val="none"/>
          <w:lang w:eastAsia="zh-CN"/>
        </w:rPr>
        <w:t>”“</w:t>
      </w:r>
      <w:r>
        <w:rPr>
          <w:rFonts w:hint="default" w:ascii="Times New Roman" w:hAnsi="Times New Roman" w:eastAsia="仿宋_GB2312" w:cs="Times New Roman"/>
          <w:b w:val="0"/>
          <w:bCs/>
          <w:color w:val="auto"/>
          <w:kern w:val="0"/>
          <w:sz w:val="32"/>
          <w:szCs w:val="32"/>
          <w:highlight w:val="none"/>
        </w:rPr>
        <w:t>本公司</w:t>
      </w:r>
      <w:r>
        <w:rPr>
          <w:rFonts w:hint="default" w:ascii="Times New Roman" w:hAnsi="Times New Roman" w:eastAsia="仿宋_GB2312" w:cs="Times New Roman"/>
          <w:b w:val="0"/>
          <w:bCs/>
          <w:color w:val="auto"/>
          <w:kern w:val="0"/>
          <w:sz w:val="32"/>
          <w:szCs w:val="32"/>
          <w:highlight w:val="none"/>
          <w:lang w:eastAsia="zh-CN"/>
        </w:rPr>
        <w:t>”“</w:t>
      </w:r>
      <w:r>
        <w:rPr>
          <w:rFonts w:hint="default" w:ascii="Times New Roman" w:hAnsi="Times New Roman" w:eastAsia="仿宋_GB2312" w:cs="Times New Roman"/>
          <w:b w:val="0"/>
          <w:bCs/>
          <w:color w:val="auto"/>
          <w:kern w:val="0"/>
          <w:sz w:val="32"/>
          <w:szCs w:val="32"/>
          <w:highlight w:val="none"/>
        </w:rPr>
        <w:t>安顺农商银行”均指安顺农村商业银行股份有限公司。</w:t>
      </w:r>
    </w:p>
    <w:p>
      <w:pPr>
        <w:keepNext w:val="0"/>
        <w:keepLines w:val="0"/>
        <w:pageBreakBefore w:val="0"/>
        <w:tabs>
          <w:tab w:val="left" w:pos="416"/>
          <w:tab w:val="left" w:pos="766"/>
        </w:tabs>
        <w:kinsoku/>
        <w:wordWrap/>
        <w:topLinePunct w:val="0"/>
        <w:bidi w:val="0"/>
        <w:spacing w:line="560" w:lineRule="exact"/>
        <w:ind w:firstLine="640" w:firstLineChars="200"/>
        <w:rPr>
          <w:rFonts w:hint="default" w:ascii="Times New Roman" w:hAnsi="Times New Roman" w:eastAsia="仿宋_GB2312" w:cs="Times New Roman"/>
          <w:b w:val="0"/>
          <w:bCs/>
          <w:color w:val="auto"/>
          <w:kern w:val="0"/>
          <w:sz w:val="32"/>
          <w:szCs w:val="32"/>
          <w:highlight w:val="none"/>
        </w:rPr>
      </w:pPr>
      <w:r>
        <w:rPr>
          <w:rFonts w:hint="eastAsia" w:cs="Times New Roman"/>
          <w:b w:val="0"/>
          <w:bCs/>
          <w:color w:val="auto"/>
          <w:kern w:val="0"/>
          <w:sz w:val="32"/>
          <w:szCs w:val="32"/>
          <w:highlight w:val="none"/>
          <w:lang w:val="en-US" w:eastAsia="zh-CN"/>
        </w:rPr>
        <w:t>六、</w:t>
      </w:r>
      <w:r>
        <w:rPr>
          <w:rFonts w:hint="default" w:ascii="Times New Roman" w:hAnsi="Times New Roman" w:eastAsia="仿宋_GB2312" w:cs="Times New Roman"/>
          <w:b w:val="0"/>
          <w:bCs/>
          <w:color w:val="auto"/>
          <w:kern w:val="0"/>
          <w:sz w:val="32"/>
          <w:szCs w:val="32"/>
          <w:highlight w:val="none"/>
        </w:rPr>
        <w:t>本报告除特别说明外，金额币种为人民币。</w:t>
      </w:r>
    </w:p>
    <w:p>
      <w:pPr>
        <w:keepNext w:val="0"/>
        <w:keepLines w:val="0"/>
        <w:pageBreakBefore w:val="0"/>
        <w:kinsoku/>
        <w:wordWrap/>
        <w:topLinePunct w:val="0"/>
        <w:bidi w:val="0"/>
        <w:spacing w:line="560" w:lineRule="exact"/>
        <w:jc w:val="both"/>
        <w:rPr>
          <w:rFonts w:hint="default" w:ascii="Times New Roman" w:hAnsi="Times New Roman" w:eastAsia="黑体" w:cs="Times New Roman"/>
          <w:b/>
          <w:bCs/>
          <w:color w:val="auto"/>
          <w:sz w:val="44"/>
          <w:szCs w:val="4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kinsoku/>
        <w:wordWrap/>
        <w:topLinePunct w:val="0"/>
        <w:bidi w:val="0"/>
        <w:spacing w:line="560" w:lineRule="exact"/>
        <w:ind w:firstLine="3092" w:firstLineChars="700"/>
        <w:jc w:val="both"/>
        <w:rPr>
          <w:rFonts w:hint="eastAsia" w:ascii="黑体" w:hAnsi="黑体" w:eastAsia="黑体" w:cs="黑体"/>
          <w:b/>
          <w:bCs/>
          <w:color w:val="auto"/>
          <w:sz w:val="44"/>
          <w:szCs w:val="44"/>
          <w:highlight w:val="none"/>
        </w:rPr>
      </w:pPr>
    </w:p>
    <w:p>
      <w:pPr>
        <w:keepNext w:val="0"/>
        <w:keepLines w:val="0"/>
        <w:pageBreakBefore w:val="0"/>
        <w:kinsoku/>
        <w:wordWrap/>
        <w:topLinePunct w:val="0"/>
        <w:bidi w:val="0"/>
        <w:spacing w:line="560" w:lineRule="exact"/>
        <w:ind w:firstLine="3092" w:firstLineChars="700"/>
        <w:jc w:val="both"/>
        <w:rPr>
          <w:rFonts w:hint="eastAsia" w:ascii="黑体" w:hAnsi="黑体" w:eastAsia="黑体" w:cs="黑体"/>
          <w:b/>
          <w:bCs/>
          <w:color w:val="auto"/>
          <w:sz w:val="44"/>
          <w:szCs w:val="44"/>
          <w:highlight w:val="none"/>
        </w:rPr>
      </w:pPr>
      <w:r>
        <w:rPr>
          <w:rFonts w:hint="eastAsia" w:ascii="黑体" w:hAnsi="黑体" w:eastAsia="黑体" w:cs="黑体"/>
          <w:b/>
          <w:bCs/>
          <w:color w:val="auto"/>
          <w:sz w:val="44"/>
          <w:szCs w:val="44"/>
          <w:highlight w:val="none"/>
        </w:rPr>
        <w:t>目  录</w:t>
      </w:r>
    </w:p>
    <w:p>
      <w:pPr>
        <w:keepNext w:val="0"/>
        <w:keepLines w:val="0"/>
        <w:pageBreakBefore w:val="0"/>
        <w:kinsoku/>
        <w:wordWrap/>
        <w:topLinePunct w:val="0"/>
        <w:bidi w:val="0"/>
        <w:spacing w:line="560" w:lineRule="exact"/>
        <w:jc w:val="center"/>
        <w:rPr>
          <w:rFonts w:hint="eastAsia" w:ascii="仿宋_GB2312" w:hAnsi="仿宋_GB2312" w:eastAsia="仿宋_GB2312" w:cs="仿宋_GB2312"/>
          <w:color w:val="auto"/>
          <w:sz w:val="32"/>
          <w:szCs w:val="32"/>
          <w:highlight w:val="none"/>
        </w:rPr>
      </w:pP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第一章  公司简介</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第二章  股本变动和股东情况</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第三章  董事、监事、高级管理人员和员工情况</w:t>
      </w:r>
    </w:p>
    <w:p>
      <w:pPr>
        <w:keepNext w:val="0"/>
        <w:keepLines w:val="0"/>
        <w:pageBreakBefore w:val="0"/>
        <w:tabs>
          <w:tab w:val="left" w:pos="2340"/>
        </w:tabs>
        <w:kinsoku/>
        <w:wordWrap/>
        <w:topLinePunct w:val="0"/>
        <w:bidi w:val="0"/>
        <w:spacing w:line="560" w:lineRule="exact"/>
        <w:ind w:left="1080" w:right="-781" w:rightChars="-244"/>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第四章  公司治理</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第五章  董事会报告</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第六章  监事会报告</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 xml:space="preserve">第七章  </w:t>
      </w:r>
      <w:r>
        <w:rPr>
          <w:rFonts w:hint="eastAsia" w:ascii="仿宋_GB2312" w:hAnsi="仿宋_GB2312" w:eastAsia="仿宋_GB2312" w:cs="仿宋_GB2312"/>
          <w:color w:val="auto"/>
          <w:sz w:val="32"/>
          <w:szCs w:val="32"/>
          <w:highlight w:val="none"/>
          <w:lang w:eastAsia="zh-CN"/>
        </w:rPr>
        <w:t>关联交易情况</w:t>
      </w:r>
    </w:p>
    <w:p>
      <w:pPr>
        <w:keepNext w:val="0"/>
        <w:keepLines w:val="0"/>
        <w:pageBreakBefore w:val="0"/>
        <w:tabs>
          <w:tab w:val="left" w:pos="1980"/>
        </w:tabs>
        <w:kinsoku/>
        <w:wordWrap/>
        <w:topLinePunct w:val="0"/>
        <w:bidi w:val="0"/>
        <w:spacing w:line="560" w:lineRule="exact"/>
        <w:ind w:left="1080"/>
        <w:rPr>
          <w:rFonts w:hint="eastAsia"/>
          <w:color w:val="auto"/>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eastAsia="zh-CN"/>
        </w:rPr>
        <w:t>八</w:t>
      </w:r>
      <w:r>
        <w:rPr>
          <w:rFonts w:hint="eastAsia" w:ascii="仿宋_GB2312" w:hAnsi="仿宋_GB2312" w:eastAsia="仿宋_GB2312" w:cs="仿宋_GB2312"/>
          <w:color w:val="auto"/>
          <w:sz w:val="32"/>
          <w:szCs w:val="32"/>
          <w:highlight w:val="none"/>
        </w:rPr>
        <w:t xml:space="preserve">章  </w:t>
      </w:r>
      <w:r>
        <w:rPr>
          <w:rFonts w:hint="eastAsia" w:ascii="仿宋_GB2312" w:hAnsi="仿宋_GB2312" w:eastAsia="仿宋_GB2312" w:cs="仿宋_GB2312"/>
          <w:color w:val="auto"/>
          <w:sz w:val="32"/>
          <w:szCs w:val="32"/>
          <w:highlight w:val="none"/>
          <w:lang w:eastAsia="zh-CN"/>
        </w:rPr>
        <w:t>风险管理</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eastAsia="zh-CN"/>
        </w:rPr>
        <w:t>九</w:t>
      </w:r>
      <w:r>
        <w:rPr>
          <w:rFonts w:hint="eastAsia" w:ascii="仿宋_GB2312" w:hAnsi="仿宋_GB2312" w:eastAsia="仿宋_GB2312" w:cs="仿宋_GB2312"/>
          <w:color w:val="auto"/>
          <w:sz w:val="32"/>
          <w:szCs w:val="32"/>
          <w:highlight w:val="none"/>
        </w:rPr>
        <w:t>章  主要业务经营及财务决算报告</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eastAsia="zh-CN"/>
        </w:rPr>
        <w:t>十</w:t>
      </w:r>
      <w:r>
        <w:rPr>
          <w:rFonts w:hint="eastAsia" w:ascii="仿宋_GB2312" w:hAnsi="仿宋_GB2312" w:eastAsia="仿宋_GB2312" w:cs="仿宋_GB2312"/>
          <w:color w:val="auto"/>
          <w:sz w:val="32"/>
          <w:szCs w:val="32"/>
          <w:highlight w:val="none"/>
        </w:rPr>
        <w:t>章  重</w:t>
      </w:r>
      <w:r>
        <w:rPr>
          <w:rFonts w:hint="eastAsia" w:ascii="仿宋_GB2312" w:hAnsi="仿宋_GB2312" w:eastAsia="仿宋_GB2312" w:cs="仿宋_GB2312"/>
          <w:color w:val="auto"/>
          <w:sz w:val="32"/>
          <w:szCs w:val="32"/>
          <w:highlight w:val="none"/>
          <w:lang w:eastAsia="zh-CN"/>
        </w:rPr>
        <w:t>大</w:t>
      </w:r>
      <w:r>
        <w:rPr>
          <w:rFonts w:hint="eastAsia" w:ascii="仿宋_GB2312" w:hAnsi="仿宋_GB2312" w:eastAsia="仿宋_GB2312" w:cs="仿宋_GB2312"/>
          <w:color w:val="auto"/>
          <w:sz w:val="32"/>
          <w:szCs w:val="32"/>
          <w:highlight w:val="none"/>
        </w:rPr>
        <w:t>事项</w:t>
      </w:r>
    </w:p>
    <w:p>
      <w:pPr>
        <w:keepNext w:val="0"/>
        <w:keepLines w:val="0"/>
        <w:pageBreakBefore w:val="0"/>
        <w:tabs>
          <w:tab w:val="left" w:pos="1980"/>
        </w:tabs>
        <w:kinsoku/>
        <w:wordWrap/>
        <w:topLinePunct w:val="0"/>
        <w:bidi w:val="0"/>
        <w:spacing w:line="560" w:lineRule="exact"/>
        <w:ind w:left="10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eastAsia="zh-CN"/>
        </w:rPr>
        <w:t>一</w:t>
      </w:r>
      <w:r>
        <w:rPr>
          <w:rFonts w:hint="eastAsia" w:ascii="仿宋_GB2312" w:hAnsi="仿宋_GB2312" w:eastAsia="仿宋_GB2312" w:cs="仿宋_GB2312"/>
          <w:color w:val="auto"/>
          <w:sz w:val="32"/>
          <w:szCs w:val="32"/>
          <w:highlight w:val="none"/>
        </w:rPr>
        <w:t>章  审计报告</w:t>
      </w:r>
    </w:p>
    <w:p>
      <w:pPr>
        <w:keepNext w:val="0"/>
        <w:keepLines w:val="0"/>
        <w:pageBreakBefore w:val="0"/>
        <w:kinsoku/>
        <w:wordWrap/>
        <w:topLinePunct w:val="0"/>
        <w:bidi w:val="0"/>
        <w:spacing w:line="560" w:lineRule="exact"/>
        <w:rPr>
          <w:rFonts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 w:hAnsi="仿宋" w:eastAsia="仿宋"/>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pStyle w:val="11"/>
        <w:keepNext w:val="0"/>
        <w:keepLines w:val="0"/>
        <w:pageBreakBefore w:val="0"/>
        <w:kinsoku/>
        <w:wordWrap/>
        <w:topLinePunct w:val="0"/>
        <w:bidi w:val="0"/>
        <w:spacing w:line="560" w:lineRule="exact"/>
        <w:rPr>
          <w:rFonts w:hint="eastAsia"/>
          <w:color w:val="auto"/>
          <w:highlight w:val="none"/>
        </w:rPr>
      </w:pPr>
    </w:p>
    <w:p>
      <w:pPr>
        <w:keepNext w:val="0"/>
        <w:keepLines w:val="0"/>
        <w:pageBreakBefore w:val="0"/>
        <w:kinsoku/>
        <w:wordWrap/>
        <w:topLinePunct w:val="0"/>
        <w:bidi w:val="0"/>
        <w:spacing w:line="560" w:lineRule="exact"/>
        <w:rPr>
          <w:rFonts w:hint="eastAsia" w:ascii="仿宋_GB2312" w:hAnsi="仿宋_GB2312" w:eastAsia="仿宋_GB2312" w:cs="仿宋_GB2312"/>
          <w:color w:val="auto"/>
          <w:sz w:val="32"/>
          <w:szCs w:val="32"/>
          <w:highlight w:val="none"/>
        </w:rPr>
      </w:pPr>
    </w:p>
    <w:p>
      <w:pPr>
        <w:keepNext w:val="0"/>
        <w:keepLines w:val="0"/>
        <w:pageBreakBefore w:val="0"/>
        <w:kinsoku/>
        <w:wordWrap/>
        <w:topLinePunct w:val="0"/>
        <w:bidi w:val="0"/>
        <w:spacing w:line="560" w:lineRule="exact"/>
        <w:jc w:val="center"/>
        <w:rPr>
          <w:rFonts w:hint="eastAsia"/>
          <w:color w:val="auto"/>
          <w:sz w:val="44"/>
          <w:szCs w:val="44"/>
          <w:highlight w:val="none"/>
          <w:lang w:val="en-US" w:eastAsia="zh-Hans"/>
        </w:rPr>
      </w:pPr>
    </w:p>
    <w:p>
      <w:pPr>
        <w:keepNext w:val="0"/>
        <w:keepLines w:val="0"/>
        <w:pageBreakBefore w:val="0"/>
        <w:numPr>
          <w:ilvl w:val="0"/>
          <w:numId w:val="0"/>
        </w:numPr>
        <w:kinsoku/>
        <w:wordWrap/>
        <w:topLinePunct w:val="0"/>
        <w:bidi w:val="0"/>
        <w:adjustRightInd w:val="0"/>
        <w:snapToGrid w:val="0"/>
        <w:spacing w:line="560" w:lineRule="exact"/>
        <w:jc w:val="center"/>
        <w:rPr>
          <w:rFonts w:hint="eastAsia" w:ascii="黑体" w:hAnsi="黑体" w:eastAsia="黑体" w:cs="黑体"/>
          <w:color w:val="auto"/>
          <w:sz w:val="36"/>
          <w:szCs w:val="36"/>
          <w:highlight w:val="none"/>
          <w:lang w:val="en-US" w:eastAsia="zh-Hans"/>
        </w:rPr>
      </w:pPr>
      <w:r>
        <w:rPr>
          <w:rFonts w:hint="eastAsia" w:ascii="黑体" w:hAnsi="黑体" w:eastAsia="黑体" w:cs="黑体"/>
          <w:color w:val="auto"/>
          <w:sz w:val="36"/>
          <w:szCs w:val="36"/>
          <w:highlight w:val="none"/>
          <w:lang w:val="en-US" w:eastAsia="zh-CN"/>
        </w:rPr>
        <w:t xml:space="preserve">第一章 </w:t>
      </w:r>
      <w:r>
        <w:rPr>
          <w:rFonts w:hint="eastAsia" w:ascii="黑体" w:hAnsi="黑体" w:eastAsia="黑体" w:cs="黑体"/>
          <w:color w:val="auto"/>
          <w:sz w:val="36"/>
          <w:szCs w:val="36"/>
          <w:highlight w:val="none"/>
          <w:lang w:val="en-US" w:eastAsia="zh-Hans"/>
        </w:rPr>
        <w:t>公司简介</w:t>
      </w:r>
    </w:p>
    <w:p>
      <w:pPr>
        <w:keepNext w:val="0"/>
        <w:keepLines w:val="0"/>
        <w:pageBreakBefore w:val="0"/>
        <w:kinsoku/>
        <w:wordWrap/>
        <w:topLinePunct w:val="0"/>
        <w:bidi w:val="0"/>
        <w:adjustRightInd w:val="0"/>
        <w:snapToGrid w:val="0"/>
        <w:spacing w:line="560" w:lineRule="exact"/>
        <w:ind w:firstLine="645"/>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cs="黑体"/>
          <w:bCs/>
          <w:color w:val="auto"/>
          <w:kern w:val="0"/>
          <w:sz w:val="32"/>
          <w:szCs w:val="32"/>
          <w:highlight w:val="none"/>
        </w:rPr>
      </w:pPr>
      <w:r>
        <w:rPr>
          <w:rFonts w:hint="eastAsia" w:ascii="黑体" w:hAnsi="黑体" w:eastAsia="黑体" w:cs="黑体"/>
          <w:bCs/>
          <w:color w:val="auto"/>
          <w:kern w:val="0"/>
          <w:sz w:val="32"/>
          <w:szCs w:val="32"/>
          <w:highlight w:val="none"/>
        </w:rPr>
        <w:t>一、基本信息</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lang w:eastAsia="zh-CN"/>
        </w:rPr>
        <w:t>（</w:t>
      </w:r>
      <w:r>
        <w:rPr>
          <w:rFonts w:hint="eastAsia" w:ascii="楷体" w:hAnsi="楷体" w:eastAsia="楷体" w:cs="楷体"/>
          <w:color w:val="auto"/>
          <w:sz w:val="32"/>
          <w:szCs w:val="32"/>
          <w:highlight w:val="none"/>
          <w:lang w:val="en-US" w:eastAsia="zh-Hans"/>
        </w:rPr>
        <w:t>一</w:t>
      </w:r>
      <w:r>
        <w:rPr>
          <w:rFonts w:hint="eastAsia" w:ascii="楷体" w:hAnsi="楷体" w:eastAsia="楷体" w:cs="楷体"/>
          <w:color w:val="auto"/>
          <w:sz w:val="32"/>
          <w:szCs w:val="32"/>
          <w:highlight w:val="none"/>
          <w:lang w:val="en-US" w:eastAsia="zh-CN"/>
        </w:rPr>
        <w:t>）</w:t>
      </w:r>
      <w:r>
        <w:rPr>
          <w:rFonts w:hint="eastAsia" w:ascii="楷体" w:hAnsi="楷体" w:eastAsia="楷体" w:cs="楷体"/>
          <w:color w:val="auto"/>
          <w:sz w:val="32"/>
          <w:szCs w:val="32"/>
          <w:highlight w:val="none"/>
        </w:rPr>
        <w:t>注册名称</w:t>
      </w:r>
      <w:r>
        <w:rPr>
          <w:rFonts w:hint="eastAsia" w:ascii="楷体" w:hAnsi="楷体" w:eastAsia="楷体" w:cs="楷体"/>
          <w:color w:val="auto"/>
          <w:sz w:val="32"/>
          <w:szCs w:val="32"/>
          <w:highlight w:val="none"/>
        </w:rPr>
        <w:tab/>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中文名称：安顺农村商业银行股份有限公司</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中文简称：安顺农商银行</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英文名称：Anshun Rural Commercial Bank Co.，Ltd.</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英文简称：Anshun Rural Commercial Bank</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英文缩写：ARCB</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lang w:val="en-US" w:eastAsia="zh-Hans"/>
        </w:rPr>
        <w:t>二</w:t>
      </w:r>
      <w:r>
        <w:rPr>
          <w:rFonts w:hint="default" w:ascii="Times New Roman" w:hAnsi="Times New Roman" w:eastAsia="楷体" w:cs="Times New Roman"/>
          <w:color w:val="auto"/>
          <w:sz w:val="32"/>
          <w:szCs w:val="32"/>
          <w:highlight w:val="none"/>
          <w:lang w:val="en-US" w:eastAsia="zh-CN"/>
        </w:rPr>
        <w:t>）</w:t>
      </w:r>
      <w:r>
        <w:rPr>
          <w:rFonts w:hint="default" w:ascii="Times New Roman" w:hAnsi="Times New Roman" w:eastAsia="楷体" w:cs="Times New Roman"/>
          <w:color w:val="auto"/>
          <w:sz w:val="32"/>
          <w:szCs w:val="32"/>
          <w:highlight w:val="none"/>
        </w:rPr>
        <w:t>性质</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本公司为股份制有限公司形式的农村商业银行，实行一级法人、统一核算、分级管理、授权经营的管理体制。</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lang w:val="en-US" w:eastAsia="zh-Hans"/>
        </w:rPr>
        <w:t>三</w:t>
      </w:r>
      <w:r>
        <w:rPr>
          <w:rFonts w:hint="default" w:ascii="Times New Roman" w:hAnsi="Times New Roman" w:eastAsia="楷体" w:cs="Times New Roman"/>
          <w:color w:val="auto"/>
          <w:sz w:val="32"/>
          <w:szCs w:val="32"/>
          <w:highlight w:val="none"/>
          <w:lang w:val="en-US" w:eastAsia="zh-CN"/>
        </w:rPr>
        <w:t>）</w:t>
      </w:r>
      <w:r>
        <w:rPr>
          <w:rFonts w:hint="default" w:ascii="Times New Roman" w:hAnsi="Times New Roman" w:eastAsia="楷体" w:cs="Times New Roman"/>
          <w:color w:val="auto"/>
          <w:sz w:val="32"/>
          <w:szCs w:val="32"/>
          <w:highlight w:val="none"/>
        </w:rPr>
        <w:t>注册资本</w:t>
      </w:r>
      <w:r>
        <w:rPr>
          <w:rFonts w:hint="default" w:ascii="Times New Roman" w:hAnsi="Times New Roman" w:eastAsia="仿宋_GB2312" w:cs="Times New Roman"/>
          <w:color w:val="auto"/>
          <w:sz w:val="32"/>
          <w:szCs w:val="32"/>
          <w:highlight w:val="none"/>
        </w:rPr>
        <w:t>：人民币364961892元。</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四</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法定代表人</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江弘</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五</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地址</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 xml:space="preserve">贵州省安顺市西秀区南华路22号 </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邮政编码：561000</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电话：0851-33320217</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传真：0851-33320217</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lang w:val="en-US" w:eastAsia="zh-Hans"/>
        </w:rPr>
        <w:t>六</w:t>
      </w:r>
      <w:r>
        <w:rPr>
          <w:rFonts w:hint="default" w:ascii="Times New Roman" w:hAnsi="Times New Roman" w:eastAsia="楷体" w:cs="Times New Roman"/>
          <w:color w:val="auto"/>
          <w:sz w:val="32"/>
          <w:szCs w:val="32"/>
          <w:highlight w:val="none"/>
          <w:lang w:val="en-US" w:eastAsia="zh-CN"/>
        </w:rPr>
        <w:t>）</w:t>
      </w:r>
      <w:r>
        <w:rPr>
          <w:rFonts w:hint="default" w:ascii="Times New Roman" w:hAnsi="Times New Roman" w:eastAsia="楷体" w:cs="Times New Roman"/>
          <w:color w:val="auto"/>
          <w:sz w:val="32"/>
          <w:szCs w:val="32"/>
          <w:highlight w:val="none"/>
        </w:rPr>
        <w:t>其他有关资料</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首次注册登记日期：2013年12月11日</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营业执照统一社会信用代码：91520400215675515G</w:t>
      </w:r>
    </w:p>
    <w:p>
      <w:pPr>
        <w:keepNext w:val="0"/>
        <w:keepLines w:val="0"/>
        <w:pageBreakBefore w:val="0"/>
        <w:widowControl w:val="0"/>
        <w:kinsoku/>
        <w:wordWrap/>
        <w:overflowPunct/>
        <w:topLinePunct w:val="0"/>
        <w:autoSpaceDE/>
        <w:autoSpaceDN/>
        <w:bidi w:val="0"/>
        <w:spacing w:line="540" w:lineRule="exact"/>
        <w:ind w:firstLine="640" w:firstLineChars="200"/>
        <w:textAlignment w:val="auto"/>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rPr>
        <w:t>聘请的会计师事务所名称：贵州永诚会计师事务所（普通合伙）</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会计师事务所地址：贵州省安顺市西秀区市东路佳佳公寓A栋二单元一楼一号</w:t>
      </w:r>
    </w:p>
    <w:p>
      <w:pPr>
        <w:keepNext w:val="0"/>
        <w:keepLines w:val="0"/>
        <w:pageBreakBefore w:val="0"/>
        <w:kinsoku/>
        <w:wordWrap/>
        <w:topLinePunct w:val="0"/>
        <w:bidi w:val="0"/>
        <w:adjustRightInd w:val="0"/>
        <w:snapToGrid w:val="0"/>
        <w:spacing w:line="560" w:lineRule="exact"/>
        <w:ind w:firstLine="800" w:firstLineChars="250"/>
        <w:rPr>
          <w:rFonts w:hint="eastAsia" w:ascii="黑体" w:hAnsi="黑体" w:eastAsia="黑体" w:cs="黑体"/>
          <w:color w:val="auto"/>
          <w:sz w:val="32"/>
          <w:szCs w:val="32"/>
          <w:highlight w:val="none"/>
        </w:rPr>
      </w:pPr>
      <w:r>
        <w:rPr>
          <w:rFonts w:hint="eastAsia" w:ascii="黑体" w:hAnsi="黑体" w:eastAsia="黑体" w:cs="黑体"/>
          <w:bCs/>
          <w:color w:val="auto"/>
          <w:kern w:val="0"/>
          <w:sz w:val="32"/>
          <w:szCs w:val="32"/>
          <w:highlight w:val="none"/>
        </w:rPr>
        <w:t>二、经营范围</w:t>
      </w:r>
    </w:p>
    <w:p>
      <w:pPr>
        <w:keepNext w:val="0"/>
        <w:keepLines w:val="0"/>
        <w:pageBreakBefore w:val="0"/>
        <w:kinsoku/>
        <w:wordWrap/>
        <w:topLinePunct w:val="0"/>
        <w:bidi w:val="0"/>
        <w:adjustRightInd w:val="0"/>
        <w:snapToGrid w:val="0"/>
        <w:spacing w:line="560" w:lineRule="exact"/>
        <w:ind w:firstLine="800" w:firstLineChars="250"/>
        <w:rPr>
          <w:rFonts w:hint="eastAsia" w:ascii="仿宋_GB2312" w:hAnsi="仿宋_GB2312" w:eastAsia="仿宋_GB2312" w:cs="仿宋_GB2312"/>
          <w:bCs/>
          <w:color w:val="auto"/>
          <w:kern w:val="0"/>
          <w:sz w:val="32"/>
          <w:szCs w:val="32"/>
          <w:highlight w:val="none"/>
        </w:rPr>
      </w:pPr>
      <w:r>
        <w:rPr>
          <w:rFonts w:hint="eastAsia" w:ascii="仿宋_GB2312" w:hAnsi="仿宋_GB2312" w:eastAsia="仿宋_GB2312" w:cs="仿宋_GB2312"/>
          <w:color w:val="auto"/>
          <w:sz w:val="32"/>
          <w:szCs w:val="32"/>
          <w:highlight w:val="none"/>
        </w:rPr>
        <w:t>吸收公众存款；发放短期、中期和长期贷款；办理国内结算；办理票据承兑与贴现；代理发行、代理兑付、承销政府债券；买卖政府债券、金融债券；从事同业拆借；从事借记卡业务；代理收付款项及代理保险业务；经中国银行业监督管理机构批准的其他业务。</w:t>
      </w:r>
    </w:p>
    <w:p>
      <w:pPr>
        <w:keepNext w:val="0"/>
        <w:keepLines w:val="0"/>
        <w:pageBreakBefore w:val="0"/>
        <w:kinsoku/>
        <w:wordWrap/>
        <w:topLinePunct w:val="0"/>
        <w:bidi w:val="0"/>
        <w:adjustRightInd w:val="0"/>
        <w:snapToGrid w:val="0"/>
        <w:spacing w:line="560" w:lineRule="exact"/>
        <w:ind w:firstLine="800" w:firstLineChars="250"/>
        <w:rPr>
          <w:rFonts w:hint="eastAsia" w:ascii="黑体" w:hAnsi="黑体" w:eastAsia="黑体" w:cs="黑体"/>
          <w:bCs/>
          <w:color w:val="auto"/>
          <w:kern w:val="0"/>
          <w:sz w:val="32"/>
          <w:szCs w:val="32"/>
          <w:highlight w:val="none"/>
        </w:rPr>
      </w:pPr>
      <w:r>
        <w:rPr>
          <w:rFonts w:hint="eastAsia" w:ascii="黑体" w:hAnsi="黑体" w:eastAsia="黑体" w:cs="黑体"/>
          <w:bCs/>
          <w:color w:val="auto"/>
          <w:kern w:val="0"/>
          <w:sz w:val="32"/>
          <w:szCs w:val="32"/>
          <w:highlight w:val="none"/>
          <w:lang w:val="en-US" w:eastAsia="zh-CN"/>
        </w:rPr>
        <w:t>三、</w:t>
      </w:r>
      <w:r>
        <w:rPr>
          <w:rFonts w:hint="eastAsia" w:ascii="黑体" w:hAnsi="黑体" w:eastAsia="黑体" w:cs="黑体"/>
          <w:bCs/>
          <w:color w:val="auto"/>
          <w:kern w:val="0"/>
          <w:sz w:val="32"/>
          <w:szCs w:val="32"/>
          <w:highlight w:val="none"/>
        </w:rPr>
        <w:t>主要经营信息</w:t>
      </w:r>
    </w:p>
    <w:p>
      <w:pPr>
        <w:pStyle w:val="11"/>
        <w:keepNext w:val="0"/>
        <w:keepLines w:val="0"/>
        <w:pageBreakBefore w:val="0"/>
        <w:numPr>
          <w:ilvl w:val="0"/>
          <w:numId w:val="0"/>
        </w:numPr>
        <w:kinsoku/>
        <w:wordWrap/>
        <w:topLinePunct w:val="0"/>
        <w:bidi w:val="0"/>
        <w:spacing w:line="560" w:lineRule="exact"/>
        <w:ind w:firstLine="5012" w:firstLineChars="1600"/>
        <w:rPr>
          <w:rFonts w:hint="eastAsia"/>
          <w:color w:val="auto"/>
          <w:highlight w:val="none"/>
          <w:lang w:eastAsia="zh-CN"/>
        </w:rPr>
      </w:pPr>
      <w:r>
        <w:rPr>
          <w:rFonts w:hint="eastAsia" w:ascii="仿宋" w:hAnsi="仿宋" w:eastAsia="仿宋"/>
          <w:color w:val="auto"/>
          <w:sz w:val="32"/>
          <w:szCs w:val="32"/>
          <w:highlight w:val="none"/>
        </w:rPr>
        <w:t>单位：人、%、万元、元</w:t>
      </w:r>
    </w:p>
    <w:tbl>
      <w:tblPr>
        <w:tblStyle w:val="12"/>
        <w:tblW w:w="83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21"/>
        <w:gridCol w:w="1530"/>
        <w:gridCol w:w="1485"/>
        <w:gridCol w:w="2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721" w:type="dxa"/>
            <w:tcBorders>
              <w:top w:val="single" w:color="000000" w:sz="8" w:space="0"/>
              <w:left w:val="single" w:color="000000" w:sz="8" w:space="0"/>
              <w:bottom w:val="single" w:color="auto" w:sz="4" w:space="0"/>
              <w:right w:val="single" w:color="auto" w:sz="4" w:space="0"/>
            </w:tcBorders>
            <w:noWrap w:val="0"/>
            <w:tcMar>
              <w:top w:w="15" w:type="dxa"/>
              <w:left w:w="15" w:type="dxa"/>
              <w:right w:w="15" w:type="dxa"/>
            </w:tcMar>
            <w:vAlign w:val="bottom"/>
            <mc:AlternateContent>
              <mc:Choice Requires="wpsCustomData">
                <wpsCustomData:diagonals>
                  <wpsCustomData:diagonal from="10000" to="30000">
                    <wpsCustomData:border w:val="single" w:color="000000" w:sz="8" w:space="0"/>
                  </wpsCustomData:diagonal>
                </wpsCustomData:diagonals>
              </mc:Choice>
            </mc:AlternateContent>
          </w:tcPr>
          <w:p>
            <w:pPr>
              <w:keepNext w:val="0"/>
              <w:keepLines w:val="0"/>
              <w:pageBreakBefore w:val="0"/>
              <w:widowControl/>
              <w:kinsoku/>
              <w:wordWrap/>
              <w:topLinePunct w:val="0"/>
              <w:bidi w:val="0"/>
              <w:adjustRightInd w:val="0"/>
              <w:snapToGrid w:val="0"/>
              <w:spacing w:line="560" w:lineRule="exact"/>
              <w:jc w:val="center"/>
              <mc:AlternateContent>
                <mc:Choice Requires="wpsCustomData">
                  <wpsCustomData:diagonalParaType/>
                </mc:Choice>
              </mc:AlternateConten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 xml:space="preserve">            </w:t>
            </w:r>
            <w:r>
              <w:rPr>
                <w:rFonts w:hint="eastAsia" w:ascii="仿宋" w:hAnsi="仿宋" w:eastAsia="仿宋" w:cs="宋体"/>
                <w:color w:val="auto"/>
                <w:kern w:val="0"/>
                <w:sz w:val="24"/>
                <w:highlight w:val="none"/>
                <w:lang w:eastAsia="zh-CN"/>
              </w:rPr>
              <w:t>指标</w:t>
            </w:r>
          </w:p>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时期</w:t>
            </w:r>
          </w:p>
        </w:tc>
        <w:tc>
          <w:tcPr>
            <w:tcW w:w="1530" w:type="dxa"/>
            <w:tcBorders>
              <w:top w:val="single" w:color="000000" w:sz="8" w:space="0"/>
              <w:left w:val="single" w:color="auto" w:sz="4" w:space="0"/>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报告期</w:t>
            </w:r>
          </w:p>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lang w:val="en-US" w:eastAsia="zh-CN"/>
              </w:rPr>
              <w:t>（2023年末）</w:t>
            </w:r>
          </w:p>
        </w:tc>
        <w:tc>
          <w:tcPr>
            <w:tcW w:w="1485" w:type="dxa"/>
            <w:tcBorders>
              <w:top w:val="single" w:color="000000" w:sz="8" w:space="0"/>
              <w:left w:val="nil"/>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报告期</w:t>
            </w:r>
          </w:p>
          <w:p>
            <w:pPr>
              <w:keepNext w:val="0"/>
              <w:keepLines w:val="0"/>
              <w:pageBreakBefore w:val="0"/>
              <w:widowControl/>
              <w:kinsoku/>
              <w:wordWrap/>
              <w:topLinePunct w:val="0"/>
              <w:bidi w:val="0"/>
              <w:adjustRightInd w:val="0"/>
              <w:snapToGrid w:val="0"/>
              <w:spacing w:line="560" w:lineRule="exact"/>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（2024年末）</w:t>
            </w:r>
          </w:p>
        </w:tc>
        <w:tc>
          <w:tcPr>
            <w:tcW w:w="2662" w:type="dxa"/>
            <w:tcBorders>
              <w:top w:val="single" w:color="000000" w:sz="8" w:space="0"/>
              <w:left w:val="nil"/>
              <w:bottom w:val="single" w:color="auto" w:sz="4" w:space="0"/>
              <w:right w:val="single" w:color="000000" w:sz="8"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500" w:lineRule="exact"/>
              <w:jc w:val="center"/>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增减幅度（%、百分点）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trPr>
        <w:tc>
          <w:tcPr>
            <w:tcW w:w="2721" w:type="dxa"/>
            <w:tcBorders>
              <w:top w:val="single" w:color="auto" w:sz="4" w:space="0"/>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职工人数</w:t>
            </w:r>
          </w:p>
        </w:tc>
        <w:tc>
          <w:tcPr>
            <w:tcW w:w="153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i w:val="0"/>
                <w:iCs w:val="0"/>
                <w:color w:val="auto"/>
                <w:kern w:val="0"/>
                <w:sz w:val="24"/>
                <w:szCs w:val="24"/>
                <w:highlight w:val="none"/>
                <w:u w:val="none"/>
                <w:lang w:val="en-US" w:eastAsia="zh-CN" w:bidi="ar"/>
              </w:rPr>
              <w:t>435</w:t>
            </w:r>
          </w:p>
        </w:tc>
        <w:tc>
          <w:tcPr>
            <w:tcW w:w="1485"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428</w:t>
            </w:r>
          </w:p>
        </w:tc>
        <w:tc>
          <w:tcPr>
            <w:tcW w:w="2662"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highlight w:val="none"/>
                <w:lang w:val="en-US" w:eastAsia="zh-CN"/>
              </w:rPr>
            </w:pPr>
            <w:r>
              <w:rPr>
                <w:rFonts w:hint="default" w:ascii="Times New Roman" w:hAnsi="Times New Roman" w:eastAsia="宋体" w:cs="Times New Roman"/>
                <w:i w:val="0"/>
                <w:iCs w:val="0"/>
                <w:color w:val="auto"/>
                <w:kern w:val="0"/>
                <w:sz w:val="24"/>
                <w:szCs w:val="24"/>
                <w:highlight w:val="none"/>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股东人数</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14</w:t>
            </w:r>
            <w:r>
              <w:rPr>
                <w:rFonts w:hint="eastAsia" w:eastAsia="仿宋" w:cs="Times New Roman"/>
                <w:i w:val="0"/>
                <w:iCs w:val="0"/>
                <w:color w:val="auto"/>
                <w:kern w:val="0"/>
                <w:sz w:val="24"/>
                <w:szCs w:val="24"/>
                <w:highlight w:val="none"/>
                <w:u w:val="none"/>
                <w:lang w:val="en-US" w:eastAsia="zh-CN" w:bidi="ar"/>
              </w:rPr>
              <w:t>88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1483</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股本金总额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36496.19</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36496.19</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资产总额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1650048.94</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1710020.64</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负债总额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1511178.03</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1570421.62</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各项存款</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1263191.68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1318748.84</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各项贷款</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1189836.18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1161713</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所有者权益</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138870.91</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139599.02</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利润总额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9223.11</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7660.09</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净利润</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6050.18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6655.17</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净息差</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3.56%</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3.58%</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资产收益率</w:t>
            </w:r>
          </w:p>
        </w:tc>
        <w:tc>
          <w:tcPr>
            <w:tcW w:w="1530"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0.38%</w:t>
            </w:r>
          </w:p>
        </w:tc>
        <w:tc>
          <w:tcPr>
            <w:tcW w:w="1485"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0.40%</w:t>
            </w:r>
          </w:p>
        </w:tc>
        <w:tc>
          <w:tcPr>
            <w:tcW w:w="2662"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single" w:color="auto" w:sz="4" w:space="0"/>
              <w:left w:val="single" w:color="auto" w:sz="4"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平均净资产收益率</w:t>
            </w:r>
          </w:p>
        </w:tc>
        <w:tc>
          <w:tcPr>
            <w:tcW w:w="153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4.49%</w:t>
            </w:r>
          </w:p>
        </w:tc>
        <w:tc>
          <w:tcPr>
            <w:tcW w:w="1485"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4.78%</w:t>
            </w:r>
          </w:p>
        </w:tc>
        <w:tc>
          <w:tcPr>
            <w:tcW w:w="2662" w:type="dxa"/>
            <w:tcBorders>
              <w:top w:val="single" w:color="auto" w:sz="4" w:space="0"/>
              <w:left w:val="nil"/>
              <w:bottom w:val="single" w:color="000000" w:sz="8"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3"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成本收入比</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51.70%</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44.94%</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3"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资本净额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148525.78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144117.76</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核心资本</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135115.79</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130911.76</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资本充足率</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12.51%</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12.30%</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核心资本充足率</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11.38%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11.17%</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不良贷款率</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4.12%</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4.10%</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3" w:hRule="atLeast"/>
        </w:trPr>
        <w:tc>
          <w:tcPr>
            <w:tcW w:w="2721" w:type="dxa"/>
            <w:tcBorders>
              <w:top w:val="nil"/>
              <w:left w:val="single" w:color="000000" w:sz="8" w:space="0"/>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贷款减值准备</w:t>
            </w:r>
          </w:p>
        </w:tc>
        <w:tc>
          <w:tcPr>
            <w:tcW w:w="1530"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81717.66</w:t>
            </w:r>
          </w:p>
        </w:tc>
        <w:tc>
          <w:tcPr>
            <w:tcW w:w="1485"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79579.31</w:t>
            </w:r>
          </w:p>
        </w:tc>
        <w:tc>
          <w:tcPr>
            <w:tcW w:w="2662"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single" w:color="auto" w:sz="4" w:space="0"/>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拨备覆盖率</w:t>
            </w:r>
          </w:p>
        </w:tc>
        <w:tc>
          <w:tcPr>
            <w:tcW w:w="153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166.86%</w:t>
            </w:r>
          </w:p>
        </w:tc>
        <w:tc>
          <w:tcPr>
            <w:tcW w:w="1485"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167.04%</w:t>
            </w:r>
          </w:p>
        </w:tc>
        <w:tc>
          <w:tcPr>
            <w:tcW w:w="2662" w:type="dxa"/>
            <w:tcBorders>
              <w:top w:val="single" w:color="auto" w:sz="4" w:space="0"/>
              <w:left w:val="nil"/>
              <w:bottom w:val="single" w:color="000000" w:sz="8"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流动性比例</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44.28%</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44.75%</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auto" w:sz="4"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存贷比</w:t>
            </w:r>
          </w:p>
        </w:tc>
        <w:tc>
          <w:tcPr>
            <w:tcW w:w="1530"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84.00%</w:t>
            </w:r>
          </w:p>
        </w:tc>
        <w:tc>
          <w:tcPr>
            <w:tcW w:w="1485"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77.94%</w:t>
            </w:r>
          </w:p>
        </w:tc>
        <w:tc>
          <w:tcPr>
            <w:tcW w:w="2662" w:type="dxa"/>
            <w:tcBorders>
              <w:top w:val="nil"/>
              <w:left w:val="nil"/>
              <w:bottom w:val="single" w:color="auto"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3" w:hRule="atLeast"/>
        </w:trPr>
        <w:tc>
          <w:tcPr>
            <w:tcW w:w="2721" w:type="dxa"/>
            <w:tcBorders>
              <w:top w:val="single" w:color="auto" w:sz="4" w:space="0"/>
              <w:left w:val="single" w:color="auto" w:sz="4"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不良贷款余额</w:t>
            </w:r>
          </w:p>
        </w:tc>
        <w:tc>
          <w:tcPr>
            <w:tcW w:w="153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48974.96</w:t>
            </w:r>
          </w:p>
        </w:tc>
        <w:tc>
          <w:tcPr>
            <w:tcW w:w="1485"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47639.71</w:t>
            </w:r>
          </w:p>
        </w:tc>
        <w:tc>
          <w:tcPr>
            <w:tcW w:w="2662" w:type="dxa"/>
            <w:tcBorders>
              <w:top w:val="single" w:color="auto" w:sz="4" w:space="0"/>
              <w:left w:val="nil"/>
              <w:bottom w:val="single" w:color="000000" w:sz="8"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收入总额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84050.9</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86572.87</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费用总额</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27323.47</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26231.59</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经营利润</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24612.49</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31330.61</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27.30%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每股红利</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0.03</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0.03</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每股收益</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0.17</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0.18</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2721" w:type="dxa"/>
            <w:tcBorders>
              <w:top w:val="nil"/>
              <w:left w:val="single" w:color="000000" w:sz="8" w:space="0"/>
              <w:bottom w:val="single" w:color="000000" w:sz="8" w:space="0"/>
              <w:right w:val="single" w:color="000000" w:sz="8" w:space="0"/>
            </w:tcBorders>
            <w:noWrap w:val="0"/>
            <w:tcMar>
              <w:top w:w="15" w:type="dxa"/>
              <w:left w:w="15" w:type="dxa"/>
              <w:right w:w="15" w:type="dxa"/>
            </w:tcMar>
            <w:vAlign w:val="bottom"/>
          </w:tcPr>
          <w:p>
            <w:pPr>
              <w:keepNext w:val="0"/>
              <w:keepLines w:val="0"/>
              <w:pageBreakBefore w:val="0"/>
              <w:widowControl/>
              <w:kinsoku/>
              <w:wordWrap/>
              <w:topLinePunct w:val="0"/>
              <w:bidi w:val="0"/>
              <w:adjustRightInd w:val="0"/>
              <w:snapToGrid w:val="0"/>
              <w:spacing w:line="560" w:lineRule="exact"/>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val="en-US" w:eastAsia="zh-CN"/>
              </w:rPr>
              <w:t>每股净资产</w:t>
            </w:r>
          </w:p>
        </w:tc>
        <w:tc>
          <w:tcPr>
            <w:tcW w:w="1530"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3.81</w:t>
            </w:r>
          </w:p>
        </w:tc>
        <w:tc>
          <w:tcPr>
            <w:tcW w:w="1485"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3.83</w:t>
            </w:r>
          </w:p>
        </w:tc>
        <w:tc>
          <w:tcPr>
            <w:tcW w:w="266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0.52%</w:t>
            </w:r>
          </w:p>
        </w:tc>
      </w:tr>
    </w:tbl>
    <w:p>
      <w:pPr>
        <w:pStyle w:val="14"/>
        <w:keepNext w:val="0"/>
        <w:keepLines w:val="0"/>
        <w:pageBreakBefore w:val="0"/>
        <w:kinsoku/>
        <w:wordWrap/>
        <w:topLinePunct w:val="0"/>
        <w:bidi w:val="0"/>
        <w:adjustRightInd w:val="0"/>
        <w:snapToGrid w:val="0"/>
        <w:spacing w:line="560" w:lineRule="exact"/>
        <w:ind w:left="4800" w:leftChars="200" w:hanging="4160" w:hangingChars="1300"/>
        <w:rPr>
          <w:rFonts w:hint="default" w:ascii="仿宋_GB2312" w:hAnsi="仿宋_GB2312" w:eastAsia="仿宋_GB2312" w:cs="仿宋_GB2312"/>
          <w:color w:val="auto"/>
          <w:kern w:val="0"/>
          <w:sz w:val="28"/>
          <w:szCs w:val="28"/>
          <w:highlight w:val="none"/>
          <w:lang w:val="en-US"/>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kern w:val="0"/>
          <w:sz w:val="28"/>
          <w:szCs w:val="28"/>
          <w:highlight w:val="none"/>
        </w:rPr>
        <w:t>备注</w:t>
      </w:r>
      <w:r>
        <w:rPr>
          <w:rFonts w:hint="eastAsia" w:ascii="仿宋_GB2312" w:hAnsi="仿宋_GB2312" w:eastAsia="仿宋_GB2312" w:cs="仿宋_GB2312"/>
          <w:color w:val="auto"/>
          <w:kern w:val="0"/>
          <w:sz w:val="28"/>
          <w:szCs w:val="2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1.职工人数为在岗人数，含高管，不含派遣员工，不含内退人员。</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2.数据来源于安顺农村商业银行股份有限公司1104报表。</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3.表中的“资本净额</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核心资本</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资本充足率”、“核心资本充足率”是</w:t>
      </w:r>
      <w:r>
        <w:rPr>
          <w:rFonts w:hint="eastAsia" w:ascii="仿宋_GB2312" w:hAnsi="仿宋_GB2312" w:eastAsia="仿宋_GB2312" w:cs="仿宋_GB2312"/>
          <w:color w:val="auto"/>
          <w:sz w:val="28"/>
          <w:szCs w:val="28"/>
          <w:highlight w:val="none"/>
        </w:rPr>
        <w:t>按新资本管理办法口径计算。</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4.表中的“清收不良贷款额”指以现金方式收回上一年底前形成的不良贷款金额，不含以物抵债、转化贷款</w:t>
      </w:r>
      <w:r>
        <w:rPr>
          <w:rFonts w:hint="eastAsia" w:ascii="仿宋_GB2312" w:hAnsi="仿宋_GB2312" w:eastAsia="仿宋_GB2312" w:cs="仿宋_GB2312"/>
          <w:color w:val="auto"/>
          <w:kern w:val="0"/>
          <w:sz w:val="28"/>
          <w:szCs w:val="28"/>
          <w:highlight w:val="none"/>
          <w:lang w:eastAsia="zh-CN"/>
        </w:rPr>
        <w:t>和呆账</w:t>
      </w:r>
      <w:r>
        <w:rPr>
          <w:rFonts w:hint="eastAsia" w:ascii="仿宋_GB2312" w:hAnsi="仿宋_GB2312" w:eastAsia="仿宋_GB2312" w:cs="仿宋_GB2312"/>
          <w:color w:val="auto"/>
          <w:kern w:val="0"/>
          <w:sz w:val="28"/>
          <w:szCs w:val="28"/>
          <w:highlight w:val="none"/>
        </w:rPr>
        <w:t>核销金额。</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5.表中的“费用总额”指营业费用总额。</w:t>
      </w:r>
    </w:p>
    <w:p>
      <w:pPr>
        <w:keepNext w:val="0"/>
        <w:keepLines w:val="0"/>
        <w:pageBreakBefore w:val="0"/>
        <w:widowControl/>
        <w:kinsoku/>
        <w:wordWrap/>
        <w:overflowPunct/>
        <w:topLinePunct w:val="0"/>
        <w:autoSpaceDE/>
        <w:autoSpaceDN/>
        <w:bidi w:val="0"/>
        <w:adjustRightInd w:val="0"/>
        <w:snapToGrid w:val="0"/>
        <w:spacing w:line="480" w:lineRule="exact"/>
        <w:ind w:firstLine="630" w:firstLineChars="225"/>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6.表中的“经营利润”指利润总额加当年提取的资产减值准备金。</w:t>
      </w:r>
    </w:p>
    <w:p>
      <w:pPr>
        <w:keepNext w:val="0"/>
        <w:keepLines w:val="0"/>
        <w:pageBreakBefore w:val="0"/>
        <w:widowControl/>
        <w:kinsoku/>
        <w:wordWrap/>
        <w:overflowPunct/>
        <w:topLinePunct w:val="0"/>
        <w:autoSpaceDE/>
        <w:autoSpaceDN/>
        <w:bidi w:val="0"/>
        <w:adjustRightInd w:val="0"/>
        <w:snapToGrid w:val="0"/>
        <w:spacing w:line="480" w:lineRule="exact"/>
        <w:ind w:firstLine="630" w:firstLineChars="225"/>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7.表中的“利润总额”指税前账面利润。</w:t>
      </w:r>
    </w:p>
    <w:p>
      <w:pPr>
        <w:keepNext w:val="0"/>
        <w:keepLines w:val="0"/>
        <w:pageBreakBefore w:val="0"/>
        <w:widowControl/>
        <w:kinsoku/>
        <w:wordWrap/>
        <w:overflowPunct/>
        <w:topLinePunct w:val="0"/>
        <w:autoSpaceDE/>
        <w:autoSpaceDN/>
        <w:bidi w:val="0"/>
        <w:adjustRightInd w:val="0"/>
        <w:snapToGrid w:val="0"/>
        <w:spacing w:line="480" w:lineRule="exact"/>
        <w:ind w:firstLine="630" w:firstLineChars="225"/>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8.表中的“每股红利”分别指安顺农村商业银行股份有限公司股东大会审议通过后的20</w:t>
      </w:r>
      <w:r>
        <w:rPr>
          <w:rFonts w:hint="eastAsia" w:ascii="仿宋_GB2312" w:hAnsi="仿宋_GB2312" w:eastAsia="仿宋_GB2312" w:cs="仿宋_GB2312"/>
          <w:color w:val="auto"/>
          <w:kern w:val="0"/>
          <w:sz w:val="28"/>
          <w:szCs w:val="28"/>
          <w:highlight w:val="none"/>
          <w:lang w:val="en-US" w:eastAsia="zh-CN"/>
        </w:rPr>
        <w:t>23</w:t>
      </w:r>
      <w:r>
        <w:rPr>
          <w:rFonts w:hint="eastAsia" w:ascii="仿宋_GB2312" w:hAnsi="仿宋_GB2312" w:eastAsia="仿宋_GB2312" w:cs="仿宋_GB2312"/>
          <w:color w:val="auto"/>
          <w:kern w:val="0"/>
          <w:sz w:val="28"/>
          <w:szCs w:val="28"/>
          <w:highlight w:val="none"/>
        </w:rPr>
        <w:t>年度股金分红比例为</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rPr>
        <w:t>%（含个人所得税</w:t>
      </w:r>
      <w:r>
        <w:rPr>
          <w:rFonts w:hint="eastAsia" w:ascii="仿宋_GB2312" w:hAnsi="仿宋_GB2312" w:eastAsia="仿宋_GB2312" w:cs="仿宋_GB2312"/>
          <w:color w:val="auto"/>
          <w:kern w:val="0"/>
          <w:sz w:val="28"/>
          <w:szCs w:val="28"/>
          <w:highlight w:val="none"/>
          <w:lang w:eastAsia="zh-CN"/>
        </w:rPr>
        <w:t>，全部以现金分红比例的方式计算</w:t>
      </w:r>
      <w:r>
        <w:rPr>
          <w:rFonts w:hint="eastAsia" w:ascii="仿宋_GB2312" w:hAnsi="仿宋_GB2312" w:eastAsia="仿宋_GB2312" w:cs="仿宋_GB2312"/>
          <w:color w:val="auto"/>
          <w:kern w:val="0"/>
          <w:sz w:val="28"/>
          <w:szCs w:val="28"/>
          <w:highlight w:val="none"/>
        </w:rPr>
        <w:t>）；20</w:t>
      </w:r>
      <w:r>
        <w:rPr>
          <w:rFonts w:hint="eastAsia" w:ascii="仿宋_GB2312" w:hAnsi="仿宋_GB2312" w:eastAsia="仿宋_GB2312" w:cs="仿宋_GB2312"/>
          <w:color w:val="auto"/>
          <w:kern w:val="0"/>
          <w:sz w:val="28"/>
          <w:szCs w:val="28"/>
          <w:highlight w:val="none"/>
          <w:lang w:val="en-US" w:eastAsia="zh-CN"/>
        </w:rPr>
        <w:t>24</w:t>
      </w:r>
      <w:r>
        <w:rPr>
          <w:rFonts w:hint="eastAsia" w:ascii="仿宋_GB2312" w:hAnsi="仿宋_GB2312" w:eastAsia="仿宋_GB2312" w:cs="仿宋_GB2312"/>
          <w:color w:val="auto"/>
          <w:kern w:val="0"/>
          <w:sz w:val="28"/>
          <w:szCs w:val="28"/>
          <w:highlight w:val="none"/>
        </w:rPr>
        <w:t>年度股金分红比例为</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rPr>
        <w:t>%（含个人所得税</w:t>
      </w:r>
      <w:r>
        <w:rPr>
          <w:rFonts w:hint="eastAsia" w:ascii="仿宋_GB2312" w:hAnsi="仿宋_GB2312" w:eastAsia="仿宋_GB2312" w:cs="仿宋_GB2312"/>
          <w:color w:val="auto"/>
          <w:kern w:val="0"/>
          <w:sz w:val="28"/>
          <w:szCs w:val="28"/>
          <w:highlight w:val="none"/>
          <w:lang w:eastAsia="zh-CN"/>
        </w:rPr>
        <w:t>，全部以现金分红比例的方式计算</w:t>
      </w:r>
      <w:r>
        <w:rPr>
          <w:rFonts w:hint="eastAsia" w:ascii="仿宋_GB2312" w:hAnsi="仿宋_GB2312" w:eastAsia="仿宋_GB2312" w:cs="仿宋_GB2312"/>
          <w:color w:val="auto"/>
          <w:kern w:val="0"/>
          <w:sz w:val="28"/>
          <w:szCs w:val="28"/>
          <w:highlight w:val="none"/>
        </w:rPr>
        <w:t>）。</w:t>
      </w:r>
    </w:p>
    <w:p>
      <w:pPr>
        <w:pStyle w:val="10"/>
        <w:rPr>
          <w:rFonts w:hint="eastAsia"/>
          <w:color w:val="auto"/>
          <w:highlight w:val="none"/>
        </w:rPr>
      </w:pPr>
    </w:p>
    <w:p>
      <w:pPr>
        <w:keepNext w:val="0"/>
        <w:keepLines w:val="0"/>
        <w:pageBreakBefore w:val="0"/>
        <w:numPr>
          <w:ilvl w:val="0"/>
          <w:numId w:val="1"/>
        </w:numPr>
        <w:kinsoku/>
        <w:wordWrap/>
        <w:topLinePunct w:val="0"/>
        <w:bidi w:val="0"/>
        <w:adjustRightInd w:val="0"/>
        <w:snapToGrid w:val="0"/>
        <w:spacing w:line="560" w:lineRule="exact"/>
        <w:jc w:val="center"/>
        <w:rPr>
          <w:rFonts w:hint="eastAsia" w:ascii="黑体" w:hAnsi="黑体" w:eastAsia="黑体" w:cs="黑体"/>
          <w:b w:val="0"/>
          <w:bCs/>
          <w:color w:val="auto"/>
          <w:sz w:val="36"/>
          <w:szCs w:val="36"/>
          <w:highlight w:val="none"/>
          <w:lang w:val="en-US" w:eastAsia="zh-CN"/>
        </w:rPr>
      </w:pPr>
      <w:r>
        <w:rPr>
          <w:rFonts w:hint="eastAsia" w:ascii="黑体" w:hAnsi="黑体" w:eastAsia="黑体" w:cs="黑体"/>
          <w:b w:val="0"/>
          <w:bCs/>
          <w:color w:val="auto"/>
          <w:sz w:val="36"/>
          <w:szCs w:val="36"/>
          <w:highlight w:val="none"/>
          <w:lang w:val="en-US" w:eastAsia="zh-CN"/>
        </w:rPr>
        <w:t xml:space="preserve">  股本变动和股东情况</w:t>
      </w:r>
    </w:p>
    <w:p>
      <w:pPr>
        <w:pStyle w:val="11"/>
        <w:keepNext w:val="0"/>
        <w:keepLines w:val="0"/>
        <w:pageBreakBefore w:val="0"/>
        <w:kinsoku/>
        <w:wordWrap/>
        <w:topLinePunct w:val="0"/>
        <w:bidi w:val="0"/>
        <w:spacing w:line="560" w:lineRule="exact"/>
        <w:rPr>
          <w:rFonts w:hint="eastAsia"/>
          <w:color w:val="auto"/>
          <w:highlight w:val="none"/>
          <w:lang w:val="en-US" w:eastAsia="zh-CN"/>
        </w:rPr>
      </w:pPr>
    </w:p>
    <w:p>
      <w:pPr>
        <w:pStyle w:val="6"/>
        <w:keepNext w:val="0"/>
        <w:keepLines w:val="0"/>
        <w:pageBreakBefore w:val="0"/>
        <w:tabs>
          <w:tab w:val="left" w:pos="8640"/>
        </w:tabs>
        <w:kinsoku/>
        <w:wordWrap/>
        <w:topLinePunct w:val="0"/>
        <w:bidi w:val="0"/>
        <w:spacing w:line="560" w:lineRule="exact"/>
        <w:ind w:firstLine="624"/>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一、报告期内股本总额及股权结构变动情况</w:t>
      </w:r>
    </w:p>
    <w:p>
      <w:pPr>
        <w:pStyle w:val="6"/>
        <w:keepNext w:val="0"/>
        <w:keepLines w:val="0"/>
        <w:pageBreakBefore w:val="0"/>
        <w:tabs>
          <w:tab w:val="left" w:pos="8640"/>
        </w:tabs>
        <w:kinsoku/>
        <w:wordWrap/>
        <w:topLinePunct w:val="0"/>
        <w:bidi w:val="0"/>
        <w:spacing w:line="560" w:lineRule="exact"/>
        <w:ind w:firstLine="624"/>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（一）报告期内股本总额变动情况</w:t>
      </w:r>
    </w:p>
    <w:p>
      <w:pPr>
        <w:pStyle w:val="6"/>
        <w:keepNext w:val="0"/>
        <w:keepLines w:val="0"/>
        <w:pageBreakBefore w:val="0"/>
        <w:widowControl w:val="0"/>
        <w:tabs>
          <w:tab w:val="left" w:pos="8640"/>
        </w:tabs>
        <w:kinsoku/>
        <w:wordWrap/>
        <w:overflowPunct/>
        <w:topLinePunct w:val="0"/>
        <w:autoSpaceDE/>
        <w:autoSpaceDN/>
        <w:bidi w:val="0"/>
        <w:adjustRightInd/>
        <w:snapToGrid/>
        <w:spacing w:line="540" w:lineRule="exact"/>
        <w:ind w:firstLine="624"/>
        <w:textAlignment w:val="auto"/>
        <w:rPr>
          <w:rFonts w:hint="default" w:ascii="Times New Roman" w:hAnsi="Times New Roman" w:eastAsia="仿宋_GB2312" w:cs="Times New Roman"/>
          <w:color w:val="auto"/>
          <w:spacing w:val="-20"/>
          <w:sz w:val="32"/>
          <w:szCs w:val="32"/>
          <w:highlight w:val="none"/>
        </w:rPr>
      </w:pPr>
      <w:r>
        <w:rPr>
          <w:rFonts w:hint="default" w:ascii="Times New Roman" w:hAnsi="Times New Roman" w:eastAsia="仿宋_GB2312" w:cs="Times New Roman"/>
          <w:color w:val="auto"/>
          <w:spacing w:val="-20"/>
          <w:sz w:val="32"/>
          <w:szCs w:val="32"/>
          <w:highlight w:val="none"/>
        </w:rPr>
        <w:t>报告期末，本行股本总额为</w:t>
      </w:r>
      <w:r>
        <w:rPr>
          <w:rFonts w:hint="default" w:ascii="Times New Roman" w:hAnsi="Times New Roman" w:eastAsia="仿宋_GB2312" w:cs="Times New Roman"/>
          <w:color w:val="auto"/>
          <w:sz w:val="32"/>
          <w:szCs w:val="32"/>
          <w:highlight w:val="none"/>
        </w:rPr>
        <w:t>364961892</w:t>
      </w:r>
      <w:r>
        <w:rPr>
          <w:rFonts w:hint="default" w:ascii="Times New Roman" w:hAnsi="Times New Roman" w:eastAsia="仿宋_GB2312" w:cs="Times New Roman"/>
          <w:color w:val="auto"/>
          <w:spacing w:val="-20"/>
          <w:sz w:val="32"/>
          <w:szCs w:val="32"/>
          <w:highlight w:val="none"/>
        </w:rPr>
        <w:t>股，其中法人股12户</w:t>
      </w:r>
      <w:r>
        <w:rPr>
          <w:rFonts w:hint="default" w:ascii="Times New Roman" w:hAnsi="Times New Roman" w:eastAsia="仿宋_GB2312" w:cs="Times New Roman"/>
          <w:color w:val="auto"/>
          <w:spacing w:val="-20"/>
          <w:sz w:val="32"/>
          <w:szCs w:val="32"/>
          <w:highlight w:val="none"/>
          <w:lang w:eastAsia="zh-CN"/>
        </w:rPr>
        <w:t>，</w:t>
      </w:r>
      <w:r>
        <w:rPr>
          <w:rFonts w:hint="default" w:ascii="Times New Roman" w:hAnsi="Times New Roman" w:eastAsia="仿宋_GB2312" w:cs="Times New Roman"/>
          <w:color w:val="auto"/>
          <w:spacing w:val="-20"/>
          <w:sz w:val="32"/>
          <w:szCs w:val="32"/>
          <w:highlight w:val="none"/>
        </w:rPr>
        <w:t>合计</w:t>
      </w:r>
      <w:r>
        <w:rPr>
          <w:rFonts w:hint="default" w:ascii="Times New Roman" w:hAnsi="Times New Roman" w:eastAsia="仿宋_GB2312" w:cs="Times New Roman"/>
          <w:color w:val="auto"/>
          <w:sz w:val="32"/>
          <w:szCs w:val="32"/>
          <w:highlight w:val="none"/>
        </w:rPr>
        <w:t>204265105股</w:t>
      </w:r>
      <w:r>
        <w:rPr>
          <w:rFonts w:hint="default" w:ascii="Times New Roman" w:hAnsi="Times New Roman" w:eastAsia="仿宋_GB2312" w:cs="Times New Roman"/>
          <w:color w:val="auto"/>
          <w:spacing w:val="-20"/>
          <w:sz w:val="32"/>
          <w:szCs w:val="32"/>
          <w:highlight w:val="none"/>
        </w:rPr>
        <w:t>，占股本总额的55.97％；自然人股</w:t>
      </w:r>
      <w:r>
        <w:rPr>
          <w:rFonts w:hint="default" w:ascii="Times New Roman" w:hAnsi="Times New Roman" w:eastAsia="仿宋_GB2312" w:cs="Times New Roman"/>
          <w:color w:val="auto"/>
          <w:spacing w:val="-20"/>
          <w:sz w:val="32"/>
          <w:szCs w:val="32"/>
          <w:highlight w:val="none"/>
          <w:lang w:val="en-US" w:eastAsia="zh-CN"/>
        </w:rPr>
        <w:t>147</w:t>
      </w:r>
      <w:r>
        <w:rPr>
          <w:rFonts w:hint="eastAsia" w:ascii="Times New Roman" w:hAnsi="Times New Roman" w:eastAsia="仿宋_GB2312" w:cs="Times New Roman"/>
          <w:color w:val="auto"/>
          <w:spacing w:val="-20"/>
          <w:sz w:val="32"/>
          <w:szCs w:val="32"/>
          <w:highlight w:val="none"/>
          <w:lang w:val="en-US" w:eastAsia="zh-CN"/>
        </w:rPr>
        <w:t>1</w:t>
      </w:r>
      <w:r>
        <w:rPr>
          <w:rFonts w:hint="default" w:ascii="Times New Roman" w:hAnsi="Times New Roman" w:eastAsia="仿宋_GB2312" w:cs="Times New Roman"/>
          <w:color w:val="auto"/>
          <w:spacing w:val="-20"/>
          <w:sz w:val="32"/>
          <w:szCs w:val="32"/>
          <w:highlight w:val="none"/>
        </w:rPr>
        <w:t>户合计</w:t>
      </w:r>
      <w:r>
        <w:rPr>
          <w:rFonts w:hint="default" w:ascii="Times New Roman" w:hAnsi="Times New Roman" w:eastAsia="仿宋_GB2312" w:cs="Times New Roman"/>
          <w:color w:val="auto"/>
          <w:sz w:val="32"/>
          <w:szCs w:val="32"/>
          <w:highlight w:val="none"/>
        </w:rPr>
        <w:t>160696787</w:t>
      </w:r>
      <w:r>
        <w:rPr>
          <w:rFonts w:hint="default" w:ascii="Times New Roman" w:hAnsi="Times New Roman" w:eastAsia="仿宋_GB2312" w:cs="Times New Roman"/>
          <w:color w:val="auto"/>
          <w:spacing w:val="-20"/>
          <w:sz w:val="32"/>
          <w:szCs w:val="32"/>
          <w:highlight w:val="none"/>
        </w:rPr>
        <w:t>股，占股本总额的44.03％。</w:t>
      </w:r>
      <w:r>
        <w:rPr>
          <w:rFonts w:hint="default" w:ascii="Times New Roman" w:hAnsi="Times New Roman" w:eastAsia="仿宋_GB2312" w:cs="Times New Roman"/>
          <w:color w:val="auto"/>
          <w:sz w:val="32"/>
          <w:szCs w:val="32"/>
          <w:highlight w:val="none"/>
        </w:rPr>
        <w:t>2016年度利润转增注册资本13695349元，注册资本由342399712元变更为356095061元，2017年度利润转增注册资本8866831元，注册资本由356095061元变更为364961892元。</w:t>
      </w:r>
    </w:p>
    <w:tbl>
      <w:tblPr>
        <w:tblStyle w:val="12"/>
        <w:tblpPr w:leftFromText="180" w:rightFromText="180" w:vertAnchor="text" w:horzAnchor="page" w:tblpX="1761" w:tblpY="769"/>
        <w:tblOverlap w:val="never"/>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750"/>
        <w:gridCol w:w="1410"/>
        <w:gridCol w:w="1095"/>
        <w:gridCol w:w="750"/>
        <w:gridCol w:w="141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95" w:type="dxa"/>
            <w:vMerge w:val="restart"/>
            <w:noWrap w:val="0"/>
            <w:vAlign w:val="center"/>
          </w:tcPr>
          <w:p>
            <w:pPr>
              <w:pStyle w:val="6"/>
              <w:keepNext w:val="0"/>
              <w:keepLines w:val="0"/>
              <w:pageBreakBefore w:val="0"/>
              <w:tabs>
                <w:tab w:val="left" w:pos="8640"/>
              </w:tabs>
              <w:kinsoku/>
              <w:wordWrap/>
              <w:topLinePunct w:val="0"/>
              <w:bidi w:val="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股份类型</w:t>
            </w:r>
          </w:p>
        </w:tc>
        <w:tc>
          <w:tcPr>
            <w:tcW w:w="3255" w:type="dxa"/>
            <w:gridSpan w:val="3"/>
            <w:noWrap w:val="0"/>
            <w:vAlign w:val="center"/>
          </w:tcPr>
          <w:p>
            <w:pPr>
              <w:pStyle w:val="6"/>
              <w:keepNext w:val="0"/>
              <w:keepLines w:val="0"/>
              <w:pageBreakBefore w:val="0"/>
              <w:tabs>
                <w:tab w:val="left" w:pos="8640"/>
              </w:tabs>
              <w:kinsoku/>
              <w:wordWrap/>
              <w:topLinePunct w:val="0"/>
              <w:bidi w:val="0"/>
              <w:spacing w:line="560" w:lineRule="exact"/>
              <w:jc w:val="center"/>
              <w:rPr>
                <w:rFonts w:hint="eastAsia" w:ascii="仿宋" w:hAnsi="仿宋" w:eastAsia="仿宋" w:cs="Courier New"/>
                <w:color w:val="auto"/>
                <w:kern w:val="2"/>
                <w:sz w:val="24"/>
                <w:szCs w:val="24"/>
                <w:highlight w:val="none"/>
                <w:lang w:val="en-US" w:eastAsia="zh-CN" w:bidi="ar-SA"/>
              </w:rPr>
            </w:pPr>
            <w:r>
              <w:rPr>
                <w:rFonts w:hint="eastAsia" w:ascii="仿宋" w:hAnsi="仿宋" w:eastAsia="仿宋"/>
                <w:color w:val="auto"/>
                <w:sz w:val="24"/>
                <w:szCs w:val="24"/>
                <w:highlight w:val="none"/>
              </w:rPr>
              <w:t>20</w:t>
            </w:r>
            <w:r>
              <w:rPr>
                <w:rFonts w:hint="eastAsia" w:ascii="仿宋" w:hAnsi="仿宋" w:eastAsia="仿宋"/>
                <w:color w:val="auto"/>
                <w:sz w:val="24"/>
                <w:szCs w:val="24"/>
                <w:highlight w:val="none"/>
                <w:lang w:val="en-US" w:eastAsia="zh-CN"/>
              </w:rPr>
              <w:t>23</w:t>
            </w:r>
            <w:r>
              <w:rPr>
                <w:rFonts w:hint="eastAsia" w:ascii="仿宋" w:hAnsi="仿宋" w:eastAsia="仿宋"/>
                <w:color w:val="auto"/>
                <w:sz w:val="24"/>
                <w:szCs w:val="24"/>
                <w:highlight w:val="none"/>
              </w:rPr>
              <w:t>年12月31日</w:t>
            </w:r>
          </w:p>
        </w:tc>
        <w:tc>
          <w:tcPr>
            <w:tcW w:w="3255" w:type="dxa"/>
            <w:gridSpan w:val="3"/>
            <w:noWrap w:val="0"/>
            <w:vAlign w:val="center"/>
          </w:tcPr>
          <w:p>
            <w:pPr>
              <w:pStyle w:val="6"/>
              <w:keepNext w:val="0"/>
              <w:keepLines w:val="0"/>
              <w:pageBreakBefore w:val="0"/>
              <w:tabs>
                <w:tab w:val="left" w:pos="8640"/>
              </w:tabs>
              <w:kinsoku/>
              <w:wordWrap/>
              <w:topLinePunct w:val="0"/>
              <w:bidi w:val="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hint="eastAsia" w:ascii="仿宋" w:hAnsi="仿宋" w:eastAsia="仿宋"/>
                <w:color w:val="auto"/>
                <w:sz w:val="24"/>
                <w:szCs w:val="24"/>
                <w:highlight w:val="none"/>
                <w:lang w:val="en-US" w:eastAsia="zh-CN"/>
              </w:rPr>
              <w:t>24</w:t>
            </w:r>
            <w:r>
              <w:rPr>
                <w:rFonts w:hint="eastAsia" w:ascii="仿宋" w:hAnsi="仿宋" w:eastAsia="仿宋"/>
                <w:color w:val="auto"/>
                <w:sz w:val="24"/>
                <w:szCs w:val="24"/>
                <w:highlight w:val="none"/>
              </w:rPr>
              <w:t>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695" w:type="dxa"/>
            <w:vMerge w:val="continue"/>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eastAsia" w:ascii="仿宋" w:hAnsi="仿宋" w:eastAsia="仿宋" w:cs="Courier New"/>
                <w:color w:val="auto"/>
                <w:kern w:val="2"/>
                <w:sz w:val="24"/>
                <w:szCs w:val="24"/>
                <w:highlight w:val="none"/>
                <w:lang w:val="en-US" w:eastAsia="zh-CN" w:bidi="ar-SA"/>
              </w:rPr>
            </w:pPr>
            <w:r>
              <w:rPr>
                <w:rFonts w:hint="eastAsia" w:ascii="仿宋" w:hAnsi="仿宋" w:eastAsia="仿宋"/>
                <w:color w:val="auto"/>
                <w:sz w:val="24"/>
                <w:szCs w:val="24"/>
                <w:highlight w:val="none"/>
              </w:rPr>
              <w:t>户数</w:t>
            </w:r>
          </w:p>
        </w:tc>
        <w:tc>
          <w:tcPr>
            <w:tcW w:w="1410" w:type="dxa"/>
            <w:noWrap w:val="0"/>
            <w:vAlign w:val="top"/>
          </w:tcPr>
          <w:p>
            <w:pPr>
              <w:pStyle w:val="6"/>
              <w:keepNext w:val="0"/>
              <w:keepLines w:val="0"/>
              <w:pageBreakBefore w:val="0"/>
              <w:tabs>
                <w:tab w:val="left" w:pos="8640"/>
              </w:tabs>
              <w:kinsoku/>
              <w:wordWrap/>
              <w:topLinePunct w:val="0"/>
              <w:bidi w:val="0"/>
              <w:spacing w:line="560" w:lineRule="exact"/>
              <w:ind w:firstLine="240" w:firstLineChars="100"/>
              <w:rPr>
                <w:rFonts w:hint="eastAsia" w:ascii="仿宋" w:hAnsi="仿宋" w:eastAsia="仿宋" w:cs="Courier New"/>
                <w:color w:val="auto"/>
                <w:kern w:val="2"/>
                <w:sz w:val="24"/>
                <w:szCs w:val="24"/>
                <w:highlight w:val="none"/>
                <w:lang w:val="en-US" w:eastAsia="zh-CN" w:bidi="ar-SA"/>
              </w:rPr>
            </w:pPr>
            <w:r>
              <w:rPr>
                <w:rFonts w:hint="eastAsia" w:ascii="仿宋" w:hAnsi="仿宋" w:eastAsia="仿宋"/>
                <w:color w:val="auto"/>
                <w:sz w:val="24"/>
                <w:szCs w:val="24"/>
                <w:highlight w:val="none"/>
              </w:rPr>
              <w:t>股数</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eastAsia" w:ascii="仿宋" w:hAnsi="仿宋" w:eastAsia="仿宋" w:cs="Courier New"/>
                <w:color w:val="auto"/>
                <w:kern w:val="2"/>
                <w:sz w:val="24"/>
                <w:szCs w:val="24"/>
                <w:highlight w:val="none"/>
                <w:lang w:val="en-US" w:eastAsia="zh-CN" w:bidi="ar-SA"/>
              </w:rPr>
            </w:pPr>
            <w:r>
              <w:rPr>
                <w:rFonts w:hint="eastAsia" w:ascii="仿宋" w:hAnsi="仿宋" w:eastAsia="仿宋"/>
                <w:color w:val="auto"/>
                <w:sz w:val="24"/>
                <w:szCs w:val="24"/>
                <w:highlight w:val="none"/>
              </w:rPr>
              <w:t>比例（%）</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户数</w:t>
            </w:r>
          </w:p>
        </w:tc>
        <w:tc>
          <w:tcPr>
            <w:tcW w:w="1410" w:type="dxa"/>
            <w:noWrap w:val="0"/>
            <w:vAlign w:val="top"/>
          </w:tcPr>
          <w:p>
            <w:pPr>
              <w:pStyle w:val="6"/>
              <w:keepNext w:val="0"/>
              <w:keepLines w:val="0"/>
              <w:pageBreakBefore w:val="0"/>
              <w:tabs>
                <w:tab w:val="left" w:pos="8640"/>
              </w:tabs>
              <w:kinsoku/>
              <w:wordWrap/>
              <w:topLinePunct w:val="0"/>
              <w:bidi w:val="0"/>
              <w:spacing w:line="560" w:lineRule="exact"/>
              <w:ind w:firstLine="240" w:firstLineChars="100"/>
              <w:rPr>
                <w:rFonts w:ascii="仿宋" w:hAnsi="仿宋" w:eastAsia="仿宋"/>
                <w:color w:val="auto"/>
                <w:sz w:val="24"/>
                <w:szCs w:val="24"/>
                <w:highlight w:val="none"/>
              </w:rPr>
            </w:pPr>
            <w:r>
              <w:rPr>
                <w:rFonts w:hint="eastAsia" w:ascii="仿宋" w:hAnsi="仿宋" w:eastAsia="仿宋"/>
                <w:color w:val="auto"/>
                <w:sz w:val="24"/>
                <w:szCs w:val="24"/>
                <w:highlight w:val="none"/>
              </w:rPr>
              <w:t>股数</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1.法人股</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1</w:t>
            </w:r>
            <w:r>
              <w:rPr>
                <w:rFonts w:hint="default" w:ascii="Times New Roman" w:hAnsi="Times New Roman" w:eastAsia="仿宋" w:cs="Times New Roman"/>
                <w:color w:val="auto"/>
                <w:sz w:val="24"/>
                <w:szCs w:val="24"/>
                <w:highlight w:val="none"/>
                <w:lang w:val="en-US" w:eastAsia="zh-CN"/>
              </w:rPr>
              <w:t>2</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204265105</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55.97</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1</w:t>
            </w:r>
            <w:r>
              <w:rPr>
                <w:rFonts w:hint="default" w:ascii="Times New Roman" w:hAnsi="Times New Roman" w:eastAsia="仿宋" w:cs="Times New Roman"/>
                <w:color w:val="auto"/>
                <w:sz w:val="24"/>
                <w:szCs w:val="24"/>
                <w:highlight w:val="none"/>
                <w:lang w:val="en-US" w:eastAsia="zh-CN"/>
              </w:rPr>
              <w:t>2</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204265105</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55.97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2.自然人股</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14</w:t>
            </w:r>
            <w:r>
              <w:rPr>
                <w:rFonts w:hint="eastAsia" w:ascii="Times New Roman" w:hAnsi="Times New Roman" w:eastAsia="仿宋" w:cs="Times New Roman"/>
                <w:color w:val="auto"/>
                <w:sz w:val="24"/>
                <w:szCs w:val="24"/>
                <w:highlight w:val="none"/>
                <w:lang w:val="en-US" w:eastAsia="zh-CN"/>
              </w:rPr>
              <w:t>76</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160696787</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44.03</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14</w:t>
            </w:r>
            <w:r>
              <w:rPr>
                <w:rFonts w:hint="default" w:ascii="Times New Roman" w:hAnsi="Times New Roman" w:eastAsia="仿宋" w:cs="Times New Roman"/>
                <w:color w:val="auto"/>
                <w:sz w:val="24"/>
                <w:szCs w:val="24"/>
                <w:highlight w:val="none"/>
                <w:lang w:val="en-US" w:eastAsia="zh-CN"/>
              </w:rPr>
              <w:t>7</w:t>
            </w:r>
            <w:r>
              <w:rPr>
                <w:rFonts w:hint="eastAsia" w:ascii="Times New Roman" w:hAnsi="Times New Roman" w:eastAsia="仿宋" w:cs="Times New Roman"/>
                <w:color w:val="auto"/>
                <w:sz w:val="24"/>
                <w:szCs w:val="24"/>
                <w:highlight w:val="none"/>
                <w:lang w:val="en-US" w:eastAsia="zh-CN"/>
              </w:rPr>
              <w:t>1</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160696787</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44.03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其中：职工股</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3</w:t>
            </w:r>
            <w:r>
              <w:rPr>
                <w:rFonts w:hint="default" w:ascii="Times New Roman" w:hAnsi="Times New Roman" w:eastAsia="仿宋" w:cs="Times New Roman"/>
                <w:color w:val="auto"/>
                <w:sz w:val="24"/>
                <w:szCs w:val="24"/>
                <w:highlight w:val="none"/>
                <w:lang w:val="en-US" w:eastAsia="zh-CN"/>
              </w:rPr>
              <w:t>51</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26760194</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7.33</w:t>
            </w:r>
          </w:p>
        </w:tc>
        <w:tc>
          <w:tcPr>
            <w:tcW w:w="75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3</w:t>
            </w:r>
            <w:r>
              <w:rPr>
                <w:rFonts w:hint="default" w:ascii="Times New Roman" w:hAnsi="Times New Roman" w:eastAsia="仿宋" w:cs="Times New Roman"/>
                <w:color w:val="auto"/>
                <w:sz w:val="24"/>
                <w:szCs w:val="24"/>
                <w:highlight w:val="none"/>
                <w:lang w:val="en-US" w:eastAsia="zh-CN"/>
              </w:rPr>
              <w:t>5</w:t>
            </w:r>
            <w:r>
              <w:rPr>
                <w:rFonts w:hint="eastAsia" w:ascii="Times New Roman" w:hAnsi="Times New Roman" w:eastAsia="仿宋" w:cs="Times New Roman"/>
                <w:color w:val="auto"/>
                <w:sz w:val="24"/>
                <w:szCs w:val="24"/>
                <w:highlight w:val="none"/>
                <w:lang w:val="en-US" w:eastAsia="zh-CN"/>
              </w:rPr>
              <w:t>0</w:t>
            </w:r>
          </w:p>
        </w:tc>
        <w:tc>
          <w:tcPr>
            <w:tcW w:w="1410"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26988019</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7.3</w:t>
            </w:r>
            <w:r>
              <w:rPr>
                <w:rFonts w:hint="eastAsia" w:ascii="Times New Roman" w:hAnsi="Times New Roman" w:eastAsia="仿宋" w:cs="Times New Roman"/>
                <w:color w:val="auto"/>
                <w:sz w:val="24"/>
                <w:szCs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95" w:type="dxa"/>
            <w:noWrap w:val="0"/>
            <w:vAlign w:val="top"/>
          </w:tcPr>
          <w:p>
            <w:pPr>
              <w:pStyle w:val="6"/>
              <w:keepNext w:val="0"/>
              <w:keepLines w:val="0"/>
              <w:pageBreakBefore w:val="0"/>
              <w:tabs>
                <w:tab w:val="left" w:pos="8640"/>
              </w:tabs>
              <w:kinsoku/>
              <w:wordWrap/>
              <w:topLinePunct w:val="0"/>
              <w:bidi w:val="0"/>
              <w:spacing w:line="5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总股数</w:t>
            </w:r>
          </w:p>
        </w:tc>
        <w:tc>
          <w:tcPr>
            <w:tcW w:w="2160" w:type="dxa"/>
            <w:gridSpan w:val="2"/>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rPr>
              <w:t>364961892</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kern w:val="2"/>
                <w:sz w:val="24"/>
                <w:szCs w:val="24"/>
                <w:highlight w:val="none"/>
                <w:lang w:val="en-US" w:eastAsia="zh-CN" w:bidi="ar-SA"/>
              </w:rPr>
            </w:pPr>
          </w:p>
        </w:tc>
        <w:tc>
          <w:tcPr>
            <w:tcW w:w="2160" w:type="dxa"/>
            <w:gridSpan w:val="2"/>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364961892</w:t>
            </w:r>
          </w:p>
        </w:tc>
        <w:tc>
          <w:tcPr>
            <w:tcW w:w="1095" w:type="dxa"/>
            <w:noWrap w:val="0"/>
            <w:vAlign w:val="top"/>
          </w:tcPr>
          <w:p>
            <w:pPr>
              <w:pStyle w:val="6"/>
              <w:keepNext w:val="0"/>
              <w:keepLines w:val="0"/>
              <w:pageBreakBefore w:val="0"/>
              <w:tabs>
                <w:tab w:val="left" w:pos="8640"/>
              </w:tabs>
              <w:kinsoku/>
              <w:wordWrap/>
              <w:topLinePunct w:val="0"/>
              <w:bidi w:val="0"/>
              <w:spacing w:line="560" w:lineRule="exact"/>
              <w:rPr>
                <w:rFonts w:hint="default" w:ascii="Times New Roman" w:hAnsi="Times New Roman" w:eastAsia="仿宋" w:cs="Times New Roman"/>
                <w:color w:val="auto"/>
                <w:sz w:val="24"/>
                <w:szCs w:val="24"/>
                <w:highlight w:val="none"/>
              </w:rPr>
            </w:pPr>
          </w:p>
        </w:tc>
      </w:tr>
    </w:tbl>
    <w:p>
      <w:pPr>
        <w:pStyle w:val="6"/>
        <w:keepNext w:val="0"/>
        <w:keepLines w:val="0"/>
        <w:pageBreakBefore w:val="0"/>
        <w:numPr>
          <w:ilvl w:val="0"/>
          <w:numId w:val="2"/>
        </w:numPr>
        <w:tabs>
          <w:tab w:val="left" w:pos="8640"/>
        </w:tabs>
        <w:kinsoku/>
        <w:wordWrap/>
        <w:topLinePunct w:val="0"/>
        <w:bidi w:val="0"/>
        <w:spacing w:line="560" w:lineRule="exact"/>
        <w:ind w:firstLine="624"/>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报告期内股权结构变动情况</w:t>
      </w:r>
    </w:p>
    <w:p>
      <w:pPr>
        <w:pStyle w:val="6"/>
        <w:keepNext w:val="0"/>
        <w:keepLines w:val="0"/>
        <w:pageBreakBefore w:val="0"/>
        <w:tabs>
          <w:tab w:val="left" w:pos="8640"/>
        </w:tabs>
        <w:kinsoku/>
        <w:wordWrap/>
        <w:topLinePunct w:val="0"/>
        <w:bidi w:val="0"/>
        <w:spacing w:line="560" w:lineRule="exact"/>
        <w:ind w:firstLine="624"/>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二、股东情况</w:t>
      </w:r>
    </w:p>
    <w:p>
      <w:pPr>
        <w:pStyle w:val="6"/>
        <w:keepNext w:val="0"/>
        <w:keepLines w:val="0"/>
        <w:pageBreakBefore w:val="0"/>
        <w:tabs>
          <w:tab w:val="left" w:pos="8640"/>
        </w:tabs>
        <w:kinsoku/>
        <w:wordWrap/>
        <w:topLinePunct w:val="0"/>
        <w:bidi w:val="0"/>
        <w:spacing w:line="560" w:lineRule="exact"/>
        <w:ind w:firstLine="624"/>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（一）股东总数14</w:t>
      </w:r>
      <w:r>
        <w:rPr>
          <w:rFonts w:hint="default" w:ascii="Times New Roman" w:hAnsi="Times New Roman" w:eastAsia="仿宋_GB2312" w:cs="Times New Roman"/>
          <w:color w:val="auto"/>
          <w:sz w:val="32"/>
          <w:szCs w:val="32"/>
          <w:highlight w:val="none"/>
          <w:lang w:val="en-US" w:eastAsia="zh-CN"/>
        </w:rPr>
        <w:t>8</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户，股本总额为364961892股。其中：法人股12户</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合计204265105股，占股本总额的55.97％；自然人股14</w:t>
      </w:r>
      <w:r>
        <w:rPr>
          <w:rFonts w:hint="default" w:ascii="Times New Roman" w:hAnsi="Times New Roman" w:eastAsia="仿宋_GB2312" w:cs="Times New Roman"/>
          <w:color w:val="auto"/>
          <w:sz w:val="32"/>
          <w:szCs w:val="32"/>
          <w:highlight w:val="none"/>
          <w:lang w:val="en-US" w:eastAsia="zh-CN"/>
        </w:rPr>
        <w:t>7</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户，合计160696787股，占股本总额的44.03％，其中：职工股35</w:t>
      </w:r>
      <w:r>
        <w:rPr>
          <w:rFonts w:hint="eastAsia"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户，</w:t>
      </w:r>
      <w:r>
        <w:rPr>
          <w:rFonts w:hint="eastAsia" w:ascii="Times New Roman" w:hAnsi="Times New Roman" w:eastAsia="仿宋_GB2312" w:cs="Times New Roman"/>
          <w:color w:val="auto"/>
          <w:sz w:val="32"/>
          <w:szCs w:val="32"/>
          <w:highlight w:val="none"/>
          <w:lang w:val="en-US" w:eastAsia="zh-CN"/>
        </w:rPr>
        <w:t>26988019</w:t>
      </w:r>
      <w:r>
        <w:rPr>
          <w:rFonts w:hint="default" w:ascii="Times New Roman" w:hAnsi="Times New Roman" w:eastAsia="仿宋_GB2312" w:cs="Times New Roman"/>
          <w:color w:val="auto"/>
          <w:sz w:val="32"/>
          <w:szCs w:val="32"/>
          <w:highlight w:val="none"/>
        </w:rPr>
        <w:t>股，占股本总额的7.</w:t>
      </w: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w:t>
      </w:r>
    </w:p>
    <w:p>
      <w:pPr>
        <w:keepNext w:val="0"/>
        <w:keepLines w:val="0"/>
        <w:pageBreakBefore w:val="0"/>
        <w:kinsoku/>
        <w:wordWrap/>
        <w:topLinePunct w:val="0"/>
        <w:bidi w:val="0"/>
        <w:spacing w:line="560" w:lineRule="exact"/>
        <w:ind w:firstLine="633" w:firstLineChars="198"/>
        <w:rPr>
          <w:rFonts w:hint="eastAsia" w:ascii="楷体" w:hAnsi="楷体" w:eastAsia="楷体" w:cs="楷体"/>
          <w:color w:val="auto"/>
          <w:kern w:val="0"/>
          <w:sz w:val="32"/>
          <w:szCs w:val="32"/>
          <w:highlight w:val="none"/>
        </w:rPr>
      </w:pPr>
      <w:r>
        <w:rPr>
          <w:rFonts w:hint="eastAsia" w:ascii="楷体" w:hAnsi="楷体" w:eastAsia="楷体" w:cs="楷体"/>
          <w:color w:val="auto"/>
          <w:kern w:val="0"/>
          <w:sz w:val="32"/>
          <w:szCs w:val="32"/>
          <w:highlight w:val="none"/>
        </w:rPr>
        <w:t>（二）法人股东名单</w:t>
      </w:r>
    </w:p>
    <w:tbl>
      <w:tblPr>
        <w:tblStyle w:val="12"/>
        <w:tblW w:w="885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8"/>
        <w:gridCol w:w="4627"/>
        <w:gridCol w:w="1622"/>
        <w:gridCol w:w="18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788" w:type="dxa"/>
            <w:tcBorders>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jc w:val="center"/>
              <w:rPr>
                <w:rFonts w:ascii="仿宋" w:hAnsi="仿宋" w:eastAsia="仿宋" w:cs="宋体"/>
                <w:bCs/>
                <w:color w:val="auto"/>
                <w:kern w:val="0"/>
                <w:sz w:val="28"/>
                <w:szCs w:val="28"/>
                <w:highlight w:val="none"/>
              </w:rPr>
            </w:pPr>
            <w:r>
              <w:rPr>
                <w:rFonts w:hint="eastAsia" w:ascii="仿宋" w:hAnsi="仿宋" w:eastAsia="仿宋" w:cs="宋体"/>
                <w:bCs/>
                <w:color w:val="auto"/>
                <w:kern w:val="0"/>
                <w:sz w:val="28"/>
                <w:szCs w:val="28"/>
                <w:highlight w:val="none"/>
              </w:rPr>
              <w:t>序号</w:t>
            </w:r>
          </w:p>
        </w:tc>
        <w:tc>
          <w:tcPr>
            <w:tcW w:w="4627"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ind w:firstLine="420" w:firstLineChars="150"/>
              <w:jc w:val="center"/>
              <w:rPr>
                <w:rFonts w:ascii="仿宋" w:hAnsi="仿宋" w:eastAsia="仿宋" w:cs="宋体"/>
                <w:bCs/>
                <w:color w:val="auto"/>
                <w:kern w:val="0"/>
                <w:sz w:val="28"/>
                <w:szCs w:val="28"/>
                <w:highlight w:val="none"/>
              </w:rPr>
            </w:pPr>
            <w:r>
              <w:rPr>
                <w:rFonts w:hint="eastAsia" w:ascii="仿宋" w:hAnsi="仿宋" w:eastAsia="仿宋" w:cs="宋体"/>
                <w:bCs/>
                <w:color w:val="auto"/>
                <w:kern w:val="0"/>
                <w:sz w:val="28"/>
                <w:szCs w:val="28"/>
                <w:highlight w:val="none"/>
              </w:rPr>
              <w:t>股东名称</w:t>
            </w:r>
          </w:p>
        </w:tc>
        <w:tc>
          <w:tcPr>
            <w:tcW w:w="1622"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rPr>
                <w:rFonts w:ascii="仿宋" w:hAnsi="仿宋" w:eastAsia="仿宋" w:cs="宋体"/>
                <w:bCs/>
                <w:color w:val="auto"/>
                <w:kern w:val="0"/>
                <w:sz w:val="28"/>
                <w:szCs w:val="28"/>
                <w:highlight w:val="none"/>
              </w:rPr>
            </w:pPr>
            <w:r>
              <w:rPr>
                <w:rFonts w:hint="eastAsia" w:ascii="仿宋" w:hAnsi="仿宋" w:eastAsia="仿宋" w:cs="宋体"/>
                <w:bCs/>
                <w:color w:val="auto"/>
                <w:kern w:val="0"/>
                <w:sz w:val="28"/>
                <w:szCs w:val="28"/>
                <w:highlight w:val="none"/>
              </w:rPr>
              <w:t>持股数</w:t>
            </w:r>
            <w:r>
              <w:rPr>
                <w:rFonts w:hint="eastAsia" w:ascii="仿宋" w:hAnsi="仿宋" w:eastAsia="仿宋" w:cs="宋体"/>
                <w:bCs/>
                <w:color w:val="auto"/>
                <w:kern w:val="0"/>
                <w:sz w:val="28"/>
                <w:szCs w:val="28"/>
                <w:highlight w:val="none"/>
                <w:lang w:eastAsia="zh-CN"/>
              </w:rPr>
              <w:t>（</w:t>
            </w:r>
            <w:r>
              <w:rPr>
                <w:rFonts w:hint="eastAsia" w:ascii="仿宋" w:hAnsi="仿宋" w:eastAsia="仿宋" w:cs="宋体"/>
                <w:bCs/>
                <w:color w:val="auto"/>
                <w:kern w:val="0"/>
                <w:sz w:val="28"/>
                <w:szCs w:val="28"/>
                <w:highlight w:val="none"/>
              </w:rPr>
              <w:t>股</w:t>
            </w:r>
            <w:r>
              <w:rPr>
                <w:rFonts w:hint="eastAsia" w:ascii="仿宋" w:hAnsi="仿宋" w:eastAsia="仿宋" w:cs="宋体"/>
                <w:bCs/>
                <w:color w:val="auto"/>
                <w:kern w:val="0"/>
                <w:sz w:val="28"/>
                <w:szCs w:val="28"/>
                <w:highlight w:val="none"/>
                <w:lang w:eastAsia="zh-CN"/>
              </w:rPr>
              <w:t>）</w:t>
            </w:r>
          </w:p>
        </w:tc>
        <w:tc>
          <w:tcPr>
            <w:tcW w:w="1814" w:type="dxa"/>
            <w:tcBorders>
              <w:left w:val="single" w:color="auto" w:sz="4" w:space="0"/>
              <w:bottom w:val="single" w:color="auto" w:sz="4" w:space="0"/>
            </w:tcBorders>
            <w:noWrap w:val="0"/>
            <w:vAlign w:val="center"/>
          </w:tcPr>
          <w:p>
            <w:pPr>
              <w:keepNext w:val="0"/>
              <w:keepLines w:val="0"/>
              <w:pageBreakBefore w:val="0"/>
              <w:kinsoku/>
              <w:wordWrap/>
              <w:topLinePunct w:val="0"/>
              <w:bidi w:val="0"/>
              <w:spacing w:line="560" w:lineRule="exact"/>
              <w:rPr>
                <w:rFonts w:ascii="仿宋" w:hAnsi="仿宋" w:eastAsia="仿宋" w:cs="宋体"/>
                <w:bCs/>
                <w:color w:val="auto"/>
                <w:kern w:val="0"/>
                <w:sz w:val="28"/>
                <w:szCs w:val="28"/>
                <w:highlight w:val="none"/>
              </w:rPr>
            </w:pPr>
            <w:r>
              <w:rPr>
                <w:rFonts w:hint="eastAsia" w:ascii="仿宋" w:hAnsi="仿宋" w:eastAsia="仿宋" w:cs="宋体"/>
                <w:bCs/>
                <w:color w:val="auto"/>
                <w:kern w:val="0"/>
                <w:sz w:val="28"/>
                <w:szCs w:val="28"/>
                <w:highlight w:val="none"/>
              </w:rPr>
              <w:t>持股比例</w:t>
            </w:r>
            <w:r>
              <w:rPr>
                <w:rFonts w:hint="eastAsia" w:ascii="仿宋" w:hAnsi="仿宋" w:eastAsia="仿宋" w:cs="宋体"/>
                <w:bCs/>
                <w:color w:val="auto"/>
                <w:kern w:val="0"/>
                <w:sz w:val="28"/>
                <w:szCs w:val="28"/>
                <w:highlight w:val="none"/>
                <w:lang w:eastAsia="zh-CN"/>
              </w:rPr>
              <w:t>（</w:t>
            </w:r>
            <w:r>
              <w:rPr>
                <w:rFonts w:hint="eastAsia" w:ascii="仿宋" w:hAnsi="仿宋" w:eastAsia="仿宋" w:cs="宋体"/>
                <w:bCs/>
                <w:color w:val="auto"/>
                <w:kern w:val="0"/>
                <w:sz w:val="28"/>
                <w:szCs w:val="28"/>
                <w:highlight w:val="none"/>
              </w:rPr>
              <w:t>%</w:t>
            </w:r>
            <w:r>
              <w:rPr>
                <w:rFonts w:hint="eastAsia" w:ascii="仿宋" w:hAnsi="仿宋" w:eastAsia="仿宋" w:cs="宋体"/>
                <w:bCs/>
                <w:color w:val="auto"/>
                <w:kern w:val="0"/>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安顺永峰煤焦集团有限公司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33,074,752</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9.06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贵州顺健制药有限公司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25,262,268</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6.92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安顺市资产运营有限公司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23,095,301</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6.33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4</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贵州乌江水电成套设备有限公司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21,669,665</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5.94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5</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安顺市供水总公司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18,248,139</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6</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安顺市公共交通总公司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17,107,630</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4.69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4"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7</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安顺天瑞房地产开发有限责任公司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17,107,630</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4.69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8</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贵州安顺银城房地产开发有限公司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15,396,867</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4.22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9</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贵州省安顺交通运输集团有限公司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11,405,087</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3.13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3" w:hRule="exact"/>
          <w:jc w:val="center"/>
        </w:trPr>
        <w:tc>
          <w:tcPr>
            <w:tcW w:w="788" w:type="dxa"/>
            <w:tcBorders>
              <w:top w:val="single" w:color="auto" w:sz="4" w:space="0"/>
              <w:bottom w:val="single" w:color="auto" w:sz="4" w:space="0"/>
              <w:right w:val="single" w:color="auto" w:sz="4" w:space="0"/>
            </w:tcBorders>
            <w:noWrap w:val="0"/>
            <w:vAlign w:val="top"/>
          </w:tcPr>
          <w:p>
            <w:pPr>
              <w:keepNext w:val="0"/>
              <w:keepLines w:val="0"/>
              <w:pageBreakBefore w:val="0"/>
              <w:kinsoku/>
              <w:wordWrap/>
              <w:topLinePunct w:val="0"/>
              <w:bidi w:val="0"/>
              <w:spacing w:line="560" w:lineRule="exact"/>
              <w:ind w:firstLine="120" w:firstLineChars="50"/>
              <w:jc w:val="center"/>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rPr>
              <w:t>1</w:t>
            </w:r>
            <w:r>
              <w:rPr>
                <w:rFonts w:hint="eastAsia" w:ascii="仿宋" w:hAnsi="仿宋" w:eastAsia="仿宋" w:cs="宋体"/>
                <w:color w:val="auto"/>
                <w:kern w:val="0"/>
                <w:sz w:val="24"/>
                <w:szCs w:val="24"/>
                <w:highlight w:val="none"/>
                <w:lang w:val="en-US" w:eastAsia="zh-CN"/>
              </w:rPr>
              <w:t>0</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贵州安顺油脂（集团）股份有限公司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8,553,815</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4" w:hRule="exact"/>
          <w:jc w:val="center"/>
        </w:trPr>
        <w:tc>
          <w:tcPr>
            <w:tcW w:w="788" w:type="dxa"/>
            <w:tcBorders>
              <w:top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ind w:firstLine="120" w:firstLineChars="50"/>
              <w:jc w:val="center"/>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lang w:val="en-US" w:eastAsia="zh-CN"/>
              </w:rPr>
              <w:t>11</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贵州家喻集团汽车服务有限公司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8,553,815</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exact"/>
          <w:jc w:val="center"/>
        </w:trPr>
        <w:tc>
          <w:tcPr>
            <w:tcW w:w="788" w:type="dxa"/>
            <w:tcBorders>
              <w:top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560" w:lineRule="exact"/>
              <w:ind w:firstLine="120" w:firstLineChars="50"/>
              <w:jc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szCs w:val="24"/>
                <w:highlight w:val="none"/>
                <w:lang w:val="en-US" w:eastAsia="zh-CN"/>
              </w:rPr>
              <w:t>12</w:t>
            </w:r>
          </w:p>
        </w:tc>
        <w:tc>
          <w:tcPr>
            <w:tcW w:w="462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szCs w:val="24"/>
                <w:highlight w:val="none"/>
              </w:rPr>
              <w:t>安顺虹阳国有资产投资营运有限责任公司</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rPr>
              <w:t>4,790,136</w:t>
            </w:r>
          </w:p>
        </w:tc>
        <w:tc>
          <w:tcPr>
            <w:tcW w:w="1814"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rPr>
              <w:t>1.31</w:t>
            </w:r>
          </w:p>
        </w:tc>
      </w:tr>
    </w:tbl>
    <w:p>
      <w:pPr>
        <w:keepNext w:val="0"/>
        <w:keepLines w:val="0"/>
        <w:pageBreakBefore w:val="0"/>
        <w:kinsoku/>
        <w:wordWrap/>
        <w:topLinePunct w:val="0"/>
        <w:bidi w:val="0"/>
        <w:spacing w:line="560" w:lineRule="exact"/>
        <w:ind w:firstLine="633" w:firstLineChars="198"/>
        <w:rPr>
          <w:rFonts w:hint="eastAsia" w:ascii="楷体" w:hAnsi="楷体" w:eastAsia="楷体" w:cs="楷体"/>
          <w:color w:val="auto"/>
          <w:kern w:val="0"/>
          <w:sz w:val="32"/>
          <w:szCs w:val="32"/>
          <w:highlight w:val="none"/>
        </w:rPr>
      </w:pPr>
      <w:r>
        <w:rPr>
          <w:rFonts w:hint="eastAsia" w:ascii="楷体" w:hAnsi="楷体" w:eastAsia="楷体" w:cs="楷体"/>
          <w:color w:val="auto"/>
          <w:kern w:val="0"/>
          <w:sz w:val="32"/>
          <w:szCs w:val="32"/>
          <w:highlight w:val="none"/>
        </w:rPr>
        <w:t>（三）前十户自然人股东名单</w:t>
      </w:r>
    </w:p>
    <w:tbl>
      <w:tblPr>
        <w:tblStyle w:val="12"/>
        <w:tblW w:w="0" w:type="auto"/>
        <w:jc w:val="center"/>
        <w:tblLayout w:type="fixed"/>
        <w:tblCellMar>
          <w:top w:w="0" w:type="dxa"/>
          <w:left w:w="108" w:type="dxa"/>
          <w:bottom w:w="0" w:type="dxa"/>
          <w:right w:w="108" w:type="dxa"/>
        </w:tblCellMar>
      </w:tblPr>
      <w:tblGrid>
        <w:gridCol w:w="1088"/>
        <w:gridCol w:w="1710"/>
        <w:gridCol w:w="2805"/>
        <w:gridCol w:w="2265"/>
      </w:tblGrid>
      <w:tr>
        <w:tblPrEx>
          <w:tblCellMar>
            <w:top w:w="0" w:type="dxa"/>
            <w:left w:w="108" w:type="dxa"/>
            <w:bottom w:w="0" w:type="dxa"/>
            <w:right w:w="108" w:type="dxa"/>
          </w:tblCellMar>
        </w:tblPrEx>
        <w:trPr>
          <w:trHeight w:val="529" w:hRule="atLeast"/>
          <w:jc w:val="center"/>
        </w:trPr>
        <w:tc>
          <w:tcPr>
            <w:tcW w:w="1088"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eastAsia"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序号</w:t>
            </w:r>
          </w:p>
        </w:tc>
        <w:tc>
          <w:tcPr>
            <w:tcW w:w="1710"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eastAsia"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股东姓名</w:t>
            </w:r>
          </w:p>
        </w:tc>
        <w:tc>
          <w:tcPr>
            <w:tcW w:w="28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eastAsia"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持股数</w:t>
            </w:r>
            <w:r>
              <w:rPr>
                <w:rFonts w:hint="eastAsia" w:ascii="仿宋" w:hAnsi="仿宋" w:eastAsia="仿宋" w:cs="宋体"/>
                <w:color w:val="auto"/>
                <w:kern w:val="0"/>
                <w:sz w:val="28"/>
                <w:szCs w:val="28"/>
                <w:highlight w:val="none"/>
                <w:lang w:eastAsia="zh-CN"/>
              </w:rPr>
              <w:t>（</w:t>
            </w:r>
            <w:r>
              <w:rPr>
                <w:rFonts w:hint="eastAsia" w:ascii="仿宋" w:hAnsi="仿宋" w:eastAsia="仿宋" w:cs="宋体"/>
                <w:color w:val="auto"/>
                <w:kern w:val="0"/>
                <w:sz w:val="28"/>
                <w:szCs w:val="28"/>
                <w:highlight w:val="none"/>
              </w:rPr>
              <w:t>股</w:t>
            </w:r>
            <w:r>
              <w:rPr>
                <w:rFonts w:hint="eastAsia" w:ascii="仿宋" w:hAnsi="仿宋" w:eastAsia="仿宋" w:cs="宋体"/>
                <w:color w:val="auto"/>
                <w:kern w:val="0"/>
                <w:sz w:val="28"/>
                <w:szCs w:val="28"/>
                <w:highlight w:val="none"/>
                <w:lang w:eastAsia="zh-CN"/>
              </w:rPr>
              <w:t>）</w:t>
            </w:r>
          </w:p>
        </w:tc>
        <w:tc>
          <w:tcPr>
            <w:tcW w:w="22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560" w:lineRule="exact"/>
              <w:jc w:val="center"/>
              <w:rPr>
                <w:rFonts w:hint="eastAsia"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持股比例</w:t>
            </w:r>
            <w:r>
              <w:rPr>
                <w:rFonts w:hint="eastAsia" w:ascii="仿宋" w:hAnsi="仿宋" w:eastAsia="仿宋" w:cs="宋体"/>
                <w:color w:val="auto"/>
                <w:kern w:val="0"/>
                <w:sz w:val="28"/>
                <w:szCs w:val="28"/>
                <w:highlight w:val="none"/>
                <w:lang w:eastAsia="zh-CN"/>
              </w:rPr>
              <w:t>（</w:t>
            </w:r>
            <w:r>
              <w:rPr>
                <w:rFonts w:hint="eastAsia" w:ascii="仿宋" w:hAnsi="仿宋" w:eastAsia="仿宋" w:cs="宋体"/>
                <w:color w:val="auto"/>
                <w:kern w:val="0"/>
                <w:sz w:val="28"/>
                <w:szCs w:val="28"/>
                <w:highlight w:val="none"/>
              </w:rPr>
              <w:t>%</w:t>
            </w:r>
            <w:r>
              <w:rPr>
                <w:rFonts w:hint="eastAsia" w:ascii="仿宋" w:hAnsi="仿宋" w:eastAsia="仿宋" w:cs="宋体"/>
                <w:color w:val="auto"/>
                <w:kern w:val="0"/>
                <w:sz w:val="28"/>
                <w:szCs w:val="28"/>
                <w:highlight w:val="none"/>
                <w:lang w:eastAsia="zh-CN"/>
              </w:rPr>
              <w:t>）</w:t>
            </w:r>
          </w:p>
        </w:tc>
      </w:tr>
      <w:tr>
        <w:tblPrEx>
          <w:tblCellMar>
            <w:top w:w="0" w:type="dxa"/>
            <w:left w:w="108" w:type="dxa"/>
            <w:bottom w:w="0" w:type="dxa"/>
            <w:right w:w="108" w:type="dxa"/>
          </w:tblCellMar>
        </w:tblPrEx>
        <w:trPr>
          <w:trHeight w:val="568"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1</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程艳玲</w:t>
            </w:r>
          </w:p>
        </w:tc>
        <w:tc>
          <w:tcPr>
            <w:tcW w:w="2805" w:type="dxa"/>
            <w:tcBorders>
              <w:top w:val="single" w:color="auto" w:sz="4" w:space="0"/>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4,698,896</w:t>
            </w:r>
          </w:p>
        </w:tc>
        <w:tc>
          <w:tcPr>
            <w:tcW w:w="2265"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1.29</w:t>
            </w:r>
          </w:p>
        </w:tc>
      </w:tr>
      <w:tr>
        <w:tblPrEx>
          <w:tblCellMar>
            <w:top w:w="0" w:type="dxa"/>
            <w:left w:w="108" w:type="dxa"/>
            <w:bottom w:w="0" w:type="dxa"/>
            <w:right w:w="108" w:type="dxa"/>
          </w:tblCellMar>
        </w:tblPrEx>
        <w:trPr>
          <w:trHeight w:val="610"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2</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rPr>
              <w:t>刘俊夫</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rPr>
              <w:t>4,698,896</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rPr>
              <w:t>1.29</w:t>
            </w:r>
          </w:p>
        </w:tc>
      </w:tr>
      <w:tr>
        <w:tblPrEx>
          <w:tblCellMar>
            <w:top w:w="0" w:type="dxa"/>
            <w:left w:w="108" w:type="dxa"/>
            <w:bottom w:w="0" w:type="dxa"/>
            <w:right w:w="108" w:type="dxa"/>
          </w:tblCellMar>
        </w:tblPrEx>
        <w:trPr>
          <w:trHeight w:val="556"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3</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rPr>
              <w:t>吴雨蓉</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rPr>
              <w:t>4,698,896</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rPr>
              <w:t>1.29</w:t>
            </w:r>
          </w:p>
        </w:tc>
      </w:tr>
      <w:tr>
        <w:tblPrEx>
          <w:tblCellMar>
            <w:top w:w="0" w:type="dxa"/>
            <w:left w:w="108" w:type="dxa"/>
            <w:bottom w:w="0" w:type="dxa"/>
            <w:right w:w="108" w:type="dxa"/>
          </w:tblCellMar>
        </w:tblPrEx>
        <w:trPr>
          <w:trHeight w:val="576"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4</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rPr>
            </w:pPr>
            <w:r>
              <w:rPr>
                <w:rFonts w:hint="eastAsia" w:ascii="Times New Roman" w:hAnsi="Times New Roman" w:eastAsia="仿宋_GB2312" w:cs="Times New Roman"/>
                <w:color w:val="auto"/>
                <w:kern w:val="0"/>
                <w:sz w:val="24"/>
                <w:szCs w:val="24"/>
                <w:highlight w:val="none"/>
              </w:rPr>
              <w:t>曹爱国</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4,584,736</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1.26</w:t>
            </w:r>
          </w:p>
        </w:tc>
      </w:tr>
      <w:tr>
        <w:tblPrEx>
          <w:tblCellMar>
            <w:top w:w="0" w:type="dxa"/>
            <w:left w:w="108" w:type="dxa"/>
            <w:bottom w:w="0" w:type="dxa"/>
            <w:right w:w="108" w:type="dxa"/>
          </w:tblCellMar>
        </w:tblPrEx>
        <w:trPr>
          <w:trHeight w:val="510"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5</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高琼茹</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4,562,035</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1.25</w:t>
            </w:r>
          </w:p>
        </w:tc>
      </w:tr>
      <w:tr>
        <w:tblPrEx>
          <w:tblCellMar>
            <w:top w:w="0" w:type="dxa"/>
            <w:left w:w="108" w:type="dxa"/>
            <w:bottom w:w="0" w:type="dxa"/>
            <w:right w:w="108" w:type="dxa"/>
          </w:tblCellMar>
        </w:tblPrEx>
        <w:trPr>
          <w:trHeight w:val="562"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6</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娄然</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3,898,955</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1.07</w:t>
            </w:r>
          </w:p>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p>
        </w:tc>
      </w:tr>
      <w:tr>
        <w:tblPrEx>
          <w:tblCellMar>
            <w:top w:w="0" w:type="dxa"/>
            <w:left w:w="108" w:type="dxa"/>
            <w:bottom w:w="0" w:type="dxa"/>
            <w:right w:w="108" w:type="dxa"/>
          </w:tblCellMar>
        </w:tblPrEx>
        <w:trPr>
          <w:trHeight w:val="528"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7</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彭东</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2,756,039</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0.76</w:t>
            </w:r>
          </w:p>
        </w:tc>
      </w:tr>
      <w:tr>
        <w:tblPrEx>
          <w:tblCellMar>
            <w:top w:w="0" w:type="dxa"/>
            <w:left w:w="108" w:type="dxa"/>
            <w:bottom w:w="0" w:type="dxa"/>
            <w:right w:w="108" w:type="dxa"/>
          </w:tblCellMar>
        </w:tblPrEx>
        <w:trPr>
          <w:trHeight w:val="548"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8</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程其平</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2,731,541</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0.75</w:t>
            </w:r>
          </w:p>
        </w:tc>
      </w:tr>
      <w:tr>
        <w:tblPrEx>
          <w:tblCellMar>
            <w:top w:w="0" w:type="dxa"/>
            <w:left w:w="108" w:type="dxa"/>
            <w:bottom w:w="0" w:type="dxa"/>
            <w:right w:w="108" w:type="dxa"/>
          </w:tblCellMar>
        </w:tblPrEx>
        <w:trPr>
          <w:trHeight w:val="568"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9</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蔡亚娟</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2,501,539</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0.69</w:t>
            </w:r>
          </w:p>
        </w:tc>
      </w:tr>
      <w:tr>
        <w:tblPrEx>
          <w:tblCellMar>
            <w:top w:w="0" w:type="dxa"/>
            <w:left w:w="108" w:type="dxa"/>
            <w:bottom w:w="0" w:type="dxa"/>
            <w:right w:w="108" w:type="dxa"/>
          </w:tblCellMar>
        </w:tblPrEx>
        <w:trPr>
          <w:trHeight w:val="576" w:hRule="exact"/>
          <w:jc w:val="center"/>
        </w:trPr>
        <w:tc>
          <w:tcPr>
            <w:tcW w:w="1088" w:type="dxa"/>
            <w:tcBorders>
              <w:top w:val="nil"/>
              <w:left w:val="single" w:color="auto" w:sz="4" w:space="0"/>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10</w:t>
            </w:r>
          </w:p>
        </w:tc>
        <w:tc>
          <w:tcPr>
            <w:tcW w:w="1710"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eastAsia" w:ascii="Times New Roman" w:hAnsi="Times New Roman" w:eastAsia="仿宋_GB2312" w:cs="Times New Roman"/>
                <w:color w:val="auto"/>
                <w:kern w:val="0"/>
                <w:sz w:val="24"/>
                <w:szCs w:val="24"/>
                <w:highlight w:val="none"/>
                <w:lang w:val="en-US" w:eastAsia="zh-CN"/>
              </w:rPr>
            </w:pPr>
            <w:r>
              <w:rPr>
                <w:rFonts w:hint="eastAsia" w:ascii="Times New Roman" w:hAnsi="Times New Roman" w:eastAsia="仿宋_GB2312" w:cs="Times New Roman"/>
                <w:color w:val="auto"/>
                <w:kern w:val="0"/>
                <w:sz w:val="24"/>
                <w:szCs w:val="24"/>
                <w:highlight w:val="none"/>
                <w:lang w:val="en-US" w:eastAsia="zh-CN"/>
              </w:rPr>
              <w:t>李彦军</w:t>
            </w:r>
          </w:p>
        </w:tc>
        <w:tc>
          <w:tcPr>
            <w:tcW w:w="2805" w:type="dxa"/>
            <w:tcBorders>
              <w:top w:val="nil"/>
              <w:left w:val="nil"/>
              <w:bottom w:val="single" w:color="auto" w:sz="4" w:space="0"/>
              <w:right w:val="single" w:color="auto" w:sz="4" w:space="0"/>
            </w:tcBorders>
            <w:shd w:val="clear" w:color="auto" w:fill="auto"/>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2,059,448</w:t>
            </w:r>
          </w:p>
        </w:tc>
        <w:tc>
          <w:tcPr>
            <w:tcW w:w="2265" w:type="dxa"/>
            <w:tcBorders>
              <w:top w:val="nil"/>
              <w:left w:val="nil"/>
              <w:bottom w:val="single" w:color="auto" w:sz="4" w:space="0"/>
              <w:right w:val="single" w:color="auto" w:sz="4" w:space="0"/>
            </w:tcBorders>
            <w:noWrap w:val="0"/>
            <w:vAlign w:val="top"/>
          </w:tcPr>
          <w:p>
            <w:pPr>
              <w:keepNext w:val="0"/>
              <w:keepLines w:val="0"/>
              <w:pageBreakBefore w:val="0"/>
              <w:widowControl/>
              <w:kinsoku/>
              <w:wordWrap/>
              <w:topLinePunct w:val="0"/>
              <w:bidi w:val="0"/>
              <w:spacing w:line="560" w:lineRule="exact"/>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0.56</w:t>
            </w:r>
          </w:p>
        </w:tc>
      </w:tr>
    </w:tbl>
    <w:p>
      <w:pPr>
        <w:keepNext w:val="0"/>
        <w:keepLines w:val="0"/>
        <w:pageBreakBefore w:val="0"/>
        <w:kinsoku/>
        <w:wordWrap/>
        <w:topLinePunct w:val="0"/>
        <w:bidi w:val="0"/>
        <w:spacing w:line="560"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（四）股权转让情况</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报告期内，本行共发生自然人股权转让</w:t>
      </w:r>
      <w:r>
        <w:rPr>
          <w:rFonts w:hint="eastAsia" w:cs="Times New Roman"/>
          <w:color w:val="auto"/>
          <w:sz w:val="32"/>
          <w:szCs w:val="32"/>
          <w:highlight w:val="none"/>
          <w:lang w:val="en-US" w:eastAsia="zh-CN"/>
        </w:rPr>
        <w:t>18</w:t>
      </w:r>
      <w:r>
        <w:rPr>
          <w:rFonts w:hint="default" w:ascii="Times New Roman" w:hAnsi="Times New Roman" w:eastAsia="仿宋_GB2312" w:cs="Times New Roman"/>
          <w:color w:val="auto"/>
          <w:sz w:val="32"/>
          <w:szCs w:val="32"/>
          <w:highlight w:val="none"/>
        </w:rPr>
        <w:t>户，转让股权</w:t>
      </w:r>
      <w:r>
        <w:rPr>
          <w:rFonts w:hint="eastAsia" w:cs="Times New Roman"/>
          <w:color w:val="auto"/>
          <w:sz w:val="32"/>
          <w:szCs w:val="32"/>
          <w:highlight w:val="none"/>
          <w:lang w:val="en-US" w:eastAsia="zh-CN"/>
        </w:rPr>
        <w:t>2969105</w:t>
      </w:r>
      <w:r>
        <w:rPr>
          <w:rFonts w:hint="default" w:ascii="Times New Roman" w:hAnsi="Times New Roman" w:eastAsia="仿宋_GB2312" w:cs="Times New Roman"/>
          <w:color w:val="auto"/>
          <w:sz w:val="32"/>
          <w:szCs w:val="32"/>
          <w:highlight w:val="none"/>
        </w:rPr>
        <w:t>股，占总股本的</w:t>
      </w:r>
      <w:r>
        <w:rPr>
          <w:rFonts w:hint="eastAsia" w:cs="Times New Roman"/>
          <w:color w:val="auto"/>
          <w:sz w:val="32"/>
          <w:szCs w:val="32"/>
          <w:highlight w:val="none"/>
          <w:lang w:val="en-US" w:eastAsia="zh-CN"/>
        </w:rPr>
        <w:t>0.81</w:t>
      </w:r>
      <w:r>
        <w:rPr>
          <w:rFonts w:hint="default" w:ascii="Times New Roman" w:hAnsi="Times New Roman" w:eastAsia="仿宋_GB2312" w:cs="Times New Roman"/>
          <w:color w:val="auto"/>
          <w:sz w:val="32"/>
          <w:szCs w:val="32"/>
          <w:highlight w:val="none"/>
        </w:rPr>
        <w:t>%；发生法人股权转让</w:t>
      </w:r>
      <w:r>
        <w:rPr>
          <w:rFonts w:hint="eastAsia" w:cs="Times New Roman"/>
          <w:color w:val="auto"/>
          <w:sz w:val="32"/>
          <w:szCs w:val="32"/>
          <w:highlight w:val="none"/>
          <w:lang w:val="en-US" w:eastAsia="zh-CN"/>
        </w:rPr>
        <w:t>1户，转让股权23095301股，占总股本的6.33%</w:t>
      </w:r>
      <w:r>
        <w:rPr>
          <w:rFonts w:hint="default" w:ascii="Times New Roman" w:hAnsi="Times New Roman" w:eastAsia="仿宋_GB2312" w:cs="Times New Roman"/>
          <w:color w:val="auto"/>
          <w:sz w:val="32"/>
          <w:szCs w:val="32"/>
          <w:highlight w:val="none"/>
        </w:rPr>
        <w:t>。</w:t>
      </w:r>
    </w:p>
    <w:p>
      <w:pPr>
        <w:keepNext w:val="0"/>
        <w:keepLines w:val="0"/>
        <w:pageBreakBefore w:val="0"/>
        <w:kinsoku/>
        <w:wordWrap/>
        <w:topLinePunct w:val="0"/>
        <w:bidi w:val="0"/>
        <w:spacing w:line="560" w:lineRule="exact"/>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lang w:val="en-US" w:eastAsia="zh-CN"/>
        </w:rPr>
        <w:t>五</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 w:cs="Times New Roman"/>
          <w:color w:val="auto"/>
          <w:sz w:val="32"/>
          <w:szCs w:val="32"/>
          <w:highlight w:val="none"/>
        </w:rPr>
        <w:t xml:space="preserve">股份冻结、质押情况 </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报告期末，根据人民法院要求进行股权冻结</w:t>
      </w:r>
      <w:r>
        <w:rPr>
          <w:rFonts w:hint="default" w:ascii="Times New Roman" w:hAnsi="Times New Roman" w:eastAsia="仿宋_GB2312" w:cs="Times New Roman"/>
          <w:color w:val="auto"/>
          <w:sz w:val="32"/>
          <w:szCs w:val="32"/>
          <w:highlight w:val="none"/>
          <w:lang w:eastAsia="zh-CN"/>
        </w:rPr>
        <w:t>法人</w:t>
      </w:r>
      <w:r>
        <w:rPr>
          <w:rFonts w:hint="default" w:ascii="Times New Roman" w:hAnsi="Times New Roman" w:eastAsia="仿宋_GB2312" w:cs="Times New Roman"/>
          <w:color w:val="auto"/>
          <w:sz w:val="32"/>
          <w:szCs w:val="32"/>
          <w:highlight w:val="none"/>
        </w:rPr>
        <w:t>股权</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户，冻结股权</w:t>
      </w:r>
      <w:r>
        <w:rPr>
          <w:rFonts w:hint="eastAsia" w:cs="Times New Roman"/>
          <w:color w:val="auto"/>
          <w:sz w:val="32"/>
          <w:szCs w:val="32"/>
          <w:highlight w:val="none"/>
          <w:lang w:val="en-US" w:eastAsia="zh-CN"/>
        </w:rPr>
        <w:t>57456385</w:t>
      </w:r>
      <w:r>
        <w:rPr>
          <w:rFonts w:hint="default" w:ascii="Times New Roman" w:hAnsi="Times New Roman" w:eastAsia="仿宋_GB2312" w:cs="Times New Roman"/>
          <w:color w:val="auto"/>
          <w:sz w:val="32"/>
          <w:szCs w:val="32"/>
          <w:highlight w:val="none"/>
        </w:rPr>
        <w:t>股，占总股本的</w:t>
      </w:r>
      <w:r>
        <w:rPr>
          <w:rFonts w:hint="eastAsia" w:cs="Times New Roman"/>
          <w:color w:val="auto"/>
          <w:sz w:val="32"/>
          <w:szCs w:val="32"/>
          <w:highlight w:val="none"/>
          <w:lang w:val="en-US" w:eastAsia="zh-CN"/>
        </w:rPr>
        <w:t>15.74</w:t>
      </w:r>
      <w:r>
        <w:rPr>
          <w:rFonts w:hint="default" w:ascii="Times New Roman" w:hAnsi="Times New Roman" w:eastAsia="仿宋_GB2312" w:cs="Times New Roman"/>
          <w:color w:val="auto"/>
          <w:sz w:val="32"/>
          <w:szCs w:val="32"/>
          <w:highlight w:val="none"/>
        </w:rPr>
        <w:t>%。</w:t>
      </w:r>
      <w:r>
        <w:rPr>
          <w:rFonts w:hint="eastAsia" w:cs="Times New Roman"/>
          <w:color w:val="auto"/>
          <w:sz w:val="32"/>
          <w:szCs w:val="32"/>
          <w:highlight w:val="none"/>
          <w:lang w:eastAsia="zh-CN"/>
        </w:rPr>
        <w:t>冻结自然人股权</w:t>
      </w:r>
      <w:r>
        <w:rPr>
          <w:rFonts w:hint="eastAsia" w:cs="Times New Roman"/>
          <w:color w:val="auto"/>
          <w:sz w:val="32"/>
          <w:szCs w:val="32"/>
          <w:highlight w:val="none"/>
          <w:lang w:val="en-US" w:eastAsia="zh-CN"/>
        </w:rPr>
        <w:t>3户，冻结股权763098股，占总股本的0.21%</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本行被质押法人股</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户，质押股权</w:t>
      </w:r>
      <w:r>
        <w:rPr>
          <w:rFonts w:hint="default" w:ascii="Times New Roman" w:hAnsi="Times New Roman" w:eastAsia="仿宋_GB2312" w:cs="Times New Roman"/>
          <w:color w:val="auto"/>
          <w:sz w:val="32"/>
          <w:szCs w:val="32"/>
          <w:highlight w:val="none"/>
          <w:lang w:val="en-US" w:eastAsia="zh-CN"/>
        </w:rPr>
        <w:t>49074752</w:t>
      </w:r>
      <w:r>
        <w:rPr>
          <w:rFonts w:hint="default" w:ascii="Times New Roman" w:hAnsi="Times New Roman" w:eastAsia="仿宋_GB2312" w:cs="Times New Roman"/>
          <w:color w:val="auto"/>
          <w:sz w:val="32"/>
          <w:szCs w:val="32"/>
          <w:highlight w:val="none"/>
        </w:rPr>
        <w:t>股，占总股本的</w:t>
      </w:r>
      <w:r>
        <w:rPr>
          <w:rFonts w:hint="default" w:ascii="Times New Roman" w:hAnsi="Times New Roman" w:eastAsia="仿宋_GB2312" w:cs="Times New Roman"/>
          <w:color w:val="auto"/>
          <w:sz w:val="32"/>
          <w:szCs w:val="32"/>
          <w:highlight w:val="none"/>
          <w:lang w:val="en-US" w:eastAsia="zh-CN"/>
        </w:rPr>
        <w:t>13.45</w:t>
      </w:r>
      <w:r>
        <w:rPr>
          <w:rFonts w:hint="default" w:ascii="Times New Roman" w:hAnsi="Times New Roman" w:eastAsia="仿宋_GB2312" w:cs="Times New Roman"/>
          <w:color w:val="auto"/>
          <w:sz w:val="32"/>
          <w:szCs w:val="32"/>
          <w:highlight w:val="none"/>
        </w:rPr>
        <w:t>%。不存在本行股东将所持本行股权质押在本行的情形。</w:t>
      </w:r>
    </w:p>
    <w:p>
      <w:pPr>
        <w:pStyle w:val="8"/>
        <w:keepNext w:val="0"/>
        <w:keepLines w:val="0"/>
        <w:pageBreakBefore w:val="0"/>
        <w:kinsoku/>
        <w:wordWrap/>
        <w:topLinePunct w:val="0"/>
        <w:bidi w:val="0"/>
        <w:spacing w:line="560" w:lineRule="exact"/>
        <w:rPr>
          <w:rFonts w:hint="default" w:ascii="Times New Roman" w:hAnsi="Times New Roman" w:cs="Times New Roman"/>
          <w:color w:val="auto"/>
          <w:highlight w:val="none"/>
        </w:rPr>
      </w:pPr>
    </w:p>
    <w:p>
      <w:pPr>
        <w:keepNext w:val="0"/>
        <w:keepLines w:val="0"/>
        <w:pageBreakBefore w:val="0"/>
        <w:numPr>
          <w:ilvl w:val="0"/>
          <w:numId w:val="1"/>
        </w:numPr>
        <w:kinsoku/>
        <w:wordWrap/>
        <w:topLinePunct w:val="0"/>
        <w:bidi w:val="0"/>
        <w:adjustRightInd w:val="0"/>
        <w:snapToGrid w:val="0"/>
        <w:spacing w:line="560" w:lineRule="exact"/>
        <w:ind w:left="0" w:leftChars="0" w:firstLine="0" w:firstLineChars="0"/>
        <w:jc w:val="center"/>
        <w:rPr>
          <w:rFonts w:hint="eastAsia" w:ascii="黑体" w:hAnsi="黑体" w:eastAsia="黑体" w:cs="黑体"/>
          <w:b w:val="0"/>
          <w:bCs/>
          <w:color w:val="auto"/>
          <w:sz w:val="36"/>
          <w:szCs w:val="36"/>
          <w:highlight w:val="none"/>
          <w:lang w:val="en-US" w:eastAsia="zh-CN"/>
        </w:rPr>
      </w:pPr>
      <w:r>
        <w:rPr>
          <w:rFonts w:hint="eastAsia" w:ascii="黑体" w:hAnsi="黑体" w:eastAsia="黑体" w:cs="黑体"/>
          <w:b w:val="0"/>
          <w:bCs/>
          <w:color w:val="auto"/>
          <w:sz w:val="36"/>
          <w:szCs w:val="36"/>
          <w:highlight w:val="none"/>
          <w:lang w:val="en-US" w:eastAsia="zh-CN"/>
        </w:rPr>
        <w:t xml:space="preserve">  董事、监事、高级管理人员和员工情况</w:t>
      </w:r>
    </w:p>
    <w:p>
      <w:pPr>
        <w:pStyle w:val="11"/>
        <w:keepNext w:val="0"/>
        <w:keepLines w:val="0"/>
        <w:pageBreakBefore w:val="0"/>
        <w:kinsoku/>
        <w:wordWrap/>
        <w:topLinePunct w:val="0"/>
        <w:bidi w:val="0"/>
        <w:spacing w:line="560" w:lineRule="exact"/>
        <w:rPr>
          <w:rFonts w:hint="eastAsia"/>
          <w:color w:val="auto"/>
          <w:highlight w:val="none"/>
          <w:lang w:val="en-US" w:eastAsia="zh-CN"/>
        </w:rPr>
      </w:pPr>
    </w:p>
    <w:p>
      <w:pPr>
        <w:keepNext w:val="0"/>
        <w:keepLines w:val="0"/>
        <w:pageBreakBefore w:val="0"/>
        <w:numPr>
          <w:ilvl w:val="0"/>
          <w:numId w:val="3"/>
        </w:numPr>
        <w:kinsoku/>
        <w:wordWrap/>
        <w:topLinePunct w:val="0"/>
        <w:bidi w:val="0"/>
        <w:spacing w:line="560" w:lineRule="exact"/>
        <w:ind w:firstLine="640" w:firstLineChars="200"/>
        <w:rPr>
          <w:rFonts w:hint="eastAsia" w:ascii="黑体" w:hAnsi="黑体" w:eastAsia="黑体" w:cs="黑体"/>
          <w:color w:val="auto"/>
          <w:kern w:val="0"/>
          <w:sz w:val="32"/>
          <w:szCs w:val="32"/>
          <w:highlight w:val="none"/>
          <w:lang w:val="zh-CN"/>
        </w:rPr>
      </w:pPr>
      <w:r>
        <w:rPr>
          <w:rFonts w:hint="eastAsia" w:ascii="黑体" w:hAnsi="黑体" w:eastAsia="黑体" w:cs="黑体"/>
          <w:color w:val="auto"/>
          <w:kern w:val="0"/>
          <w:sz w:val="32"/>
          <w:szCs w:val="32"/>
          <w:highlight w:val="none"/>
          <w:lang w:val="zh-CN"/>
        </w:rPr>
        <w:t>董事、监事、高级管理人员的基本情况</w:t>
      </w:r>
    </w:p>
    <w:p>
      <w:pPr>
        <w:keepNext w:val="0"/>
        <w:keepLines w:val="0"/>
        <w:pageBreakBefore w:val="0"/>
        <w:numPr>
          <w:ilvl w:val="0"/>
          <w:numId w:val="4"/>
        </w:numPr>
        <w:kinsoku/>
        <w:wordWrap/>
        <w:topLinePunct w:val="0"/>
        <w:bidi w:val="0"/>
        <w:spacing w:line="560" w:lineRule="exact"/>
        <w:ind w:left="1630" w:leftChars="0" w:firstLineChars="0"/>
        <w:rPr>
          <w:rFonts w:hint="eastAsia" w:ascii="楷体" w:hAnsi="楷体" w:eastAsia="楷体" w:cs="楷体"/>
          <w:color w:val="auto"/>
          <w:kern w:val="0"/>
          <w:sz w:val="32"/>
          <w:szCs w:val="32"/>
          <w:highlight w:val="none"/>
          <w:lang w:val="zh-CN"/>
        </w:rPr>
      </w:pPr>
      <w:r>
        <w:rPr>
          <w:rFonts w:hint="eastAsia" w:ascii="楷体" w:hAnsi="楷体" w:eastAsia="楷体" w:cs="楷体"/>
          <w:color w:val="auto"/>
          <w:kern w:val="0"/>
          <w:sz w:val="32"/>
          <w:szCs w:val="32"/>
          <w:highlight w:val="none"/>
          <w:lang w:val="zh-CN"/>
        </w:rPr>
        <w:t>董事基本情况</w:t>
      </w:r>
    </w:p>
    <w:tbl>
      <w:tblPr>
        <w:tblStyle w:val="12"/>
        <w:tblW w:w="0" w:type="auto"/>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9"/>
        <w:gridCol w:w="2161"/>
        <w:gridCol w:w="1632"/>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9" w:type="dxa"/>
            <w:noWrap w:val="0"/>
            <w:vAlign w:val="top"/>
          </w:tcPr>
          <w:p>
            <w:pPr>
              <w:keepNext w:val="0"/>
              <w:keepLines w:val="0"/>
              <w:pageBreakBefore w:val="0"/>
              <w:kinsoku/>
              <w:wordWrap/>
              <w:topLinePunct w:val="0"/>
              <w:bidi w:val="0"/>
              <w:spacing w:line="560" w:lineRule="exact"/>
              <w:ind w:firstLine="551" w:firstLineChars="196"/>
              <w:rPr>
                <w:rFonts w:hint="eastAsia" w:ascii="仿宋" w:hAnsi="仿宋" w:eastAsia="仿宋" w:cs="仿宋_GB2312"/>
                <w:b/>
                <w:color w:val="auto"/>
                <w:kern w:val="0"/>
                <w:sz w:val="28"/>
                <w:szCs w:val="28"/>
                <w:highlight w:val="none"/>
                <w:lang w:val="zh-CN"/>
              </w:rPr>
            </w:pPr>
            <w:r>
              <w:rPr>
                <w:rFonts w:hint="eastAsia" w:ascii="仿宋" w:hAnsi="仿宋" w:eastAsia="仿宋" w:cs="仿宋_GB2312"/>
                <w:b/>
                <w:color w:val="auto"/>
                <w:kern w:val="0"/>
                <w:sz w:val="28"/>
                <w:szCs w:val="28"/>
                <w:highlight w:val="none"/>
                <w:lang w:val="zh-CN"/>
              </w:rPr>
              <w:t>姓  名</w:t>
            </w:r>
          </w:p>
        </w:tc>
        <w:tc>
          <w:tcPr>
            <w:tcW w:w="2161" w:type="dxa"/>
            <w:noWrap w:val="0"/>
            <w:vAlign w:val="top"/>
          </w:tcPr>
          <w:p>
            <w:pPr>
              <w:keepNext w:val="0"/>
              <w:keepLines w:val="0"/>
              <w:pageBreakBefore w:val="0"/>
              <w:kinsoku/>
              <w:wordWrap/>
              <w:topLinePunct w:val="0"/>
              <w:bidi w:val="0"/>
              <w:spacing w:line="560" w:lineRule="exact"/>
              <w:ind w:firstLine="697" w:firstLineChars="248"/>
              <w:rPr>
                <w:rFonts w:hint="eastAsia" w:ascii="仿宋" w:hAnsi="仿宋" w:eastAsia="仿宋" w:cs="仿宋_GB2312"/>
                <w:b/>
                <w:color w:val="auto"/>
                <w:kern w:val="0"/>
                <w:sz w:val="28"/>
                <w:szCs w:val="28"/>
                <w:highlight w:val="none"/>
                <w:lang w:val="zh-CN"/>
              </w:rPr>
            </w:pPr>
            <w:r>
              <w:rPr>
                <w:rFonts w:hint="eastAsia" w:ascii="仿宋" w:hAnsi="仿宋" w:eastAsia="仿宋" w:cs="仿宋_GB2312"/>
                <w:b/>
                <w:color w:val="auto"/>
                <w:kern w:val="0"/>
                <w:sz w:val="28"/>
                <w:szCs w:val="28"/>
                <w:highlight w:val="none"/>
                <w:lang w:val="zh-CN"/>
              </w:rPr>
              <w:t>职  务</w:t>
            </w:r>
          </w:p>
        </w:tc>
        <w:tc>
          <w:tcPr>
            <w:tcW w:w="1632" w:type="dxa"/>
            <w:noWrap w:val="0"/>
            <w:vAlign w:val="top"/>
          </w:tcPr>
          <w:p>
            <w:pPr>
              <w:keepNext w:val="0"/>
              <w:keepLines w:val="0"/>
              <w:pageBreakBefore w:val="0"/>
              <w:kinsoku/>
              <w:wordWrap/>
              <w:topLinePunct w:val="0"/>
              <w:bidi w:val="0"/>
              <w:spacing w:line="560" w:lineRule="exact"/>
              <w:ind w:firstLine="422" w:firstLineChars="150"/>
              <w:jc w:val="center"/>
              <w:rPr>
                <w:rFonts w:hint="eastAsia" w:ascii="仿宋" w:hAnsi="仿宋" w:eastAsia="仿宋" w:cs="仿宋_GB2312"/>
                <w:b/>
                <w:color w:val="auto"/>
                <w:kern w:val="0"/>
                <w:sz w:val="28"/>
                <w:szCs w:val="28"/>
                <w:highlight w:val="none"/>
                <w:lang w:val="zh-CN"/>
              </w:rPr>
            </w:pPr>
            <w:r>
              <w:rPr>
                <w:rFonts w:hint="eastAsia" w:ascii="仿宋" w:hAnsi="仿宋" w:eastAsia="仿宋" w:cs="仿宋_GB2312"/>
                <w:b/>
                <w:color w:val="auto"/>
                <w:kern w:val="0"/>
                <w:sz w:val="28"/>
                <w:szCs w:val="28"/>
                <w:highlight w:val="none"/>
                <w:lang w:val="zh-CN"/>
              </w:rPr>
              <w:t>性  别</w:t>
            </w:r>
          </w:p>
        </w:tc>
        <w:tc>
          <w:tcPr>
            <w:tcW w:w="2025" w:type="dxa"/>
            <w:noWrap w:val="0"/>
            <w:vAlign w:val="top"/>
          </w:tcPr>
          <w:p>
            <w:pPr>
              <w:keepNext w:val="0"/>
              <w:keepLines w:val="0"/>
              <w:pageBreakBefore w:val="0"/>
              <w:kinsoku/>
              <w:wordWrap/>
              <w:topLinePunct w:val="0"/>
              <w:bidi w:val="0"/>
              <w:spacing w:line="560" w:lineRule="exact"/>
              <w:jc w:val="center"/>
              <w:rPr>
                <w:rFonts w:hint="eastAsia" w:ascii="仿宋" w:hAnsi="仿宋" w:eastAsia="仿宋" w:cs="仿宋_GB2312"/>
                <w:b/>
                <w:color w:val="auto"/>
                <w:kern w:val="0"/>
                <w:sz w:val="28"/>
                <w:szCs w:val="28"/>
                <w:highlight w:val="none"/>
                <w:lang w:val="zh-CN"/>
              </w:rPr>
            </w:pPr>
            <w:r>
              <w:rPr>
                <w:rFonts w:hint="eastAsia" w:ascii="仿宋" w:hAnsi="仿宋" w:eastAsia="仿宋" w:cs="仿宋_GB2312"/>
                <w:b/>
                <w:color w:val="auto"/>
                <w:kern w:val="0"/>
                <w:sz w:val="28"/>
                <w:szCs w:val="28"/>
                <w:highlight w:val="none"/>
                <w:lang w:val="zh-CN"/>
              </w:rPr>
              <w:t>出生年月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江弘</w:t>
            </w:r>
          </w:p>
        </w:tc>
        <w:tc>
          <w:tcPr>
            <w:tcW w:w="2161" w:type="dxa"/>
            <w:noWrap w:val="0"/>
            <w:vAlign w:val="center"/>
          </w:tcPr>
          <w:p>
            <w:pPr>
              <w:keepNext w:val="0"/>
              <w:keepLines w:val="0"/>
              <w:pageBreakBefore w:val="0"/>
              <w:kinsoku/>
              <w:wordWrap/>
              <w:topLinePunct w:val="0"/>
              <w:bidi w:val="0"/>
              <w:spacing w:line="560" w:lineRule="exact"/>
              <w:jc w:val="center"/>
              <w:rPr>
                <w:rFonts w:hint="eastAsia"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董事</w:t>
            </w:r>
            <w:r>
              <w:rPr>
                <w:rFonts w:hint="eastAsia" w:cs="Times New Roman"/>
                <w:color w:val="auto"/>
                <w:sz w:val="28"/>
                <w:szCs w:val="28"/>
                <w:highlight w:val="none"/>
                <w:lang w:eastAsia="zh-CN"/>
              </w:rPr>
              <w:t>长</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2025"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kern w:val="0"/>
                <w:sz w:val="28"/>
                <w:szCs w:val="28"/>
                <w:highlight w:val="none"/>
                <w:lang w:val="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74</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陈优凯</w:t>
            </w:r>
          </w:p>
        </w:tc>
        <w:tc>
          <w:tcPr>
            <w:tcW w:w="216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198</w:t>
            </w:r>
            <w:r>
              <w:rPr>
                <w:rFonts w:hint="default" w:ascii="Times New Roman" w:hAnsi="Times New Roman"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rPr>
              <w:t>.0</w:t>
            </w:r>
            <w:r>
              <w:rPr>
                <w:rFonts w:hint="default" w:ascii="Times New Roman" w:hAnsi="Times New Roman" w:eastAsia="仿宋_GB2312" w:cs="Times New Roman"/>
                <w:color w:val="auto"/>
                <w:sz w:val="28"/>
                <w:szCs w:val="28"/>
                <w:highlight w:val="none"/>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张桂华</w:t>
            </w:r>
          </w:p>
        </w:tc>
        <w:tc>
          <w:tcPr>
            <w:tcW w:w="2161" w:type="dxa"/>
            <w:noWrap w:val="0"/>
            <w:vAlign w:val="top"/>
          </w:tcPr>
          <w:p>
            <w:pPr>
              <w:keepNext w:val="0"/>
              <w:keepLines w:val="0"/>
              <w:pageBreakBefore w:val="0"/>
              <w:kinsoku/>
              <w:wordWrap/>
              <w:topLinePunct w:val="0"/>
              <w:bidi w:val="0"/>
              <w:spacing w:line="56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女</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1971.10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陈健</w:t>
            </w:r>
          </w:p>
        </w:tc>
        <w:tc>
          <w:tcPr>
            <w:tcW w:w="2161" w:type="dxa"/>
            <w:noWrap w:val="0"/>
            <w:vAlign w:val="top"/>
          </w:tcPr>
          <w:p>
            <w:pPr>
              <w:keepNext w:val="0"/>
              <w:keepLines w:val="0"/>
              <w:pageBreakBefore w:val="0"/>
              <w:kinsoku/>
              <w:wordWrap/>
              <w:topLinePunct w:val="0"/>
              <w:bidi w:val="0"/>
              <w:spacing w:line="560" w:lineRule="exact"/>
              <w:ind w:firstLine="280" w:firstLineChars="1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独立董事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1967.11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袁雨芳</w:t>
            </w:r>
          </w:p>
        </w:tc>
        <w:tc>
          <w:tcPr>
            <w:tcW w:w="216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女</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1975.03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黄思刚</w:t>
            </w:r>
          </w:p>
        </w:tc>
        <w:tc>
          <w:tcPr>
            <w:tcW w:w="216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独立董事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男</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196</w:t>
            </w:r>
            <w:r>
              <w:rPr>
                <w:rFonts w:hint="default"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.0</w:t>
            </w:r>
            <w:r>
              <w:rPr>
                <w:rFonts w:hint="default" w:ascii="Times New Roman" w:hAnsi="Times New Roman" w:eastAsia="仿宋_GB2312" w:cs="Times New Roman"/>
                <w:color w:val="auto"/>
                <w:sz w:val="28"/>
                <w:szCs w:val="28"/>
                <w:highlight w:val="none"/>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 w:hRule="atLeast"/>
        </w:trPr>
        <w:tc>
          <w:tcPr>
            <w:tcW w:w="1799"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熊晓炼</w:t>
            </w:r>
          </w:p>
        </w:tc>
        <w:tc>
          <w:tcPr>
            <w:tcW w:w="216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独立董事</w:t>
            </w:r>
          </w:p>
        </w:tc>
        <w:tc>
          <w:tcPr>
            <w:tcW w:w="1632"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女</w:t>
            </w:r>
          </w:p>
        </w:tc>
        <w:tc>
          <w:tcPr>
            <w:tcW w:w="20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1971.05</w:t>
            </w:r>
          </w:p>
        </w:tc>
      </w:tr>
    </w:tbl>
    <w:p>
      <w:pPr>
        <w:keepNext w:val="0"/>
        <w:keepLines w:val="0"/>
        <w:pageBreakBefore w:val="0"/>
        <w:numPr>
          <w:ilvl w:val="0"/>
          <w:numId w:val="0"/>
        </w:numPr>
        <w:kinsoku/>
        <w:wordWrap/>
        <w:topLinePunct w:val="0"/>
        <w:bidi w:val="0"/>
        <w:spacing w:line="560" w:lineRule="exact"/>
        <w:ind w:left="640" w:leftChars="0"/>
        <w:rPr>
          <w:rFonts w:hint="default" w:ascii="Times New Roman" w:hAnsi="Times New Roman" w:eastAsia="楷体" w:cs="Times New Roman"/>
          <w:color w:val="auto"/>
          <w:kern w:val="0"/>
          <w:sz w:val="32"/>
          <w:szCs w:val="32"/>
          <w:highlight w:val="none"/>
          <w:lang w:val="zh-CN"/>
        </w:rPr>
      </w:pPr>
      <w:r>
        <w:rPr>
          <w:rFonts w:hint="default" w:ascii="Times New Roman" w:hAnsi="Times New Roman" w:eastAsia="楷体" w:cs="Times New Roman"/>
          <w:color w:val="auto"/>
          <w:kern w:val="0"/>
          <w:sz w:val="32"/>
          <w:szCs w:val="32"/>
          <w:highlight w:val="none"/>
          <w:lang w:val="zh-CN"/>
        </w:rPr>
        <w:t>（二）监事基本情况</w:t>
      </w:r>
    </w:p>
    <w:tbl>
      <w:tblPr>
        <w:tblStyle w:val="12"/>
        <w:tblW w:w="0" w:type="auto"/>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0"/>
        <w:gridCol w:w="2532"/>
        <w:gridCol w:w="1320"/>
        <w:gridCol w:w="1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top"/>
          </w:tcPr>
          <w:p>
            <w:pPr>
              <w:keepNext w:val="0"/>
              <w:keepLines w:val="0"/>
              <w:pageBreakBefore w:val="0"/>
              <w:kinsoku/>
              <w:wordWrap/>
              <w:topLinePunct w:val="0"/>
              <w:bidi w:val="0"/>
              <w:spacing w:line="560" w:lineRule="exact"/>
              <w:ind w:firstLine="422" w:firstLineChars="150"/>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姓   名</w:t>
            </w:r>
          </w:p>
        </w:tc>
        <w:tc>
          <w:tcPr>
            <w:tcW w:w="2532" w:type="dxa"/>
            <w:noWrap w:val="0"/>
            <w:vAlign w:val="top"/>
          </w:tcPr>
          <w:p>
            <w:pPr>
              <w:keepNext w:val="0"/>
              <w:keepLines w:val="0"/>
              <w:pageBreakBefore w:val="0"/>
              <w:kinsoku/>
              <w:wordWrap/>
              <w:topLinePunct w:val="0"/>
              <w:bidi w:val="0"/>
              <w:spacing w:line="560" w:lineRule="exact"/>
              <w:ind w:firstLine="843" w:firstLineChars="300"/>
              <w:jc w:val="both"/>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职  务</w:t>
            </w:r>
          </w:p>
        </w:tc>
        <w:tc>
          <w:tcPr>
            <w:tcW w:w="1320" w:type="dxa"/>
            <w:noWrap w:val="0"/>
            <w:vAlign w:val="top"/>
          </w:tcPr>
          <w:p>
            <w:pPr>
              <w:keepNext w:val="0"/>
              <w:keepLines w:val="0"/>
              <w:pageBreakBefore w:val="0"/>
              <w:kinsoku/>
              <w:wordWrap/>
              <w:topLinePunct w:val="0"/>
              <w:bidi w:val="0"/>
              <w:spacing w:line="560" w:lineRule="exact"/>
              <w:ind w:firstLine="281" w:firstLineChars="100"/>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性别</w:t>
            </w:r>
          </w:p>
        </w:tc>
        <w:tc>
          <w:tcPr>
            <w:tcW w:w="19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出生年月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val="en-US" w:eastAsia="zh-CN"/>
              </w:rPr>
              <w:t>张芹</w:t>
            </w:r>
          </w:p>
        </w:tc>
        <w:tc>
          <w:tcPr>
            <w:tcW w:w="2532" w:type="dxa"/>
            <w:noWrap w:val="0"/>
            <w:vAlign w:val="center"/>
          </w:tcPr>
          <w:p>
            <w:pPr>
              <w:keepNext w:val="0"/>
              <w:keepLines w:val="0"/>
              <w:pageBreakBefore w:val="0"/>
              <w:kinsoku/>
              <w:wordWrap/>
              <w:topLinePunct w:val="0"/>
              <w:bidi w:val="0"/>
              <w:spacing w:line="560" w:lineRule="exact"/>
              <w:ind w:firstLine="840" w:firstLineChars="300"/>
              <w:rPr>
                <w:rFonts w:hint="eastAsia"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监事</w:t>
            </w:r>
            <w:r>
              <w:rPr>
                <w:rFonts w:hint="eastAsia" w:cs="Times New Roman"/>
                <w:color w:val="auto"/>
                <w:sz w:val="28"/>
                <w:szCs w:val="28"/>
                <w:highlight w:val="none"/>
                <w:lang w:eastAsia="zh-CN"/>
              </w:rPr>
              <w:t>长</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val="en-US" w:eastAsia="zh-CN"/>
              </w:rPr>
              <w:t>女</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72.01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邓成勇</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1967</w:t>
            </w:r>
            <w:r>
              <w:rPr>
                <w:rFonts w:hint="default"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宋钦</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吴奂</w:t>
            </w:r>
          </w:p>
        </w:tc>
        <w:tc>
          <w:tcPr>
            <w:tcW w:w="2532" w:type="dxa"/>
            <w:noWrap w:val="0"/>
            <w:vAlign w:val="center"/>
          </w:tcPr>
          <w:p>
            <w:pPr>
              <w:keepNext w:val="0"/>
              <w:keepLines w:val="0"/>
              <w:pageBreakBefore w:val="0"/>
              <w:kinsoku/>
              <w:wordWrap/>
              <w:topLinePunct w:val="0"/>
              <w:bidi w:val="0"/>
              <w:spacing w:line="560" w:lineRule="exact"/>
              <w:ind w:firstLine="840" w:firstLineChars="300"/>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rPr>
              <w:t>女</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1980.11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陶金</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外部</w:t>
            </w: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8</w:t>
            </w:r>
            <w:r>
              <w:rPr>
                <w:rFonts w:hint="default" w:ascii="Times New Roman" w:hAnsi="Times New Roman" w:eastAsia="仿宋_GB2312" w:cs="Times New Roman"/>
                <w:color w:val="auto"/>
                <w:sz w:val="28"/>
                <w:szCs w:val="28"/>
                <w:highlight w:val="none"/>
              </w:rPr>
              <w:t>2</w:t>
            </w:r>
            <w:r>
              <w:rPr>
                <w:rFonts w:hint="default"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赵庆峰</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外部</w:t>
            </w: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84</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0"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姜君</w:t>
            </w:r>
          </w:p>
        </w:tc>
        <w:tc>
          <w:tcPr>
            <w:tcW w:w="2532"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外部</w:t>
            </w:r>
            <w:r>
              <w:rPr>
                <w:rFonts w:hint="default" w:ascii="Times New Roman" w:hAnsi="Times New Roman" w:eastAsia="仿宋_GB2312" w:cs="Times New Roman"/>
                <w:color w:val="auto"/>
                <w:sz w:val="28"/>
                <w:szCs w:val="28"/>
                <w:highlight w:val="none"/>
              </w:rPr>
              <w:t>监事</w:t>
            </w:r>
          </w:p>
        </w:tc>
        <w:tc>
          <w:tcPr>
            <w:tcW w:w="132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男</w:t>
            </w:r>
          </w:p>
        </w:tc>
        <w:tc>
          <w:tcPr>
            <w:tcW w:w="1950"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19</w:t>
            </w:r>
            <w:r>
              <w:rPr>
                <w:rFonts w:hint="default" w:ascii="Times New Roman" w:hAnsi="Times New Roman" w:eastAsia="仿宋_GB2312" w:cs="Times New Roman"/>
                <w:color w:val="auto"/>
                <w:sz w:val="28"/>
                <w:szCs w:val="28"/>
                <w:highlight w:val="none"/>
                <w:lang w:val="en-US" w:eastAsia="zh-CN"/>
              </w:rPr>
              <w:t>86</w:t>
            </w:r>
            <w:r>
              <w:rPr>
                <w:rFonts w:hint="default" w:ascii="Times New Roman" w:hAnsi="Times New Roman" w:eastAsia="仿宋_GB2312" w:cs="Times New Roman"/>
                <w:color w:val="auto"/>
                <w:sz w:val="28"/>
                <w:szCs w:val="28"/>
                <w:highlight w:val="none"/>
              </w:rPr>
              <w:t>.0</w:t>
            </w:r>
            <w:r>
              <w:rPr>
                <w:rFonts w:hint="default" w:ascii="Times New Roman" w:hAnsi="Times New Roman" w:eastAsia="仿宋_GB2312" w:cs="Times New Roman"/>
                <w:color w:val="auto"/>
                <w:sz w:val="28"/>
                <w:szCs w:val="28"/>
                <w:highlight w:val="none"/>
                <w:lang w:val="en-US" w:eastAsia="zh-CN"/>
              </w:rPr>
              <w:t>7</w:t>
            </w:r>
          </w:p>
        </w:tc>
      </w:tr>
    </w:tbl>
    <w:p>
      <w:pPr>
        <w:keepNext w:val="0"/>
        <w:keepLines w:val="0"/>
        <w:pageBreakBefore w:val="0"/>
        <w:kinsoku/>
        <w:wordWrap/>
        <w:topLinePunct w:val="0"/>
        <w:bidi w:val="0"/>
        <w:spacing w:line="560" w:lineRule="exact"/>
        <w:ind w:firstLine="640" w:firstLineChars="200"/>
        <w:rPr>
          <w:rFonts w:hint="default" w:ascii="Times New Roman" w:hAnsi="Times New Roman" w:eastAsia="楷体" w:cs="Times New Roman"/>
          <w:color w:val="auto"/>
          <w:kern w:val="0"/>
          <w:sz w:val="32"/>
          <w:szCs w:val="32"/>
          <w:highlight w:val="none"/>
          <w:lang w:val="zh-CN"/>
        </w:rPr>
      </w:pPr>
      <w:r>
        <w:rPr>
          <w:rFonts w:hint="default" w:ascii="Times New Roman" w:hAnsi="Times New Roman" w:eastAsia="楷体" w:cs="Times New Roman"/>
          <w:color w:val="auto"/>
          <w:kern w:val="0"/>
          <w:sz w:val="32"/>
          <w:szCs w:val="32"/>
          <w:highlight w:val="none"/>
          <w:lang w:val="zh-CN"/>
        </w:rPr>
        <w:t>（三）高级管理人员基本情况</w:t>
      </w:r>
    </w:p>
    <w:tbl>
      <w:tblPr>
        <w:tblStyle w:val="12"/>
        <w:tblW w:w="0" w:type="auto"/>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7"/>
        <w:gridCol w:w="2850"/>
        <w:gridCol w:w="1125"/>
        <w:gridCol w:w="2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7" w:type="dxa"/>
            <w:noWrap w:val="0"/>
            <w:vAlign w:val="top"/>
          </w:tcPr>
          <w:p>
            <w:pPr>
              <w:keepNext w:val="0"/>
              <w:keepLines w:val="0"/>
              <w:pageBreakBefore w:val="0"/>
              <w:kinsoku/>
              <w:wordWrap/>
              <w:topLinePunct w:val="0"/>
              <w:bidi w:val="0"/>
              <w:spacing w:line="560" w:lineRule="exact"/>
              <w:ind w:firstLine="281" w:firstLineChars="100"/>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姓名</w:t>
            </w:r>
          </w:p>
        </w:tc>
        <w:tc>
          <w:tcPr>
            <w:tcW w:w="28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职务</w:t>
            </w:r>
          </w:p>
        </w:tc>
        <w:tc>
          <w:tcPr>
            <w:tcW w:w="1125"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性别</w:t>
            </w:r>
          </w:p>
        </w:tc>
        <w:tc>
          <w:tcPr>
            <w:tcW w:w="2588"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 w:cs="Times New Roman"/>
                <w:b/>
                <w:color w:val="auto"/>
                <w:kern w:val="0"/>
                <w:sz w:val="28"/>
                <w:szCs w:val="28"/>
                <w:highlight w:val="none"/>
                <w:lang w:val="zh-CN"/>
              </w:rPr>
            </w:pPr>
            <w:r>
              <w:rPr>
                <w:rFonts w:hint="default" w:ascii="Times New Roman" w:hAnsi="Times New Roman" w:eastAsia="仿宋" w:cs="Times New Roman"/>
                <w:b/>
                <w:color w:val="auto"/>
                <w:kern w:val="0"/>
                <w:sz w:val="28"/>
                <w:szCs w:val="28"/>
                <w:highlight w:val="none"/>
                <w:lang w:val="zh-CN"/>
              </w:rPr>
              <w:t>出生年月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1177"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eastAsia" w:cs="Times New Roman"/>
                <w:color w:val="auto"/>
                <w:sz w:val="28"/>
                <w:szCs w:val="28"/>
                <w:highlight w:val="none"/>
                <w:lang w:val="en-US" w:eastAsia="zh-CN"/>
              </w:rPr>
              <w:t>郑小龙</w:t>
            </w:r>
          </w:p>
        </w:tc>
        <w:tc>
          <w:tcPr>
            <w:tcW w:w="28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行长</w:t>
            </w:r>
          </w:p>
        </w:tc>
        <w:tc>
          <w:tcPr>
            <w:tcW w:w="1125"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男</w:t>
            </w:r>
          </w:p>
        </w:tc>
        <w:tc>
          <w:tcPr>
            <w:tcW w:w="2588"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198</w:t>
            </w:r>
            <w:r>
              <w:rPr>
                <w:rFonts w:hint="eastAsia" w:cs="Times New Roman"/>
                <w:color w:val="auto"/>
                <w:sz w:val="28"/>
                <w:szCs w:val="28"/>
                <w:highlight w:val="none"/>
                <w:lang w:val="en-US" w:eastAsia="zh-CN"/>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7"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陈优凯</w:t>
            </w:r>
          </w:p>
        </w:tc>
        <w:tc>
          <w:tcPr>
            <w:tcW w:w="28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副行长</w:t>
            </w:r>
          </w:p>
        </w:tc>
        <w:tc>
          <w:tcPr>
            <w:tcW w:w="11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男</w:t>
            </w:r>
          </w:p>
        </w:tc>
        <w:tc>
          <w:tcPr>
            <w:tcW w:w="2588"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1980.09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7"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蔡成</w:t>
            </w:r>
          </w:p>
        </w:tc>
        <w:tc>
          <w:tcPr>
            <w:tcW w:w="2850" w:type="dxa"/>
            <w:noWrap w:val="0"/>
            <w:vAlign w:val="top"/>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风险总监</w:t>
            </w:r>
          </w:p>
        </w:tc>
        <w:tc>
          <w:tcPr>
            <w:tcW w:w="1125"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男</w:t>
            </w:r>
          </w:p>
        </w:tc>
        <w:tc>
          <w:tcPr>
            <w:tcW w:w="2588"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1984.05</w:t>
            </w:r>
          </w:p>
        </w:tc>
      </w:tr>
    </w:tbl>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color w:val="auto"/>
          <w:kern w:val="2"/>
          <w:sz w:val="32"/>
          <w:szCs w:val="32"/>
          <w:highlight w:val="none"/>
          <w:lang w:val="zh-CN" w:eastAsia="zh-CN" w:bidi="ar-SA"/>
        </w:rPr>
        <w:t>（四）报告期内董事、监事、高级管理人员变动情况</w:t>
      </w:r>
    </w:p>
    <w:p>
      <w:pPr>
        <w:pStyle w:val="6"/>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1.董事</w:t>
      </w:r>
    </w:p>
    <w:p>
      <w:pPr>
        <w:pStyle w:val="6"/>
        <w:keepNext w:val="0"/>
        <w:keepLines w:val="0"/>
        <w:pageBreakBefore w:val="0"/>
        <w:widowControl w:val="0"/>
        <w:kinsoku/>
        <w:wordWrap/>
        <w:overflowPunct/>
        <w:topLinePunct w:val="0"/>
        <w:bidi w:val="0"/>
        <w:spacing w:line="560" w:lineRule="exact"/>
        <w:ind w:firstLine="57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根据《中国银保监会关于印发银行保险机构公司治理准则的通知》（银保监发〔2021〕14号）《安顺农村商业银行股份有限公司章程》《</w:t>
      </w:r>
      <w:r>
        <w:rPr>
          <w:rFonts w:hint="eastAsia" w:ascii="Times New Roman" w:hAnsi="Times New Roman" w:eastAsia="仿宋_GB2312" w:cs="Times New Roman"/>
          <w:color w:val="auto"/>
          <w:sz w:val="32"/>
          <w:szCs w:val="32"/>
          <w:highlight w:val="none"/>
          <w:lang w:val="en-US" w:eastAsia="zh-CN"/>
        </w:rPr>
        <w:t>省联社关于封光荣等同志任免职的通知</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省联社关于袁华等同志任免职的通知》</w:t>
      </w:r>
      <w:r>
        <w:rPr>
          <w:rFonts w:hint="default" w:ascii="Times New Roman" w:hAnsi="Times New Roman" w:eastAsia="仿宋_GB2312" w:cs="Times New Roman"/>
          <w:color w:val="auto"/>
          <w:sz w:val="32"/>
          <w:szCs w:val="32"/>
          <w:highlight w:val="none"/>
          <w:lang w:val="en-US" w:eastAsia="zh-CN"/>
        </w:rPr>
        <w:t>的有关规定，谭振发</w:t>
      </w:r>
      <w:r>
        <w:rPr>
          <w:rFonts w:hint="eastAsia" w:ascii="Times New Roman" w:hAnsi="Times New Roman" w:eastAsia="仿宋_GB2312" w:cs="Times New Roman"/>
          <w:color w:val="auto"/>
          <w:sz w:val="32"/>
          <w:szCs w:val="32"/>
          <w:highlight w:val="none"/>
          <w:lang w:val="en-US" w:eastAsia="zh-CN"/>
        </w:rPr>
        <w:t>不再担任</w:t>
      </w:r>
      <w:r>
        <w:rPr>
          <w:rFonts w:hint="default" w:ascii="Times New Roman" w:hAnsi="Times New Roman" w:eastAsia="仿宋_GB2312" w:cs="Times New Roman"/>
          <w:color w:val="auto"/>
          <w:sz w:val="32"/>
          <w:szCs w:val="32"/>
          <w:highlight w:val="none"/>
          <w:lang w:val="en-US" w:eastAsia="zh-CN"/>
        </w:rPr>
        <w:t>安顺农商银行</w:t>
      </w:r>
      <w:r>
        <w:rPr>
          <w:rFonts w:hint="eastAsia" w:ascii="Times New Roman" w:hAnsi="Times New Roman" w:eastAsia="仿宋_GB2312" w:cs="Times New Roman"/>
          <w:color w:val="auto"/>
          <w:sz w:val="32"/>
          <w:szCs w:val="32"/>
          <w:highlight w:val="none"/>
          <w:lang w:val="en-US" w:eastAsia="zh-CN"/>
        </w:rPr>
        <w:t>董事会</w:t>
      </w:r>
      <w:r>
        <w:rPr>
          <w:rFonts w:hint="default" w:ascii="Times New Roman" w:hAnsi="Times New Roman" w:eastAsia="仿宋_GB2312" w:cs="Times New Roman"/>
          <w:color w:val="auto"/>
          <w:sz w:val="32"/>
          <w:szCs w:val="32"/>
          <w:highlight w:val="none"/>
          <w:lang w:val="en-US" w:eastAsia="zh-CN"/>
        </w:rPr>
        <w:t>副董事长</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董事。</w:t>
      </w:r>
      <w:r>
        <w:rPr>
          <w:rFonts w:hint="eastAsia" w:ascii="Times New Roman" w:hAnsi="Times New Roman" w:eastAsia="仿宋_GB2312" w:cs="Times New Roman"/>
          <w:color w:val="auto"/>
          <w:sz w:val="32"/>
          <w:szCs w:val="32"/>
          <w:highlight w:val="none"/>
          <w:lang w:val="en-US" w:eastAsia="zh-CN"/>
        </w:rPr>
        <w:t>经省联社推荐，</w:t>
      </w:r>
      <w:r>
        <w:rPr>
          <w:rFonts w:hint="default" w:ascii="Times New Roman" w:hAnsi="Times New Roman" w:eastAsia="仿宋_GB2312" w:cs="Times New Roman"/>
          <w:color w:val="auto"/>
          <w:sz w:val="32"/>
          <w:szCs w:val="32"/>
          <w:highlight w:val="none"/>
          <w:lang w:val="en-US" w:eastAsia="zh-CN"/>
        </w:rPr>
        <w:t>安顺农商银行按照规定程序选举</w:t>
      </w:r>
      <w:r>
        <w:rPr>
          <w:rFonts w:hint="eastAsia" w:ascii="Times New Roman" w:hAnsi="Times New Roman" w:eastAsia="仿宋_GB2312" w:cs="Times New Roman"/>
          <w:color w:val="auto"/>
          <w:sz w:val="32"/>
          <w:szCs w:val="32"/>
          <w:highlight w:val="none"/>
          <w:lang w:val="en-US" w:eastAsia="zh-CN"/>
        </w:rPr>
        <w:t>郑小龙</w:t>
      </w:r>
      <w:r>
        <w:rPr>
          <w:rFonts w:hint="default" w:ascii="Times New Roman" w:hAnsi="Times New Roman" w:eastAsia="仿宋_GB2312" w:cs="Times New Roman"/>
          <w:color w:val="auto"/>
          <w:sz w:val="32"/>
          <w:szCs w:val="32"/>
          <w:highlight w:val="none"/>
          <w:lang w:val="en-US" w:eastAsia="zh-CN"/>
        </w:rPr>
        <w:t>为董事、副董事长。</w:t>
      </w:r>
      <w:r>
        <w:rPr>
          <w:rFonts w:hint="eastAsia" w:ascii="Times New Roman" w:hAnsi="Times New Roman" w:eastAsia="仿宋_GB2312" w:cs="Times New Roman"/>
          <w:color w:val="auto"/>
          <w:sz w:val="32"/>
          <w:szCs w:val="32"/>
          <w:highlight w:val="none"/>
          <w:lang w:val="en-US" w:eastAsia="zh-CN"/>
        </w:rPr>
        <w:t>截止报告期末，郑小龙任职资格未获得监管部门核准，暂未履行董事职责。</w:t>
      </w:r>
    </w:p>
    <w:p>
      <w:pPr>
        <w:pStyle w:val="6"/>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2.监事</w:t>
      </w:r>
    </w:p>
    <w:p>
      <w:pPr>
        <w:pStyle w:val="6"/>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zh-CN"/>
        </w:rPr>
        <w:t>报告期内监事无变动</w:t>
      </w:r>
      <w:r>
        <w:rPr>
          <w:rFonts w:hint="default" w:ascii="Times New Roman" w:hAnsi="Times New Roman" w:eastAsia="仿宋_GB2312" w:cs="Times New Roman"/>
          <w:color w:val="auto"/>
          <w:sz w:val="32"/>
          <w:szCs w:val="32"/>
          <w:highlight w:val="none"/>
        </w:rPr>
        <w:t>。</w:t>
      </w:r>
    </w:p>
    <w:p>
      <w:pPr>
        <w:pStyle w:val="6"/>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3.高级管理人员</w:t>
      </w:r>
    </w:p>
    <w:p>
      <w:pPr>
        <w:pStyle w:val="4"/>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因工作需要，按照《安顺农村商业银行股份有限公司章程》的有关规定，经省联社</w:t>
      </w:r>
      <w:r>
        <w:rPr>
          <w:rFonts w:hint="eastAsia" w:ascii="Times New Roman" w:hAnsi="Times New Roman" w:eastAsia="仿宋_GB2312" w:cs="Times New Roman"/>
          <w:color w:val="auto"/>
          <w:sz w:val="32"/>
          <w:szCs w:val="32"/>
          <w:highlight w:val="none"/>
          <w:lang w:val="en-US" w:eastAsia="zh-CN"/>
        </w:rPr>
        <w:t>工作调动通知</w:t>
      </w:r>
      <w:r>
        <w:rPr>
          <w:rFonts w:hint="default" w:ascii="Times New Roman" w:hAnsi="Times New Roman" w:eastAsia="仿宋_GB2312" w:cs="Times New Roman"/>
          <w:color w:val="auto"/>
          <w:sz w:val="32"/>
          <w:szCs w:val="32"/>
          <w:highlight w:val="none"/>
          <w:lang w:val="en-US" w:eastAsia="zh-CN"/>
        </w:rPr>
        <w:t>，谭振发</w:t>
      </w:r>
      <w:r>
        <w:rPr>
          <w:rFonts w:hint="eastAsia" w:ascii="Times New Roman" w:hAnsi="Times New Roman" w:eastAsia="仿宋_GB2312" w:cs="Times New Roman"/>
          <w:color w:val="auto"/>
          <w:sz w:val="32"/>
          <w:szCs w:val="32"/>
          <w:highlight w:val="none"/>
          <w:lang w:val="en-US" w:eastAsia="zh-CN"/>
        </w:rPr>
        <w:t>不再担任</w:t>
      </w:r>
      <w:r>
        <w:rPr>
          <w:rFonts w:hint="default" w:ascii="Times New Roman" w:hAnsi="Times New Roman" w:eastAsia="仿宋_GB2312" w:cs="Times New Roman"/>
          <w:color w:val="auto"/>
          <w:sz w:val="32"/>
          <w:szCs w:val="32"/>
          <w:highlight w:val="none"/>
          <w:lang w:val="en-US" w:eastAsia="zh-CN"/>
        </w:rPr>
        <w:t>安顺农村商业银行股份有限公司行长。经省联社推荐，并征得本人同意后，聘任</w:t>
      </w:r>
      <w:r>
        <w:rPr>
          <w:rFonts w:hint="eastAsia" w:ascii="Times New Roman" w:hAnsi="Times New Roman" w:eastAsia="仿宋_GB2312" w:cs="Times New Roman"/>
          <w:color w:val="auto"/>
          <w:sz w:val="32"/>
          <w:szCs w:val="32"/>
          <w:highlight w:val="none"/>
          <w:lang w:val="en-US" w:eastAsia="zh-CN"/>
        </w:rPr>
        <w:t>郑小龙</w:t>
      </w:r>
      <w:r>
        <w:rPr>
          <w:rFonts w:hint="default" w:ascii="Times New Roman" w:hAnsi="Times New Roman" w:eastAsia="仿宋_GB2312" w:cs="Times New Roman"/>
          <w:color w:val="auto"/>
          <w:sz w:val="32"/>
          <w:szCs w:val="32"/>
          <w:highlight w:val="none"/>
          <w:lang w:val="en-US" w:eastAsia="zh-CN"/>
        </w:rPr>
        <w:t>为安顺农村商业银行股份有限公司行长。</w:t>
      </w:r>
      <w:r>
        <w:rPr>
          <w:rFonts w:hint="eastAsia" w:ascii="Times New Roman" w:hAnsi="Times New Roman" w:eastAsia="仿宋_GB2312" w:cs="Times New Roman"/>
          <w:color w:val="auto"/>
          <w:sz w:val="32"/>
          <w:szCs w:val="32"/>
          <w:highlight w:val="none"/>
          <w:lang w:val="en-US" w:eastAsia="zh-CN"/>
        </w:rPr>
        <w:t>截止报告期末，郑小龙任职资格未获得监管部门核准，暂代为履行行长职责。</w:t>
      </w:r>
    </w:p>
    <w:p>
      <w:pPr>
        <w:keepNext w:val="0"/>
        <w:keepLines w:val="0"/>
        <w:pageBreakBefore w:val="0"/>
        <w:widowControl w:val="0"/>
        <w:kinsoku/>
        <w:wordWrap/>
        <w:overflowPunct/>
        <w:topLinePunct w:val="0"/>
        <w:bidi w:val="0"/>
        <w:spacing w:line="560" w:lineRule="exact"/>
        <w:ind w:firstLine="640" w:firstLineChars="20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 xml:space="preserve">二、员工情况 </w:t>
      </w:r>
    </w:p>
    <w:p>
      <w:pPr>
        <w:pStyle w:val="4"/>
        <w:keepNext w:val="0"/>
        <w:keepLines w:val="0"/>
        <w:pageBreakBefore w:val="0"/>
        <w:kinsoku/>
        <w:wordWrap/>
        <w:topLinePunct w:val="0"/>
        <w:bidi w:val="0"/>
        <w:spacing w:line="560" w:lineRule="exact"/>
        <w:ind w:firstLine="640" w:firstLineChars="200"/>
        <w:rPr>
          <w:rFonts w:hint="eastAsia" w:ascii="黑体" w:hAnsi="黑体" w:eastAsia="黑体" w:cs="黑体"/>
          <w:b w:val="0"/>
          <w:bCs/>
          <w:color w:val="auto"/>
          <w:sz w:val="36"/>
          <w:szCs w:val="36"/>
          <w:highlight w:val="none"/>
          <w:lang w:val="en-US" w:eastAsia="zh-CN"/>
        </w:rPr>
      </w:pPr>
      <w:r>
        <w:rPr>
          <w:rFonts w:hint="default" w:ascii="Times New Roman" w:hAnsi="Times New Roman" w:eastAsia="仿宋_GB2312" w:cs="Times New Roman"/>
          <w:bCs/>
          <w:color w:val="auto"/>
          <w:sz w:val="32"/>
          <w:szCs w:val="32"/>
          <w:highlight w:val="none"/>
        </w:rPr>
        <w:t>报告期末，本行在岗员工</w:t>
      </w:r>
      <w:r>
        <w:rPr>
          <w:rFonts w:hint="default" w:ascii="Times New Roman" w:hAnsi="Times New Roman" w:eastAsia="仿宋_GB2312" w:cs="Times New Roman"/>
          <w:bCs/>
          <w:color w:val="auto"/>
          <w:sz w:val="32"/>
          <w:szCs w:val="32"/>
          <w:highlight w:val="none"/>
          <w:lang w:val="en-US" w:eastAsia="zh-CN"/>
        </w:rPr>
        <w:t>4</w:t>
      </w:r>
      <w:r>
        <w:rPr>
          <w:rFonts w:hint="eastAsia" w:cs="Times New Roman"/>
          <w:bCs/>
          <w:color w:val="auto"/>
          <w:sz w:val="32"/>
          <w:szCs w:val="32"/>
          <w:highlight w:val="none"/>
          <w:lang w:val="en-US" w:eastAsia="zh-CN"/>
        </w:rPr>
        <w:t>28</w:t>
      </w:r>
      <w:r>
        <w:rPr>
          <w:rFonts w:hint="default" w:ascii="Times New Roman" w:hAnsi="Times New Roman" w:eastAsia="仿宋_GB2312" w:cs="Times New Roman"/>
          <w:bCs/>
          <w:color w:val="auto"/>
          <w:sz w:val="32"/>
          <w:szCs w:val="32"/>
          <w:highlight w:val="none"/>
        </w:rPr>
        <w:t>名。</w:t>
      </w:r>
      <w:r>
        <w:rPr>
          <w:rFonts w:hint="default" w:ascii="Times New Roman" w:hAnsi="Times New Roman" w:eastAsia="仿宋_GB2312" w:cs="Times New Roman"/>
          <w:bCs/>
          <w:color w:val="auto"/>
          <w:sz w:val="32"/>
          <w:szCs w:val="32"/>
          <w:highlight w:val="none"/>
          <w:lang w:val="en-US" w:eastAsia="zh-CN"/>
        </w:rPr>
        <w:t>其中，研究生及以上学历1</w:t>
      </w:r>
      <w:r>
        <w:rPr>
          <w:rFonts w:hint="eastAsia" w:cs="Times New Roman"/>
          <w:bCs/>
          <w:color w:val="auto"/>
          <w:sz w:val="32"/>
          <w:szCs w:val="32"/>
          <w:highlight w:val="none"/>
          <w:lang w:val="en-US" w:eastAsia="zh-CN"/>
        </w:rPr>
        <w:t>6</w:t>
      </w:r>
      <w:r>
        <w:rPr>
          <w:rFonts w:hint="default" w:ascii="Times New Roman" w:hAnsi="Times New Roman" w:eastAsia="仿宋_GB2312" w:cs="Times New Roman"/>
          <w:bCs/>
          <w:color w:val="auto"/>
          <w:sz w:val="32"/>
          <w:szCs w:val="32"/>
          <w:highlight w:val="none"/>
          <w:lang w:val="en-US" w:eastAsia="zh-CN"/>
        </w:rPr>
        <w:t>人，大学学历3</w:t>
      </w:r>
      <w:r>
        <w:rPr>
          <w:rFonts w:hint="eastAsia" w:cs="Times New Roman"/>
          <w:bCs/>
          <w:color w:val="auto"/>
          <w:sz w:val="32"/>
          <w:szCs w:val="32"/>
          <w:highlight w:val="none"/>
          <w:lang w:val="en-US" w:eastAsia="zh-CN"/>
        </w:rPr>
        <w:t>37</w:t>
      </w:r>
      <w:r>
        <w:rPr>
          <w:rFonts w:hint="default" w:ascii="Times New Roman" w:hAnsi="Times New Roman" w:eastAsia="仿宋_GB2312" w:cs="Times New Roman"/>
          <w:bCs/>
          <w:color w:val="auto"/>
          <w:sz w:val="32"/>
          <w:szCs w:val="32"/>
          <w:highlight w:val="none"/>
          <w:lang w:val="en-US" w:eastAsia="zh-CN"/>
        </w:rPr>
        <w:t>人，大专及以下学历7</w:t>
      </w:r>
      <w:r>
        <w:rPr>
          <w:rFonts w:hint="eastAsia" w:cs="Times New Roman"/>
          <w:bCs/>
          <w:color w:val="auto"/>
          <w:sz w:val="32"/>
          <w:szCs w:val="32"/>
          <w:highlight w:val="none"/>
          <w:lang w:val="en-US" w:eastAsia="zh-CN"/>
        </w:rPr>
        <w:t>5</w:t>
      </w:r>
      <w:r>
        <w:rPr>
          <w:rFonts w:hint="default" w:ascii="Times New Roman" w:hAnsi="Times New Roman" w:eastAsia="仿宋_GB2312" w:cs="Times New Roman"/>
          <w:bCs/>
          <w:color w:val="auto"/>
          <w:sz w:val="32"/>
          <w:szCs w:val="32"/>
          <w:highlight w:val="none"/>
          <w:lang w:val="en-US" w:eastAsia="zh-CN"/>
        </w:rPr>
        <w:t>人；取得中级职业资格人员</w:t>
      </w:r>
      <w:r>
        <w:rPr>
          <w:rFonts w:hint="eastAsia" w:cs="Times New Roman"/>
          <w:bCs/>
          <w:color w:val="auto"/>
          <w:sz w:val="32"/>
          <w:szCs w:val="32"/>
          <w:highlight w:val="none"/>
          <w:lang w:val="en-US" w:eastAsia="zh-CN"/>
        </w:rPr>
        <w:t>27</w:t>
      </w:r>
      <w:r>
        <w:rPr>
          <w:rFonts w:hint="default" w:ascii="Times New Roman" w:hAnsi="Times New Roman" w:eastAsia="仿宋_GB2312" w:cs="Times New Roman"/>
          <w:bCs/>
          <w:color w:val="auto"/>
          <w:sz w:val="32"/>
          <w:szCs w:val="32"/>
          <w:highlight w:val="none"/>
          <w:lang w:val="en-US" w:eastAsia="zh-CN"/>
        </w:rPr>
        <w:t>人，取得初级职业资格人员</w:t>
      </w:r>
      <w:r>
        <w:rPr>
          <w:rFonts w:hint="eastAsia" w:cs="Times New Roman"/>
          <w:bCs/>
          <w:color w:val="auto"/>
          <w:sz w:val="32"/>
          <w:szCs w:val="32"/>
          <w:highlight w:val="none"/>
          <w:lang w:val="en-US" w:eastAsia="zh-CN"/>
        </w:rPr>
        <w:t>67</w:t>
      </w:r>
      <w:r>
        <w:rPr>
          <w:rFonts w:hint="default" w:ascii="Times New Roman" w:hAnsi="Times New Roman" w:eastAsia="仿宋_GB2312" w:cs="Times New Roman"/>
          <w:bCs/>
          <w:color w:val="auto"/>
          <w:sz w:val="32"/>
          <w:szCs w:val="32"/>
          <w:highlight w:val="none"/>
          <w:lang w:val="en-US" w:eastAsia="zh-CN"/>
        </w:rPr>
        <w:t>人；取得律师资格证6人，中国注册会计师3人，国际注册会计师2人，金融理财师1人，国际注册内部审计师</w:t>
      </w:r>
      <w:r>
        <w:rPr>
          <w:rFonts w:hint="eastAsia" w:cs="Times New Roman"/>
          <w:bCs/>
          <w:color w:val="auto"/>
          <w:sz w:val="32"/>
          <w:szCs w:val="32"/>
          <w:highlight w:val="none"/>
          <w:lang w:val="en-US" w:eastAsia="zh-CN"/>
        </w:rPr>
        <w:t>2</w:t>
      </w:r>
      <w:r>
        <w:rPr>
          <w:rFonts w:hint="default" w:ascii="Times New Roman" w:hAnsi="Times New Roman" w:eastAsia="仿宋_GB2312" w:cs="Times New Roman"/>
          <w:bCs/>
          <w:color w:val="auto"/>
          <w:sz w:val="32"/>
          <w:szCs w:val="32"/>
          <w:highlight w:val="none"/>
          <w:lang w:val="en-US" w:eastAsia="zh-CN"/>
        </w:rPr>
        <w:t>人。</w:t>
      </w:r>
    </w:p>
    <w:p>
      <w:pPr>
        <w:rPr>
          <w:rFonts w:hint="eastAsia" w:ascii="黑体" w:hAnsi="黑体" w:eastAsia="黑体" w:cs="黑体"/>
          <w:b w:val="0"/>
          <w:bCs/>
          <w:color w:val="auto"/>
          <w:sz w:val="36"/>
          <w:szCs w:val="36"/>
          <w:highlight w:val="none"/>
          <w:lang w:val="en-US" w:eastAsia="zh-CN"/>
        </w:rPr>
      </w:pPr>
    </w:p>
    <w:p>
      <w:pPr>
        <w:pStyle w:val="2"/>
        <w:rPr>
          <w:rFonts w:hint="eastAsia" w:ascii="黑体" w:hAnsi="黑体" w:eastAsia="黑体" w:cs="黑体"/>
          <w:b w:val="0"/>
          <w:bCs/>
          <w:color w:val="auto"/>
          <w:sz w:val="36"/>
          <w:szCs w:val="36"/>
          <w:highlight w:val="none"/>
          <w:lang w:val="en-US" w:eastAsia="zh-CN"/>
        </w:rPr>
      </w:pPr>
    </w:p>
    <w:p>
      <w:pPr>
        <w:pStyle w:val="2"/>
        <w:rPr>
          <w:rFonts w:hint="eastAsia" w:ascii="黑体" w:hAnsi="黑体" w:eastAsia="黑体" w:cs="黑体"/>
          <w:b w:val="0"/>
          <w:bCs/>
          <w:color w:val="auto"/>
          <w:sz w:val="36"/>
          <w:szCs w:val="36"/>
          <w:highlight w:val="none"/>
          <w:lang w:val="en-US" w:eastAsia="zh-CN"/>
        </w:rPr>
      </w:pPr>
    </w:p>
    <w:p>
      <w:pPr>
        <w:pStyle w:val="10"/>
        <w:rPr>
          <w:rFonts w:hint="eastAsia"/>
          <w:color w:val="auto"/>
          <w:highlight w:val="none"/>
          <w:lang w:val="en-US" w:eastAsia="zh-CN"/>
        </w:rPr>
      </w:pPr>
    </w:p>
    <w:p>
      <w:pPr>
        <w:pStyle w:val="4"/>
        <w:rPr>
          <w:rFonts w:hint="eastAsia"/>
          <w:color w:val="auto"/>
          <w:highlight w:val="none"/>
          <w:lang w:val="en-US" w:eastAsia="zh-CN"/>
        </w:rPr>
      </w:pPr>
    </w:p>
    <w:p>
      <w:pPr>
        <w:keepNext w:val="0"/>
        <w:keepLines w:val="0"/>
        <w:pageBreakBefore w:val="0"/>
        <w:numPr>
          <w:ilvl w:val="0"/>
          <w:numId w:val="0"/>
        </w:numPr>
        <w:kinsoku/>
        <w:wordWrap/>
        <w:topLinePunct w:val="0"/>
        <w:bidi w:val="0"/>
        <w:adjustRightInd w:val="0"/>
        <w:snapToGrid w:val="0"/>
        <w:spacing w:line="560" w:lineRule="exact"/>
        <w:jc w:val="center"/>
        <w:rPr>
          <w:rFonts w:hint="eastAsia" w:ascii="黑体" w:hAnsi="黑体" w:eastAsia="黑体" w:cs="黑体"/>
          <w:b w:val="0"/>
          <w:bCs/>
          <w:color w:val="auto"/>
          <w:sz w:val="36"/>
          <w:szCs w:val="36"/>
          <w:highlight w:val="none"/>
          <w:lang w:val="en-US" w:eastAsia="zh-CN"/>
        </w:rPr>
      </w:pPr>
      <w:r>
        <w:rPr>
          <w:rFonts w:hint="eastAsia" w:ascii="黑体" w:hAnsi="黑体" w:eastAsia="黑体" w:cs="黑体"/>
          <w:b w:val="0"/>
          <w:bCs/>
          <w:color w:val="auto"/>
          <w:sz w:val="36"/>
          <w:szCs w:val="36"/>
          <w:highlight w:val="none"/>
          <w:lang w:val="en-US" w:eastAsia="zh-CN"/>
        </w:rPr>
        <w:t xml:space="preserve">  第四章  公司治理</w:t>
      </w:r>
    </w:p>
    <w:p>
      <w:pPr>
        <w:pStyle w:val="6"/>
        <w:keepNext w:val="0"/>
        <w:keepLines w:val="0"/>
        <w:pageBreakBefore w:val="0"/>
        <w:numPr>
          <w:ilvl w:val="0"/>
          <w:numId w:val="0"/>
        </w:numPr>
        <w:kinsoku/>
        <w:wordWrap/>
        <w:topLinePunct w:val="0"/>
        <w:bidi w:val="0"/>
        <w:spacing w:line="560" w:lineRule="exact"/>
        <w:ind w:left="560" w:leftChars="0"/>
        <w:rPr>
          <w:color w:val="auto"/>
          <w:highlight w:val="none"/>
        </w:rPr>
      </w:pPr>
      <w:r>
        <w:rPr>
          <w:rFonts w:hint="eastAsia" w:ascii="黑体" w:hAnsi="黑体" w:eastAsia="黑体" w:cs="黑体"/>
          <w:b w:val="0"/>
          <w:bCs/>
          <w:color w:val="auto"/>
          <w:sz w:val="32"/>
          <w:szCs w:val="32"/>
          <w:highlight w:val="none"/>
          <w:lang w:eastAsia="zh-CN"/>
        </w:rPr>
        <w:t>一、</w:t>
      </w:r>
      <w:r>
        <w:rPr>
          <w:rFonts w:hint="eastAsia" w:ascii="黑体" w:hAnsi="黑体" w:eastAsia="黑体" w:cs="黑体"/>
          <w:b w:val="0"/>
          <w:bCs/>
          <w:color w:val="auto"/>
          <w:sz w:val="32"/>
          <w:szCs w:val="32"/>
          <w:highlight w:val="none"/>
        </w:rPr>
        <w:t>公司治理</w:t>
      </w:r>
      <w:r>
        <w:rPr>
          <w:rFonts w:hint="eastAsia" w:ascii="黑体" w:hAnsi="黑体" w:eastAsia="黑体" w:cs="黑体"/>
          <w:b w:val="0"/>
          <w:bCs/>
          <w:color w:val="auto"/>
          <w:sz w:val="32"/>
          <w:szCs w:val="32"/>
          <w:highlight w:val="none"/>
          <w:lang w:val="en-US" w:eastAsia="zh-CN"/>
        </w:rPr>
        <w:t>组织</w:t>
      </w:r>
      <w:r>
        <w:rPr>
          <w:rFonts w:hint="eastAsia" w:ascii="黑体" w:hAnsi="黑体" w:eastAsia="黑体" w:cs="黑体"/>
          <w:b w:val="0"/>
          <w:bCs/>
          <w:color w:val="auto"/>
          <w:sz w:val="32"/>
          <w:szCs w:val="32"/>
          <w:highlight w:val="none"/>
        </w:rPr>
        <w:t>架构</w: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margin">
                  <wp:posOffset>1844675</wp:posOffset>
                </wp:positionH>
                <wp:positionV relativeFrom="paragraph">
                  <wp:posOffset>113030</wp:posOffset>
                </wp:positionV>
                <wp:extent cx="2019300" cy="666750"/>
                <wp:effectExtent l="12700" t="12700" r="25400" b="21590"/>
                <wp:wrapNone/>
                <wp:docPr id="21" name="椭圆 21"/>
                <wp:cNvGraphicFramePr/>
                <a:graphic xmlns:a="http://schemas.openxmlformats.org/drawingml/2006/main">
                  <a:graphicData uri="http://schemas.microsoft.com/office/word/2010/wordprocessingShape">
                    <wps:wsp>
                      <wps:cNvSpPr/>
                      <wps:spPr>
                        <a:xfrm>
                          <a:off x="0" y="0"/>
                          <a:ext cx="2019300" cy="857250"/>
                        </a:xfrm>
                        <a:prstGeom prst="ellipse">
                          <a:avLst/>
                        </a:prstGeom>
                        <a:solidFill>
                          <a:srgbClr val="FFFFFF"/>
                        </a:solidFill>
                        <a:ln w="25400" cap="flat" cmpd="sng" algn="ctr">
                          <a:solidFill>
                            <a:srgbClr val="000000"/>
                          </a:solidFill>
                          <a:prstDash val="solid"/>
                        </a:ln>
                        <a:effectLst/>
                      </wps:spPr>
                      <wps:txbx>
                        <w:txbxContent>
                          <w:p>
                            <w:pPr>
                              <w:jc w:val="center"/>
                              <w:rPr>
                                <w:rFonts w:ascii="黑体" w:hAnsi="黑体" w:eastAsia="黑体"/>
                                <w:b/>
                                <w:color w:val="000000"/>
                                <w:sz w:val="44"/>
                                <w:szCs w:val="44"/>
                              </w:rPr>
                            </w:pPr>
                            <w:r>
                              <w:rPr>
                                <w:rFonts w:hint="eastAsia" w:ascii="黑体" w:hAnsi="黑体" w:eastAsia="黑体"/>
                                <w:b/>
                                <w:color w:val="000000"/>
                                <w:sz w:val="44"/>
                                <w:szCs w:val="44"/>
                              </w:rPr>
                              <w:t>股东</w:t>
                            </w:r>
                            <w:r>
                              <w:rPr>
                                <w:rFonts w:ascii="黑体" w:hAnsi="黑体" w:eastAsia="黑体"/>
                                <w:b/>
                                <w:color w:val="000000"/>
                                <w:sz w:val="44"/>
                                <w:szCs w:val="44"/>
                              </w:rPr>
                              <w:t>大会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25pt;margin-top:8.9pt;height:52.5pt;width:159pt;mso-position-horizontal-relative:margin;z-index:251660288;v-text-anchor:middle;mso-width-relative:page;mso-height-relative:page;" fillcolor="#FFFFFF" filled="t" stroked="t" coordsize="21600,21600" o:gfxdata="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ksONcAAAAKAQAADwAAAAAAAAABACAAAAAiAAAAZHJzL2Rvd25y&#10;ZXYueG1sUEsBAhQAFAAAAAgAh07iQOCccfxxAgAA+wQAAA4AAAAAAAAAAQAgAAAAJgEAAGRycy9l&#10;Mm9Eb2MueG1sUEsFBgAAAAAGAAYAWQEAAAkGAAAAAA==&#10;">
                <v:fill on="t" focussize="0,0"/>
                <v:stroke weight="2pt" color="#000000" joinstyle="round"/>
                <v:imagedata o:title=""/>
                <o:lock v:ext="edit" aspectratio="f"/>
                <v:textbox>
                  <w:txbxContent>
                    <w:p>
                      <w:pPr>
                        <w:jc w:val="center"/>
                        <w:rPr>
                          <w:rFonts w:ascii="黑体" w:hAnsi="黑体" w:eastAsia="黑体"/>
                          <w:b/>
                          <w:color w:val="000000"/>
                          <w:sz w:val="44"/>
                          <w:szCs w:val="44"/>
                        </w:rPr>
                      </w:pPr>
                      <w:r>
                        <w:rPr>
                          <w:rFonts w:hint="eastAsia" w:ascii="黑体" w:hAnsi="黑体" w:eastAsia="黑体"/>
                          <w:b/>
                          <w:color w:val="000000"/>
                          <w:sz w:val="44"/>
                          <w:szCs w:val="44"/>
                        </w:rPr>
                        <w:t>股东</w:t>
                      </w:r>
                      <w:r>
                        <w:rPr>
                          <w:rFonts w:ascii="黑体" w:hAnsi="黑体" w:eastAsia="黑体"/>
                          <w:b/>
                          <w:color w:val="000000"/>
                          <w:sz w:val="44"/>
                          <w:szCs w:val="44"/>
                        </w:rPr>
                        <w:t>大会</w:t>
                      </w:r>
                    </w:p>
                  </w:txbxContent>
                </v:textbox>
              </v:shape>
            </w:pict>
          </mc:Fallback>
        </mc:AlternateContent>
      </w:r>
    </w:p>
    <w:p>
      <w:pPr>
        <w:pStyle w:val="15"/>
        <w:keepNext w:val="0"/>
        <w:keepLines w:val="0"/>
        <w:pageBreakBefore w:val="0"/>
        <w:kinsoku/>
        <w:wordWrap/>
        <w:topLinePunct w:val="0"/>
        <w:bidi w:val="0"/>
        <w:spacing w:line="560" w:lineRule="exact"/>
        <w:jc w:val="center"/>
        <w:rPr>
          <w:color w:val="auto"/>
          <w:highlight w:val="none"/>
        </w:rPr>
      </w:pP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2906395</wp:posOffset>
                </wp:positionH>
                <wp:positionV relativeFrom="paragraph">
                  <wp:posOffset>74295</wp:posOffset>
                </wp:positionV>
                <wp:extent cx="0" cy="374650"/>
                <wp:effectExtent l="5080" t="0" r="10160" b="6350"/>
                <wp:wrapNone/>
                <wp:docPr id="4" name="直接箭头连接符 4"/>
                <wp:cNvGraphicFramePr/>
                <a:graphic xmlns:a="http://schemas.openxmlformats.org/drawingml/2006/main">
                  <a:graphicData uri="http://schemas.microsoft.com/office/word/2010/wordprocessingShape">
                    <wps:wsp>
                      <wps:cNvCnPr/>
                      <wps:spPr>
                        <a:xfrm>
                          <a:off x="0" y="0"/>
                          <a:ext cx="0" cy="37465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228.85pt;margin-top:5.85pt;height:29.5pt;width:0pt;z-index:251671552;mso-width-relative:page;mso-height-relative:page;" filled="f" stroked="t" coordsize="21600,21600" o:gfxdata="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LOm/WAAAACQEAAA8AAAAAAAAAAQAgAAAAIgAAAGRy&#10;cy9kb3ducmV2LnhtbFBLAQIUABQAAAAIAIdO4kD1jzt5BwIAAAMEAAAOAAAAAAAAAAEAIAAAACUB&#10;AABkcnMvZTJvRG9jLnhtbFBLBQYAAAAABgAGAFkBAACeBQAAAAA=&#10;">
                <v:fill on="f" focussize="0,0"/>
                <v:stroke color="#000000" joinstyle="round"/>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1579245</wp:posOffset>
                </wp:positionH>
                <wp:positionV relativeFrom="paragraph">
                  <wp:posOffset>97790</wp:posOffset>
                </wp:positionV>
                <wp:extent cx="2644775" cy="7620"/>
                <wp:effectExtent l="0" t="0" r="0" b="0"/>
                <wp:wrapNone/>
                <wp:docPr id="9" name="直接连接符 9"/>
                <wp:cNvGraphicFramePr/>
                <a:graphic xmlns:a="http://schemas.openxmlformats.org/drawingml/2006/main">
                  <a:graphicData uri="http://schemas.microsoft.com/office/word/2010/wordprocessingShape">
                    <wps:wsp>
                      <wps:cNvCnPr/>
                      <wps:spPr>
                        <a:xfrm flipV="1">
                          <a:off x="0" y="0"/>
                          <a:ext cx="2644775" cy="762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4.35pt;margin-top:7.7pt;height:0.6pt;width:208.25pt;z-index:251663360;mso-width-relative:page;mso-height-relative:page;" filled="f" stroked="t" coordsize="21600,21600" o:gfxdata="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8HW11wAAAAkBAAAPAAAAAAAAAAEAIAAAACIAAABkcnMvZG93&#10;bnJldi54bWxQSwECFAAUAAAACACHTuJAXszdgAECAADuAwAADgAAAAAAAAABACAAAAAmAQAAZHJz&#10;L2Uyb0RvYy54bWxQSwUGAAAAAAYABgBZAQAAmQUAAAAA&#10;">
                <v:fill on="f" focussize="0,0"/>
                <v:stroke color="#00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4208145</wp:posOffset>
                </wp:positionH>
                <wp:positionV relativeFrom="paragraph">
                  <wp:posOffset>100330</wp:posOffset>
                </wp:positionV>
                <wp:extent cx="1270" cy="176530"/>
                <wp:effectExtent l="37465" t="0" r="37465" b="13970"/>
                <wp:wrapNone/>
                <wp:docPr id="52" name="直接箭头连接符 52"/>
                <wp:cNvGraphicFramePr/>
                <a:graphic xmlns:a="http://schemas.openxmlformats.org/drawingml/2006/main">
                  <a:graphicData uri="http://schemas.microsoft.com/office/word/2010/wordprocessingShape">
                    <wps:wsp>
                      <wps:cNvCnPr/>
                      <wps:spPr>
                        <a:xfrm flipH="1">
                          <a:off x="0" y="0"/>
                          <a:ext cx="1270" cy="17653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331.35pt;margin-top:7.9pt;height:13.9pt;width:0.1pt;z-index:251672576;mso-width-relative:page;mso-height-relative:page;" filled="f" stroked="t" coordsize="21600,21600" o:gfxdata="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p2YqnYAAAACQEAAA8AAAAAAAAAAQAgAAAAIgAAAGRycy9kb3ducmV2LnhtbFBLAQIU&#10;ABQAAAAIAIdO4kAYsyNa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1593850</wp:posOffset>
                </wp:positionH>
                <wp:positionV relativeFrom="paragraph">
                  <wp:posOffset>98425</wp:posOffset>
                </wp:positionV>
                <wp:extent cx="3810" cy="195580"/>
                <wp:effectExtent l="35560" t="0" r="36830" b="13970"/>
                <wp:wrapNone/>
                <wp:docPr id="53" name="直接箭头连接符 53"/>
                <wp:cNvGraphicFramePr/>
                <a:graphic xmlns:a="http://schemas.openxmlformats.org/drawingml/2006/main">
                  <a:graphicData uri="http://schemas.microsoft.com/office/word/2010/wordprocessingShape">
                    <wps:wsp>
                      <wps:cNvCnPr/>
                      <wps:spPr>
                        <a:xfrm>
                          <a:off x="0" y="0"/>
                          <a:ext cx="3810" cy="19558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margin-left:125.5pt;margin-top:7.75pt;height:15.4pt;width:0.3pt;z-index:251673600;mso-width-relative:page;mso-height-relative:page;" filled="f" stroked="t" coordsize="21600,21600" o:gfxdata="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t9/t7ZAAAACQEAAA8AAAAAAAAAAQAgAAAAIgAAAGRycy9kb3ducmV2LnhtbFBLAQIUABQAAAAI&#10;AIdO4kCZrevBJQIAACcEAAAOAAAAAAAAAAEAIAAAACgBAABkcnMvZTJvRG9jLnhtbFBLBQYAAAAA&#10;BgAGAFkBAAC/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575310</wp:posOffset>
                </wp:positionH>
                <wp:positionV relativeFrom="paragraph">
                  <wp:posOffset>307340</wp:posOffset>
                </wp:positionV>
                <wp:extent cx="2171700" cy="600075"/>
                <wp:effectExtent l="12700" t="12700" r="25400" b="27305"/>
                <wp:wrapNone/>
                <wp:docPr id="7" name="椭圆 7"/>
                <wp:cNvGraphicFramePr/>
                <a:graphic xmlns:a="http://schemas.openxmlformats.org/drawingml/2006/main">
                  <a:graphicData uri="http://schemas.microsoft.com/office/word/2010/wordprocessingShape">
                    <wps:wsp>
                      <wps:cNvSpPr/>
                      <wps:spPr>
                        <a:xfrm>
                          <a:off x="0" y="0"/>
                          <a:ext cx="2171700" cy="685800"/>
                        </a:xfrm>
                        <a:prstGeom prst="ellipse">
                          <a:avLst/>
                        </a:prstGeom>
                        <a:solidFill>
                          <a:srgbClr val="FFFFFF"/>
                        </a:solidFill>
                        <a:ln w="25400" cap="flat" cmpd="sng" algn="ctr">
                          <a:solidFill>
                            <a:srgbClr val="000000"/>
                          </a:solidFill>
                          <a:prstDash val="solid"/>
                        </a:ln>
                        <a:effectLst/>
                      </wps:spPr>
                      <wps:txbx>
                        <w:txbxContent>
                          <w:p>
                            <w:pPr>
                              <w:jc w:val="center"/>
                              <w:rPr>
                                <w:rFonts w:ascii="黑体" w:hAnsi="黑体" w:eastAsia="黑体"/>
                                <w:b/>
                                <w:color w:val="000000"/>
                                <w:sz w:val="44"/>
                                <w:szCs w:val="44"/>
                              </w:rPr>
                            </w:pPr>
                            <w:r>
                              <w:rPr>
                                <w:rFonts w:hint="eastAsia" w:ascii="黑体" w:hAnsi="黑体" w:eastAsia="黑体"/>
                                <w:b/>
                                <w:color w:val="000000"/>
                                <w:sz w:val="44"/>
                                <w:szCs w:val="44"/>
                              </w:rPr>
                              <w:t>董事会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3pt;margin-top:24.2pt;height:47.25pt;width:171pt;z-index:251661312;v-text-anchor:middle;mso-width-relative:page;mso-height-relative:page;" fillcolor="#FFFFFF" filled="t" stroked="t" coordsize="21600,21600" o:gfxdata="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qFGKs1wAAAAkBAAAPAAAAAAAAAAEAIAAAACIAAABkcnMvZG93bnJl&#10;di54bWxQSwECFAAUAAAACACHTuJA6q4O53ACAAD5BAAADgAAAAAAAAABACAAAAAmAQAAZHJzL2Uy&#10;b0RvYy54bWxQSwUGAAAAAAYABgBZAQAACAYAAAAA&#10;">
                <v:fill on="t" focussize="0,0"/>
                <v:stroke weight="2pt" color="#000000" joinstyle="round"/>
                <v:imagedata o:title=""/>
                <o:lock v:ext="edit" aspectratio="f"/>
                <v:textbox>
                  <w:txbxContent>
                    <w:p>
                      <w:pPr>
                        <w:jc w:val="center"/>
                        <w:rPr>
                          <w:rFonts w:ascii="黑体" w:hAnsi="黑体" w:eastAsia="黑体"/>
                          <w:b/>
                          <w:color w:val="000000"/>
                          <w:sz w:val="44"/>
                          <w:szCs w:val="44"/>
                        </w:rPr>
                      </w:pPr>
                      <w:r>
                        <w:rPr>
                          <w:rFonts w:hint="eastAsia" w:ascii="黑体" w:hAnsi="黑体" w:eastAsia="黑体"/>
                          <w:b/>
                          <w:color w:val="000000"/>
                          <w:sz w:val="44"/>
                          <w:szCs w:val="44"/>
                        </w:rPr>
                        <w:t>董事会</w:t>
                      </w:r>
                    </w:p>
                  </w:txbxContent>
                </v:textbox>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3146425</wp:posOffset>
                </wp:positionH>
                <wp:positionV relativeFrom="paragraph">
                  <wp:posOffset>289560</wp:posOffset>
                </wp:positionV>
                <wp:extent cx="2171700" cy="685800"/>
                <wp:effectExtent l="12700" t="12700" r="25400" b="17780"/>
                <wp:wrapNone/>
                <wp:docPr id="6" name="椭圆 6"/>
                <wp:cNvGraphicFramePr/>
                <a:graphic xmlns:a="http://schemas.openxmlformats.org/drawingml/2006/main">
                  <a:graphicData uri="http://schemas.microsoft.com/office/word/2010/wordprocessingShape">
                    <wps:wsp>
                      <wps:cNvSpPr/>
                      <wps:spPr>
                        <a:xfrm>
                          <a:off x="0" y="0"/>
                          <a:ext cx="2171700" cy="685800"/>
                        </a:xfrm>
                        <a:prstGeom prst="ellipse">
                          <a:avLst/>
                        </a:prstGeom>
                        <a:solidFill>
                          <a:srgbClr val="FFFFFF"/>
                        </a:solidFill>
                        <a:ln w="25400" cap="flat" cmpd="sng" algn="ctr">
                          <a:solidFill>
                            <a:srgbClr val="000000"/>
                          </a:solidFill>
                          <a:prstDash val="solid"/>
                        </a:ln>
                        <a:effectLst/>
                      </wps:spPr>
                      <wps:txbx>
                        <w:txbxContent>
                          <w:p>
                            <w:pPr>
                              <w:jc w:val="center"/>
                              <w:rPr>
                                <w:rFonts w:ascii="黑体" w:hAnsi="黑体" w:eastAsia="黑体"/>
                                <w:b/>
                                <w:sz w:val="44"/>
                                <w:szCs w:val="44"/>
                              </w:rPr>
                            </w:pPr>
                            <w:r>
                              <w:rPr>
                                <w:rFonts w:hint="eastAsia" w:ascii="黑体" w:hAnsi="黑体" w:eastAsia="黑体"/>
                                <w:b/>
                                <w:sz w:val="44"/>
                                <w:szCs w:val="44"/>
                              </w:rPr>
                              <w:t>监事会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7.75pt;margin-top:22.8pt;height:54pt;width:171pt;z-index:251662336;v-text-anchor:middle;mso-width-relative:page;mso-height-relative:page;" fillcolor="#FFFFFF" filled="t" stroked="t" coordsize="21600,21600" o:gfxdata="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wtHONgAAAAKAQAADwAAAAAAAAABACAAAAAiAAAAZHJzL2Rvd25y&#10;ZXYueG1sUEsBAhQAFAAAAAgAh07iQLP1YoZwAgAA+QQAAA4AAAAAAAAAAQAgAAAAJwEAAGRycy9l&#10;Mm9Eb2MueG1sUEsFBgAAAAAGAAYAWQEAAAkGAAAAAA==&#10;">
                <v:fill on="t" focussize="0,0"/>
                <v:stroke weight="2pt" color="#000000" joinstyle="round"/>
                <v:imagedata o:title=""/>
                <o:lock v:ext="edit" aspectratio="f"/>
                <v:textbox>
                  <w:txbxContent>
                    <w:p>
                      <w:pPr>
                        <w:jc w:val="center"/>
                        <w:rPr>
                          <w:rFonts w:ascii="黑体" w:hAnsi="黑体" w:eastAsia="黑体"/>
                          <w:b/>
                          <w:sz w:val="44"/>
                          <w:szCs w:val="44"/>
                        </w:rPr>
                      </w:pPr>
                      <w:r>
                        <w:rPr>
                          <w:rFonts w:hint="eastAsia" w:ascii="黑体" w:hAnsi="黑体" w:eastAsia="黑体"/>
                          <w:b/>
                          <w:sz w:val="44"/>
                          <w:szCs w:val="44"/>
                        </w:rPr>
                        <w:t>监事会</w:t>
                      </w:r>
                    </w:p>
                  </w:txbxContent>
                </v:textbox>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1619250</wp:posOffset>
                </wp:positionH>
                <wp:positionV relativeFrom="paragraph">
                  <wp:posOffset>210820</wp:posOffset>
                </wp:positionV>
                <wp:extent cx="16510" cy="2248535"/>
                <wp:effectExtent l="4445" t="0" r="9525" b="6985"/>
                <wp:wrapNone/>
                <wp:docPr id="2" name="直接箭头连接符 2"/>
                <wp:cNvGraphicFramePr/>
                <a:graphic xmlns:a="http://schemas.openxmlformats.org/drawingml/2006/main">
                  <a:graphicData uri="http://schemas.microsoft.com/office/word/2010/wordprocessingShape">
                    <wps:wsp>
                      <wps:cNvCnPr/>
                      <wps:spPr>
                        <a:xfrm>
                          <a:off x="0" y="0"/>
                          <a:ext cx="16510" cy="224853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127.5pt;margin-top:16.6pt;height:177.05pt;width:1.3pt;z-index:251685888;mso-width-relative:page;mso-height-relative:page;" filled="f" stroked="t" coordsize="21600,21600" o:gfxdata="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I56o7ZAAAACgEAAA8AAAAAAAAAAQAgAAAA&#10;IgAAAGRycy9kb3ducmV2LnhtbFBLAQIUABQAAAAIAIdO4kCoRg7pCgIAAAgEAAAOAAAAAAAAAAEA&#10;IAAAACgBAABkcnMvZTJvRG9jLnhtbFBLBQYAAAAABgAGAFkBAACk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-716915</wp:posOffset>
                </wp:positionH>
                <wp:positionV relativeFrom="paragraph">
                  <wp:posOffset>241935</wp:posOffset>
                </wp:positionV>
                <wp:extent cx="1685925" cy="490855"/>
                <wp:effectExtent l="12700" t="12700" r="15875" b="29845"/>
                <wp:wrapNone/>
                <wp:docPr id="20" name="圆角矩形 20"/>
                <wp:cNvGraphicFramePr/>
                <a:graphic xmlns:a="http://schemas.openxmlformats.org/drawingml/2006/main">
                  <a:graphicData uri="http://schemas.microsoft.com/office/word/2010/wordprocessingShape">
                    <wps:wsp>
                      <wps:cNvSpPr/>
                      <wps:spPr>
                        <a:xfrm>
                          <a:off x="0" y="0"/>
                          <a:ext cx="1685925" cy="49085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sz w:val="24"/>
                                <w:szCs w:val="24"/>
                                <w:lang w:eastAsia="zh-CN"/>
                              </w:rPr>
                            </w:pPr>
                            <w:r>
                              <w:rPr>
                                <w:rFonts w:hint="eastAsia"/>
                                <w:color w:val="000000"/>
                                <w:sz w:val="24"/>
                                <w:szCs w:val="24"/>
                              </w:rPr>
                              <w:t>发展</w:t>
                            </w:r>
                            <w:r>
                              <w:rPr>
                                <w:color w:val="000000"/>
                                <w:sz w:val="24"/>
                                <w:szCs w:val="24"/>
                              </w:rPr>
                              <w:t>战略研究委员</w:t>
                            </w:r>
                            <w:r>
                              <w:rPr>
                                <w:rFonts w:hint="eastAsia"/>
                                <w:color w:val="000000"/>
                                <w:sz w:val="24"/>
                                <w:szCs w:val="24"/>
                                <w:lang w:eastAsia="zh-CN"/>
                              </w:rPr>
                              <w:t>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45pt;margin-top:19.05pt;height:38.65pt;width:132.75pt;z-index:251664384;v-text-anchor:middle;mso-width-relative:page;mso-height-relative:page;" fillcolor="#FFFFFF" filled="t" stroked="t" coordsize="21600,21600" arcsize="0.166666666666667" o:gfxdata="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8lT/LaAAAACwEAAA8AAAAAAAAA&#10;AQAgAAAAIgAAAGRycy9kb3ducmV2LnhtbFBLAQIUABQAAAAIAIdO4kCmow6FgQIAAAMFAAAOAAAA&#10;AAAAAAEAIAAAACkBAABkcnMvZTJvRG9jLnhtbFBLBQYAAAAABgAGAFkBAAAcBgAAAAA=&#10;">
                <v:fill on="t" focussize="0,0"/>
                <v:stroke weight="2pt" color="#000000" joinstyle="round"/>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rPr>
                        <w:t>发展</w:t>
                      </w:r>
                      <w:r>
                        <w:rPr>
                          <w:color w:val="000000"/>
                          <w:sz w:val="24"/>
                          <w:szCs w:val="24"/>
                        </w:rPr>
                        <w:t>战略研究委员</w:t>
                      </w:r>
                      <w:r>
                        <w:rPr>
                          <w:rFonts w:hint="eastAsia"/>
                          <w:color w:val="000000"/>
                          <w:sz w:val="24"/>
                          <w:szCs w:val="24"/>
                          <w:lang w:eastAsia="zh-CN"/>
                        </w:rPr>
                        <w:t>会</w:t>
                      </w:r>
                    </w:p>
                  </w:txbxContent>
                </v:textbox>
              </v:roundrect>
            </w:pict>
          </mc:Fallback>
        </mc:AlternateContent>
      </w: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4079875</wp:posOffset>
                </wp:positionH>
                <wp:positionV relativeFrom="paragraph">
                  <wp:posOffset>267970</wp:posOffset>
                </wp:positionV>
                <wp:extent cx="12065" cy="1172845"/>
                <wp:effectExtent l="4445" t="0" r="21590" b="8255"/>
                <wp:wrapNone/>
                <wp:docPr id="3" name="直接箭头连接符 3"/>
                <wp:cNvGraphicFramePr/>
                <a:graphic xmlns:a="http://schemas.openxmlformats.org/drawingml/2006/main">
                  <a:graphicData uri="http://schemas.microsoft.com/office/word/2010/wordprocessingShape">
                    <wps:wsp>
                      <wps:cNvCnPr/>
                      <wps:spPr>
                        <a:xfrm>
                          <a:off x="0" y="0"/>
                          <a:ext cx="12065" cy="117284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321.25pt;margin-top:21.1pt;height:92.35pt;width:0.95pt;z-index:251689984;mso-width-relative:page;mso-height-relative:page;" filled="f" stroked="t" coordsize="21600,21600" o:gfxdata="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5KyJdgAAAAKAQAADwAAAAAAAAABACAAAAAi&#10;AAAAZHJzL2Rvd25yZXYueG1sUEsBAhQAFAAAAAgAh07iQH3q7WkKAgAACAQAAA4AAAAAAAAAAQAg&#10;AAAAJwEAAGRycy9lMm9Eb2MueG1sUEsFBgAAAAAGAAYAWQEAAKMFAAAAAA==&#10;">
                <v:fill on="f" focussize="0,0"/>
                <v:stroke color="#000000" joinstyle="round"/>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982980</wp:posOffset>
                </wp:positionH>
                <wp:positionV relativeFrom="paragraph">
                  <wp:posOffset>135890</wp:posOffset>
                </wp:positionV>
                <wp:extent cx="635635" cy="2540"/>
                <wp:effectExtent l="0" t="38100" r="12065" b="35560"/>
                <wp:wrapNone/>
                <wp:docPr id="127" name="直接箭头连接符 127"/>
                <wp:cNvGraphicFramePr/>
                <a:graphic xmlns:a="http://schemas.openxmlformats.org/drawingml/2006/main">
                  <a:graphicData uri="http://schemas.microsoft.com/office/word/2010/wordprocessingShape">
                    <wps:wsp>
                      <wps:cNvCnPr/>
                      <wps:spPr>
                        <a:xfrm flipH="1" flipV="1">
                          <a:off x="0" y="0"/>
                          <a:ext cx="635635" cy="254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7.4pt;margin-top:10.7pt;height:0.2pt;width:50.05pt;z-index:251768832;mso-width-relative:page;mso-height-relative:page;" filled="f" stroked="t" coordsize="21600,21600" o:gfxdata="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ua9YbXAAAACQEAAA8AAAAAAAAAAQAgAAAAIgAAAGRycy9kb3ducmV2LnhtbFBL&#10;AQIUABQAAAAIAIdO4kBzhSc5MAIAAD0EAAAOAAAAAAAAAAEAIAAAACYBAABkcnMvZTJvRG9jLnht&#10;bFBLBQYAAAAABgAGAFkBAADI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1447165</wp:posOffset>
                </wp:positionH>
                <wp:positionV relativeFrom="paragraph">
                  <wp:posOffset>133350</wp:posOffset>
                </wp:positionV>
                <wp:extent cx="38100" cy="4474845"/>
                <wp:effectExtent l="4445" t="0" r="14605" b="1905"/>
                <wp:wrapNone/>
                <wp:docPr id="1" name="直接箭头连接符 1"/>
                <wp:cNvGraphicFramePr/>
                <a:graphic xmlns:a="http://schemas.openxmlformats.org/drawingml/2006/main">
                  <a:graphicData uri="http://schemas.microsoft.com/office/word/2010/wordprocessingShape">
                    <wps:wsp>
                      <wps:cNvCnPr/>
                      <wps:spPr>
                        <a:xfrm>
                          <a:off x="0" y="0"/>
                          <a:ext cx="38100" cy="447484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113.95pt;margin-top:10.5pt;height:352.35pt;width:3pt;z-index:251678720;mso-width-relative:page;mso-height-relative:page;" filled="f" stroked="t" coordsize="21600,21600" o:gfxdata="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UzUNtgAAAAKAQAADwAAAAAAAAABACAAAAAi&#10;AAAAZHJzL2Rvd25yZXYueG1sUEsBAhQAFAAAAAgAh07iQCzzkPYKAgAACAQAAA4AAAAAAAAAAQAg&#10;AAAAJwEAAGRycy9lMm9Eb2MueG1sUEsFBgAAAAAGAAYAWQEAAKM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2850515</wp:posOffset>
                </wp:positionH>
                <wp:positionV relativeFrom="paragraph">
                  <wp:posOffset>125095</wp:posOffset>
                </wp:positionV>
                <wp:extent cx="960755" cy="581025"/>
                <wp:effectExtent l="12700" t="12700" r="17145" b="15875"/>
                <wp:wrapNone/>
                <wp:docPr id="35" name="圆角矩形 35"/>
                <wp:cNvGraphicFramePr/>
                <a:graphic xmlns:a="http://schemas.openxmlformats.org/drawingml/2006/main">
                  <a:graphicData uri="http://schemas.microsoft.com/office/word/2010/wordprocessingShape">
                    <wps:wsp>
                      <wps:cNvSpPr/>
                      <wps:spPr>
                        <a:xfrm>
                          <a:off x="0" y="0"/>
                          <a:ext cx="981075" cy="58102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rPr>
                            </w:pPr>
                            <w:r>
                              <w:rPr>
                                <w:rFonts w:hint="eastAsia"/>
                                <w:color w:val="000000"/>
                                <w:sz w:val="24"/>
                                <w:szCs w:val="24"/>
                              </w:rPr>
                              <w:t>监事会</w:t>
                            </w:r>
                          </w:p>
                          <w:p>
                            <w:pPr>
                              <w:jc w:val="center"/>
                              <w:rPr>
                                <w:color w:val="000000"/>
                              </w:rPr>
                            </w:pPr>
                            <w:r>
                              <w:rPr>
                                <w:rFonts w:hint="eastAsia"/>
                                <w:color w:val="000000"/>
                                <w:sz w:val="24"/>
                                <w:szCs w:val="24"/>
                              </w:rPr>
                              <w:t>办公室</w:t>
                            </w:r>
                          </w:p>
                          <w:p>
                            <w:pP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4.45pt;margin-top:9.85pt;height:45.75pt;width:75.65pt;z-index:251670528;v-text-anchor:middle;mso-width-relative:page;mso-height-relative:page;" fillcolor="#FFFFFF" filled="t" stroked="t" coordsize="21600,21600" arcsize="0.166666666666667" o:gfxdata="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TIxZd1wAAAAoBAAAPAAAAAAAAAAEA&#10;IAAAACIAAABkcnMvZG93bnJldi54bWxQSwECFAAUAAAACACHTuJAHy10J4ICAAACBQAADgAAAAAA&#10;AAABACAAAAAmAQAAZHJzL2Uyb0RvYy54bWxQSwUGAAAAAAYABgBZAQAAGgYAAAAA&#10;">
                <v:fill on="t" focussize="0,0"/>
                <v:stroke weight="2pt" color="#000000" joinstyle="round"/>
                <v:imagedata o:title=""/>
                <o:lock v:ext="edit" aspectratio="f"/>
                <v:textbox>
                  <w:txbxContent>
                    <w:p>
                      <w:pPr>
                        <w:jc w:val="center"/>
                        <w:rPr>
                          <w:rFonts w:hint="eastAsia"/>
                          <w:color w:val="000000"/>
                        </w:rPr>
                      </w:pPr>
                      <w:r>
                        <w:rPr>
                          <w:rFonts w:hint="eastAsia"/>
                          <w:color w:val="000000"/>
                          <w:sz w:val="24"/>
                          <w:szCs w:val="24"/>
                        </w:rPr>
                        <w:t>监事会</w:t>
                      </w:r>
                    </w:p>
                    <w:p>
                      <w:pPr>
                        <w:jc w:val="center"/>
                        <w:rPr>
                          <w:color w:val="000000"/>
                        </w:rPr>
                      </w:pPr>
                      <w:r>
                        <w:rPr>
                          <w:rFonts w:hint="eastAsia"/>
                          <w:color w:val="000000"/>
                          <w:sz w:val="24"/>
                          <w:szCs w:val="24"/>
                        </w:rPr>
                        <w:t>办公室</w:t>
                      </w:r>
                    </w:p>
                    <w:p>
                      <w:pPr>
                        <w:rPr>
                          <w:color w:val="000000"/>
                        </w:rPr>
                      </w:pPr>
                    </w:p>
                  </w:txbxContent>
                </v:textbox>
              </v:roundrect>
            </w:pict>
          </mc:Fallback>
        </mc:AlternateContent>
      </w: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4429760</wp:posOffset>
                </wp:positionH>
                <wp:positionV relativeFrom="paragraph">
                  <wp:posOffset>140970</wp:posOffset>
                </wp:positionV>
                <wp:extent cx="1434465" cy="534670"/>
                <wp:effectExtent l="12700" t="12700" r="19685" b="24130"/>
                <wp:wrapNone/>
                <wp:docPr id="16" name="圆角矩形 16"/>
                <wp:cNvGraphicFramePr/>
                <a:graphic xmlns:a="http://schemas.openxmlformats.org/drawingml/2006/main">
                  <a:graphicData uri="http://schemas.microsoft.com/office/word/2010/wordprocessingShape">
                    <wps:wsp>
                      <wps:cNvSpPr/>
                      <wps:spPr>
                        <a:xfrm>
                          <a:off x="0" y="0"/>
                          <a:ext cx="1434465" cy="57721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提名</w:t>
                            </w:r>
                            <w:r>
                              <w:rPr>
                                <w:color w:val="000000"/>
                                <w:sz w:val="24"/>
                                <w:szCs w:val="24"/>
                              </w:rPr>
                              <w:t>委</w:t>
                            </w:r>
                            <w:r>
                              <w:rPr>
                                <w:rFonts w:hint="eastAsia"/>
                                <w:color w:val="000000"/>
                                <w:sz w:val="24"/>
                                <w:szCs w:val="24"/>
                                <w:lang w:eastAsia="zh-CN"/>
                              </w:rPr>
                              <w:t>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8.8pt;margin-top:11.1pt;height:42.1pt;width:112.95pt;z-index:251688960;v-text-anchor:middle;mso-width-relative:page;mso-height-relative:page;" fillcolor="#FFFFFF" filled="t" stroked="t" coordsize="21600,21600" arcsize="0.166666666666667" o:gfxdata="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YWTULZAAAACgEAAA8AAAAAAAAA&#10;AQAgAAAAIgAAAGRycy9kb3ducmV2LnhtbFBLAQIUABQAAAAIAIdO4kAc/MipggIAAAMFAAAOAAAA&#10;AAAAAAEAIAAAACgBAABkcnMvZTJvRG9jLnhtbFBLBQYAAAAABgAGAFkBAAAcBg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提名</w:t>
                      </w:r>
                      <w:r>
                        <w:rPr>
                          <w:color w:val="000000"/>
                          <w:sz w:val="24"/>
                          <w:szCs w:val="24"/>
                        </w:rPr>
                        <w:t>委</w:t>
                      </w:r>
                      <w:r>
                        <w:rPr>
                          <w:rFonts w:hint="eastAsia"/>
                          <w:color w:val="000000"/>
                          <w:sz w:val="24"/>
                          <w:szCs w:val="24"/>
                          <w:lang w:eastAsia="zh-CN"/>
                        </w:rPr>
                        <w:t>员会</w:t>
                      </w: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2398395</wp:posOffset>
                </wp:positionH>
                <wp:positionV relativeFrom="paragraph">
                  <wp:posOffset>100330</wp:posOffset>
                </wp:positionV>
                <wp:extent cx="3810" cy="718820"/>
                <wp:effectExtent l="34925" t="0" r="37465" b="5080"/>
                <wp:wrapNone/>
                <wp:docPr id="128" name="直接箭头连接符 128"/>
                <wp:cNvGraphicFramePr/>
                <a:graphic xmlns:a="http://schemas.openxmlformats.org/drawingml/2006/main">
                  <a:graphicData uri="http://schemas.microsoft.com/office/word/2010/wordprocessingShape">
                    <wps:wsp>
                      <wps:cNvCnPr/>
                      <wps:spPr>
                        <a:xfrm>
                          <a:off x="0" y="0"/>
                          <a:ext cx="3810" cy="7188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margin-left:188.85pt;margin-top:7.9pt;height:56.6pt;width:0.3pt;z-index:251769856;mso-width-relative:page;mso-height-relative:page;" filled="f" stroked="t" coordsize="21600,21600" o:gfxdata="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ZJKLNoAAAAKAQAADwAAAAAAAAABACAAAAAiAAAAZHJzL2Rvd25yZXYueG1sUEsBAhQAFAAA&#10;AAgAh07iQK30EssmAgAAKQQAAA4AAAAAAAAAAQAgAAAAKQEAAGRycy9lMm9Eb2MueG1sUEsFBgAA&#10;AAAGAAYAWQEAAMEFAAAAAA==&#10;">
                <v:fill on="f" focussize="0,0"/>
                <v:stroke color="#000000" joinstyle="round" endarrow="block"/>
                <v:imagedata o:title=""/>
                <o:lock v:ext="edit" aspectratio="f"/>
              </v:shape>
            </w:pict>
          </mc:Fallback>
        </mc:AlternateContent>
      </w:r>
      <w:r>
        <w:rPr>
          <w:color w:val="auto"/>
          <w:sz w:val="44"/>
          <w:szCs w:val="44"/>
          <w:highlight w:val="none"/>
        </w:rPr>
        <mc:AlternateContent>
          <mc:Choice Requires="wps">
            <w:drawing>
              <wp:anchor distT="0" distB="0" distL="114300" distR="114300" simplePos="0" relativeHeight="251767808" behindDoc="0" locked="0" layoutInCell="1" allowOverlap="1">
                <wp:simplePos x="0" y="0"/>
                <wp:positionH relativeFrom="column">
                  <wp:posOffset>1626235</wp:posOffset>
                </wp:positionH>
                <wp:positionV relativeFrom="paragraph">
                  <wp:posOffset>100330</wp:posOffset>
                </wp:positionV>
                <wp:extent cx="770255" cy="4445"/>
                <wp:effectExtent l="0" t="0" r="0" b="0"/>
                <wp:wrapNone/>
                <wp:docPr id="126" name="直接连接符 126"/>
                <wp:cNvGraphicFramePr/>
                <a:graphic xmlns:a="http://schemas.openxmlformats.org/drawingml/2006/main">
                  <a:graphicData uri="http://schemas.microsoft.com/office/word/2010/wordprocessingShape">
                    <wps:wsp>
                      <wps:cNvCnPr/>
                      <wps:spPr>
                        <a:xfrm>
                          <a:off x="0" y="0"/>
                          <a:ext cx="770255" cy="444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28.05pt;margin-top:7.9pt;height:0.35pt;width:60.65pt;z-index:251767808;mso-width-relative:page;mso-height-relative:page;" filled="f" stroked="t" coordsize="21600,21600" o:gfxdata="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ZyKc9cAAAAJAQAADwAAAAAAAAABACAAAAAiAAAAZHJzL2Rvd25yZXYueG1s&#10;UEsBAhQAFAAAAAgAh07iQCggC2f5AQAA5wMAAA4AAAAAAAAAAQAgAAAAJgEAAGRycy9lMm9Eb2Mu&#10;eG1sUEsFBgAAAAAGAAYAWQEAAJEFAAAAAA==&#10;">
                <v:fill on="f" focussize="0,0"/>
                <v:stroke color="#00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1010920</wp:posOffset>
                </wp:positionH>
                <wp:positionV relativeFrom="paragraph">
                  <wp:posOffset>230505</wp:posOffset>
                </wp:positionV>
                <wp:extent cx="448945" cy="4445"/>
                <wp:effectExtent l="0" t="37465" r="8255" b="34290"/>
                <wp:wrapNone/>
                <wp:docPr id="102" name="直接箭头连接符 102"/>
                <wp:cNvGraphicFramePr/>
                <a:graphic xmlns:a="http://schemas.openxmlformats.org/drawingml/2006/main">
                  <a:graphicData uri="http://schemas.microsoft.com/office/word/2010/wordprocessingShape">
                    <wps:wsp>
                      <wps:cNvCnPr/>
                      <wps:spPr>
                        <a:xfrm flipH="1" flipV="1">
                          <a:off x="0" y="0"/>
                          <a:ext cx="448945" cy="444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9.6pt;margin-top:18.15pt;height:0.35pt;width:35.35pt;z-index:251761664;mso-width-relative:page;mso-height-relative:page;" filled="f" stroked="t" coordsize="21600,21600" o:gfxdata="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KHXC9cAAAAJAQAADwAAAAAAAAABACAAAAAiAAAAZHJzL2Rvd25yZXYueG1sUEsB&#10;AhQAFAAAAAgAh07iQPaLbzkvAgAAPQQAAA4AAAAAAAAAAQAgAAAAJgEAAGRycy9lMm9Eb2MueG1s&#10;UEsFBgAAAAAGAAYAWQEAAMc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-719455</wp:posOffset>
                </wp:positionH>
                <wp:positionV relativeFrom="paragraph">
                  <wp:posOffset>40005</wp:posOffset>
                </wp:positionV>
                <wp:extent cx="1713230" cy="408305"/>
                <wp:effectExtent l="12700" t="12700" r="26670" b="17145"/>
                <wp:wrapNone/>
                <wp:docPr id="33" name="圆角矩形 33"/>
                <wp:cNvGraphicFramePr/>
                <a:graphic xmlns:a="http://schemas.openxmlformats.org/drawingml/2006/main">
                  <a:graphicData uri="http://schemas.microsoft.com/office/word/2010/wordprocessingShape">
                    <wps:wsp>
                      <wps:cNvSpPr/>
                      <wps:spPr>
                        <a:xfrm>
                          <a:off x="0" y="0"/>
                          <a:ext cx="1713230" cy="408305"/>
                        </a:xfrm>
                        <a:prstGeom prst="roundRect">
                          <a:avLst>
                            <a:gd name="adj" fmla="val 24594"/>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rPr>
                              <w:t>审计委员会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65pt;margin-top:3.15pt;height:32.15pt;width:134.9pt;z-index:251669504;v-text-anchor:middle;mso-width-relative:page;mso-height-relative:page;" fillcolor="#FFFFFF" filled="t" stroked="t" coordsize="21600,21600" arcsize="0.245925925925926" o:gfxdata="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W&#10;c5qG2AAAAAkBAAAPAAAAAAAAAAEAIAAAACIAAABkcnMvZG93bnJldi54bWxQSwECFAAUAAAACACH&#10;TuJAjpiuWpYCAAAvBQAADgAAAAAAAAABACAAAAAnAQAAZHJzL2Uyb0RvYy54bWxQSwUGAAAAAAYA&#10;BgBZAQAALwY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rPr>
                        <w:t>审计委员会</w:t>
                      </w:r>
                    </w:p>
                  </w:txbxContent>
                </v:textbox>
              </v:roundrect>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3820795</wp:posOffset>
                </wp:positionH>
                <wp:positionV relativeFrom="paragraph">
                  <wp:posOffset>52705</wp:posOffset>
                </wp:positionV>
                <wp:extent cx="608965" cy="3175"/>
                <wp:effectExtent l="0" t="37465" r="635" b="54610"/>
                <wp:wrapNone/>
                <wp:docPr id="164" name="直接箭头连接符 164"/>
                <wp:cNvGraphicFramePr/>
                <a:graphic xmlns:a="http://schemas.openxmlformats.org/drawingml/2006/main">
                  <a:graphicData uri="http://schemas.microsoft.com/office/word/2010/wordprocessingShape">
                    <wps:wsp>
                      <wps:cNvCnPr>
                        <a:endCxn id="16" idx="1"/>
                      </wps:cNvCnPr>
                      <wps:spPr>
                        <a:xfrm flipV="1">
                          <a:off x="0" y="0"/>
                          <a:ext cx="608965" cy="3175"/>
                        </a:xfrm>
                        <a:prstGeom prst="straightConnector1">
                          <a:avLst/>
                        </a:prstGeom>
                        <a:noFill/>
                        <a:ln w="9525" cap="flat" cmpd="sng" algn="ctr">
                          <a:solidFill>
                            <a:srgbClr val="000000">
                              <a:shade val="95000"/>
                              <a:satMod val="105000"/>
                            </a:srgbClr>
                          </a:solidFill>
                          <a:prstDash val="solid"/>
                          <a:headEnd type="triangle" w="med" len="med"/>
                          <a:tailEnd type="triangle" w="med" len="med"/>
                        </a:ln>
                        <a:effectLst/>
                      </wps:spPr>
                      <wps:bodyPr/>
                    </wps:wsp>
                  </a:graphicData>
                </a:graphic>
              </wp:anchor>
            </w:drawing>
          </mc:Choice>
          <mc:Fallback>
            <w:pict>
              <v:shape id="_x0000_s1026" o:spid="_x0000_s1026" o:spt="32" type="#_x0000_t32" style="position:absolute;left:0pt;flip:y;margin-left:300.85pt;margin-top:4.15pt;height:0.25pt;width:47.95pt;z-index:251677696;mso-width-relative:page;mso-height-relative:page;" filled="f" stroked="t" coordsize="21600,21600" o:gfxdata="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&#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7poGX1QAAAAcBAAAPAAAAAAAAAAEAIAAAACIAAABk&#10;cnMvZG93bnJldi54bWxQSwECFAAUAAAACACHTuJAqU+W+EICAACJBAAADgAAAAAAAAABACAAAAAk&#10;AQAAZHJzL2Uyb0RvYy54bWxQSwUGAAAAAAYABgBZAQAA2AUAAAAA&#10;">
                <v:fill on="f" focussize="0,0"/>
                <v:stroke color="#000000" joinstyle="round" startarrow="block"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989330</wp:posOffset>
                </wp:positionH>
                <wp:positionV relativeFrom="paragraph">
                  <wp:posOffset>351790</wp:posOffset>
                </wp:positionV>
                <wp:extent cx="465455" cy="3175"/>
                <wp:effectExtent l="0" t="37465" r="10795" b="35560"/>
                <wp:wrapNone/>
                <wp:docPr id="18" name="直接箭头连接符 18"/>
                <wp:cNvGraphicFramePr/>
                <a:graphic xmlns:a="http://schemas.openxmlformats.org/drawingml/2006/main">
                  <a:graphicData uri="http://schemas.microsoft.com/office/word/2010/wordprocessingShape">
                    <wps:wsp>
                      <wps:cNvCnPr/>
                      <wps:spPr>
                        <a:xfrm flipH="1" flipV="1">
                          <a:off x="0" y="0"/>
                          <a:ext cx="465455"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7.9pt;margin-top:27.7pt;height:0.25pt;width:36.65pt;z-index:251684864;mso-width-relative:page;mso-height-relative:page;" filled="f" stroked="t" coordsize="21600,21600" o:gfxdata="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8qpl9cAAAAJAQAADwAAAAAAAAABACAAAAAiAAAAZHJzL2Rvd25yZXYueG1sUEsB&#10;AhQAFAAAAAgAh07iQFU6ywEvAgAAOwQAAA4AAAAAAAAAAQAgAAAAJgEAAGRycy9lMm9Eb2MueG1s&#10;UEsFBgAAAAAGAAYAWQEAAMc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-720725</wp:posOffset>
                </wp:positionH>
                <wp:positionV relativeFrom="paragraph">
                  <wp:posOffset>145415</wp:posOffset>
                </wp:positionV>
                <wp:extent cx="1696720" cy="427355"/>
                <wp:effectExtent l="12700" t="12700" r="24130" b="17145"/>
                <wp:wrapNone/>
                <wp:docPr id="29" name="圆角矩形 29"/>
                <wp:cNvGraphicFramePr/>
                <a:graphic xmlns:a="http://schemas.openxmlformats.org/drawingml/2006/main">
                  <a:graphicData uri="http://schemas.microsoft.com/office/word/2010/wordprocessingShape">
                    <wps:wsp>
                      <wps:cNvSpPr/>
                      <wps:spPr>
                        <a:xfrm>
                          <a:off x="0" y="0"/>
                          <a:ext cx="1696720" cy="427355"/>
                        </a:xfrm>
                        <a:prstGeom prst="round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rPr>
                              <w:t>风险</w:t>
                            </w:r>
                            <w:r>
                              <w:rPr>
                                <w:color w:val="000000"/>
                                <w:sz w:val="24"/>
                                <w:szCs w:val="24"/>
                              </w:rPr>
                              <w:t>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75pt;margin-top:11.45pt;height:33.65pt;width:133.6pt;z-index:251665408;v-text-anchor:middle;mso-width-relative:page;mso-height-relative:page;" fillcolor="#FFFFFF" filled="t" stroked="t" coordsize="21600,21600" arcsize="0.166666666666667" o:gfxdata="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mz0dkAAAAKAQAADwAAAAAAAAAB&#10;ACAAAAAiAAAAZHJzL2Rvd25yZXYueG1sUEsBAhQAFAAAAAgAh07iQCEX+BWBAgAAAwUAAA4AAAAA&#10;AAAAAQAgAAAAKAEAAGRycy9lMm9Eb2MueG1sUEsFBgAAAAAGAAYAWQEAABsGAAAAAA==&#10;">
                <v:fill on="t" focussize="0,0"/>
                <v:stroke weight="2pt" color="#000000" joinstyle="round"/>
                <v:imagedata o:title=""/>
                <o:lock v:ext="edit" aspectratio="f"/>
                <v:textbox>
                  <w:txbxContent>
                    <w:p>
                      <w:pPr>
                        <w:jc w:val="center"/>
                        <w:rPr>
                          <w:color w:val="000000"/>
                        </w:rPr>
                      </w:pPr>
                      <w:r>
                        <w:rPr>
                          <w:rFonts w:hint="eastAsia"/>
                          <w:color w:val="000000"/>
                          <w:sz w:val="24"/>
                          <w:szCs w:val="24"/>
                        </w:rPr>
                        <w:t>风险</w:t>
                      </w:r>
                      <w:r>
                        <w:rPr>
                          <w:color w:val="000000"/>
                          <w:sz w:val="24"/>
                          <w:szCs w:val="24"/>
                        </w:rPr>
                        <w:t>管理</w:t>
                      </w:r>
                      <w:r>
                        <w:rPr>
                          <w:rFonts w:hint="eastAsia"/>
                          <w:color w:val="000000"/>
                          <w:sz w:val="24"/>
                          <w:szCs w:val="24"/>
                        </w:rPr>
                        <w:t>委员会</w:t>
                      </w:r>
                    </w:p>
                  </w:txbxContent>
                </v:textbox>
              </v:roundrect>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4445635</wp:posOffset>
                </wp:positionH>
                <wp:positionV relativeFrom="paragraph">
                  <wp:posOffset>92075</wp:posOffset>
                </wp:positionV>
                <wp:extent cx="1399540" cy="534670"/>
                <wp:effectExtent l="12700" t="12700" r="16510" b="24130"/>
                <wp:wrapNone/>
                <wp:docPr id="159" name="圆角矩形 159"/>
                <wp:cNvGraphicFramePr/>
                <a:graphic xmlns:a="http://schemas.openxmlformats.org/drawingml/2006/main">
                  <a:graphicData uri="http://schemas.microsoft.com/office/word/2010/wordprocessingShape">
                    <wps:wsp>
                      <wps:cNvSpPr/>
                      <wps:spPr>
                        <a:xfrm>
                          <a:off x="0" y="0"/>
                          <a:ext cx="1399540" cy="57721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监督委员会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0.05pt;margin-top:7.25pt;height:42.1pt;width:110.2pt;z-index:251676672;v-text-anchor:middle;mso-width-relative:page;mso-height-relative:page;" fillcolor="#FFFFFF" filled="t" stroked="t" coordsize="21600,21600" arcsize="0.166666666666667" o:gfxdata="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kB2oDXAAAACQEAAA8AAAAAAAAAAQAg&#10;AAAAIgAAAGRycy9kb3ducmV2LnhtbFBLAQIUABQAAAAIAIdO4kB5LgAqgQIAAAUFAAAOAAAAAAAA&#10;AAEAIAAAACYBAABkcnMvZTJvRG9jLnhtbFBLBQYAAAAABgAGAFkBAAAZBg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监督委员会</w:t>
                      </w:r>
                    </w:p>
                  </w:txbxContent>
                </v:textbox>
              </v:roundrect>
            </w:pict>
          </mc:Fallback>
        </mc:AlternateContent>
      </w: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4093210</wp:posOffset>
                </wp:positionH>
                <wp:positionV relativeFrom="paragraph">
                  <wp:posOffset>359410</wp:posOffset>
                </wp:positionV>
                <wp:extent cx="352425" cy="0"/>
                <wp:effectExtent l="0" t="38100" r="9525" b="38100"/>
                <wp:wrapNone/>
                <wp:docPr id="10" name="直接箭头连接符 10"/>
                <wp:cNvGraphicFramePr/>
                <a:graphic xmlns:a="http://schemas.openxmlformats.org/drawingml/2006/main">
                  <a:graphicData uri="http://schemas.microsoft.com/office/word/2010/wordprocessingShape">
                    <wps:wsp>
                      <wps:cNvCnPr>
                        <a:endCxn id="159" idx="1"/>
                      </wps:cNvCnPr>
                      <wps:spPr>
                        <a:xfrm>
                          <a:off x="0" y="0"/>
                          <a:ext cx="3524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2.3pt;margin-top:28.3pt;height:0pt;width:27.75pt;z-index:251691008;mso-width-relative:page;mso-height-relative:page;" filled="f" stroked="t" coordsize="21600,21600" o:gfxdata="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5B4SN2AAAAAkBAAAP&#10;AAAAAAAAAAEAIAAAACIAAABkcnMvZG93bnJldi54bWxQSwECFAAUAAAACACHTuJAXrIsNxgCAAAo&#10;BAAADgAAAAAAAAABACAAAAAnAQAAZHJzL2Uyb0RvYy54bWxQSwUGAAAAAAYABgBZAQAAsQU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1901190</wp:posOffset>
                </wp:positionH>
                <wp:positionV relativeFrom="paragraph">
                  <wp:posOffset>114935</wp:posOffset>
                </wp:positionV>
                <wp:extent cx="1002665" cy="534670"/>
                <wp:effectExtent l="12700" t="12700" r="20955" b="16510"/>
                <wp:wrapNone/>
                <wp:docPr id="30" name="圆角矩形 30"/>
                <wp:cNvGraphicFramePr/>
                <a:graphic xmlns:a="http://schemas.openxmlformats.org/drawingml/2006/main">
                  <a:graphicData uri="http://schemas.microsoft.com/office/word/2010/wordprocessingShape">
                    <wps:wsp>
                      <wps:cNvSpPr/>
                      <wps:spPr>
                        <a:xfrm>
                          <a:off x="0" y="0"/>
                          <a:ext cx="981075" cy="57721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rPr>
                              <w:t>董事会</w:t>
                            </w:r>
                          </w:p>
                          <w:p>
                            <w:pPr>
                              <w:jc w:val="center"/>
                              <w:rPr>
                                <w:color w:val="000000"/>
                                <w:sz w:val="24"/>
                                <w:szCs w:val="24"/>
                              </w:rPr>
                            </w:pPr>
                            <w:r>
                              <w:rPr>
                                <w:color w:val="000000"/>
                                <w:sz w:val="24"/>
                                <w:szCs w:val="24"/>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9.7pt;margin-top:9.05pt;height:42.1pt;width:78.95pt;z-index:251666432;v-text-anchor:middle;mso-width-relative:page;mso-height-relative:page;" fillcolor="#FFFFFF" filled="t" stroked="t" coordsize="21600,21600" arcsize="0.166666666666667" o:gfxdata="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O8CLk2AAAAAoBAAAPAAAAAAAAAAEA&#10;IAAAACIAAABkcnMvZG93bnJldi54bWxQSwECFAAUAAAACACHTuJAKIdvx4ECAAACBQAADgAAAAAA&#10;AAABACAAAAAnAQAAZHJzL2Uyb0RvYy54bWxQSwUGAAAAAAYABgBZAQAAGgY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rPr>
                        <w:t>董事会</w:t>
                      </w:r>
                    </w:p>
                    <w:p>
                      <w:pPr>
                        <w:jc w:val="center"/>
                        <w:rPr>
                          <w:color w:val="000000"/>
                          <w:sz w:val="24"/>
                          <w:szCs w:val="24"/>
                        </w:rPr>
                      </w:pPr>
                      <w:r>
                        <w:rPr>
                          <w:color w:val="000000"/>
                          <w:sz w:val="24"/>
                          <w:szCs w:val="24"/>
                        </w:rPr>
                        <w:t>办公室</w:t>
                      </w:r>
                    </w:p>
                  </w:txbxContent>
                </v:textbox>
              </v:roundrect>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-708660</wp:posOffset>
                </wp:positionH>
                <wp:positionV relativeFrom="paragraph">
                  <wp:posOffset>293370</wp:posOffset>
                </wp:positionV>
                <wp:extent cx="1677035" cy="367030"/>
                <wp:effectExtent l="12700" t="12700" r="24765" b="20320"/>
                <wp:wrapNone/>
                <wp:docPr id="31" name="圆角矩形 31"/>
                <wp:cNvGraphicFramePr/>
                <a:graphic xmlns:a="http://schemas.openxmlformats.org/drawingml/2006/main">
                  <a:graphicData uri="http://schemas.microsoft.com/office/word/2010/wordprocessingShape">
                    <wps:wsp>
                      <wps:cNvSpPr/>
                      <wps:spPr>
                        <a:xfrm>
                          <a:off x="0" y="0"/>
                          <a:ext cx="1677035" cy="367030"/>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rPr>
                              <w:t>关联</w:t>
                            </w:r>
                            <w:r>
                              <w:rPr>
                                <w:color w:val="000000"/>
                                <w:sz w:val="24"/>
                                <w:szCs w:val="24"/>
                              </w:rPr>
                              <w:t>交易</w:t>
                            </w:r>
                            <w:r>
                              <w:rPr>
                                <w:rFonts w:hint="eastAsia"/>
                                <w:color w:val="000000"/>
                                <w:sz w:val="24"/>
                                <w:szCs w:val="24"/>
                                <w:lang w:eastAsia="zh-CN"/>
                              </w:rPr>
                              <w:t>控制</w:t>
                            </w:r>
                            <w:r>
                              <w:rPr>
                                <w:rFonts w:hint="eastAsia"/>
                                <w:color w:val="000000"/>
                                <w:sz w:val="24"/>
                                <w:szCs w:val="24"/>
                              </w:rPr>
                              <w:t>委员会</w:t>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8pt;margin-top:23.1pt;height:28.9pt;width:132.05pt;z-index:251667456;v-text-anchor:middle;mso-width-relative:page;mso-height-relative:page;" fillcolor="#FFFFFF" filled="t" stroked="t" coordsize="21600,21600" arcsize="0.166666666666667" o:gfxdata="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Tubn2QAAAAsBAAAPAAAAAAAA&#10;AAEAIAAAACIAAABkcnMvZG93bnJldi54bWxQSwECFAAUAAAACACHTuJAWy0LrYMCAAADBQAADgAA&#10;AAAAAAABACAAAAAoAQAAZHJzL2Uyb0RvYy54bWxQSwUGAAAAAAYABgBZAQAAHQY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rPr>
                        <w:t>关联</w:t>
                      </w:r>
                      <w:r>
                        <w:rPr>
                          <w:color w:val="000000"/>
                          <w:sz w:val="24"/>
                          <w:szCs w:val="24"/>
                        </w:rPr>
                        <w:t>交易</w:t>
                      </w:r>
                      <w:r>
                        <w:rPr>
                          <w:rFonts w:hint="eastAsia"/>
                          <w:color w:val="000000"/>
                          <w:sz w:val="24"/>
                          <w:szCs w:val="24"/>
                          <w:lang w:eastAsia="zh-CN"/>
                        </w:rPr>
                        <w:t>控制</w:t>
                      </w:r>
                      <w:r>
                        <w:rPr>
                          <w:rFonts w:hint="eastAsia"/>
                          <w:color w:val="000000"/>
                          <w:sz w:val="24"/>
                          <w:szCs w:val="24"/>
                        </w:rPr>
                        <w:t>委员会</w:t>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969010</wp:posOffset>
                </wp:positionH>
                <wp:positionV relativeFrom="paragraph">
                  <wp:posOffset>118110</wp:posOffset>
                </wp:positionV>
                <wp:extent cx="481330" cy="7620"/>
                <wp:effectExtent l="0" t="36830" r="13970" b="31750"/>
                <wp:wrapNone/>
                <wp:docPr id="121" name="直接箭头连接符 121"/>
                <wp:cNvGraphicFramePr/>
                <a:graphic xmlns:a="http://schemas.openxmlformats.org/drawingml/2006/main">
                  <a:graphicData uri="http://schemas.microsoft.com/office/word/2010/wordprocessingShape">
                    <wps:wsp>
                      <wps:cNvCnPr/>
                      <wps:spPr>
                        <a:xfrm flipH="1" flipV="1">
                          <a:off x="0" y="0"/>
                          <a:ext cx="481330" cy="76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6.3pt;margin-top:9.3pt;height:0.6pt;width:37.9pt;z-index:251762688;mso-width-relative:page;mso-height-relative:page;" filled="f" stroked="t" coordsize="21600,21600" o:gfxdata="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wRm91wAAAAkBAAAPAAAAAAAAAAEAIAAAACIAAABkcnMvZG93bnJldi54bWxQ&#10;SwECFAAUAAAACACHTuJAPX6HcTECAAA9BAAADgAAAAAAAAABACAAAAAmAQAAZHJzL2Uyb0RvYy54&#10;bWxQSwUGAAAAAAYABgBZAQAAyQ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-723900</wp:posOffset>
                </wp:positionH>
                <wp:positionV relativeFrom="paragraph">
                  <wp:posOffset>341630</wp:posOffset>
                </wp:positionV>
                <wp:extent cx="1705610" cy="375285"/>
                <wp:effectExtent l="12700" t="12700" r="15240" b="31115"/>
                <wp:wrapNone/>
                <wp:docPr id="32" name="圆角矩形 32"/>
                <wp:cNvGraphicFramePr/>
                <a:graphic xmlns:a="http://schemas.openxmlformats.org/drawingml/2006/main">
                  <a:graphicData uri="http://schemas.microsoft.com/office/word/2010/wordprocessingShape">
                    <wps:wsp>
                      <wps:cNvSpPr/>
                      <wps:spPr>
                        <a:xfrm>
                          <a:off x="0" y="0"/>
                          <a:ext cx="1705610" cy="375285"/>
                        </a:xfrm>
                        <a:prstGeom prst="round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rPr>
                              <w:t>提名</w:t>
                            </w:r>
                            <w:r>
                              <w:rPr>
                                <w:color w:val="000000"/>
                                <w:sz w:val="24"/>
                                <w:szCs w:val="24"/>
                              </w:rPr>
                              <w:t>与薪酬委</w:t>
                            </w:r>
                            <w:r>
                              <w:rPr>
                                <w:rFonts w:hint="eastAsia"/>
                                <w:color w:val="000000"/>
                                <w:sz w:val="24"/>
                                <w:szCs w:val="24"/>
                              </w:rPr>
                              <w:t>员</w:t>
                            </w:r>
                            <w:r>
                              <w:rPr>
                                <w:color w:val="000000"/>
                                <w:sz w:val="24"/>
                                <w:szCs w:val="24"/>
                              </w:rPr>
                              <w:t>会</w:t>
                            </w:r>
                          </w:p>
                          <w:p>
                            <w:pPr>
                              <w:jc w:val="center"/>
                              <w:rPr>
                                <w:color w:val="000000"/>
                              </w:rPr>
                            </w:pPr>
                            <w:r>
                              <w:rPr>
                                <w:rFonts w:hint="eastAsia"/>
                                <w:color w:val="000000"/>
                              </w:rPr>
                              <w:t>制</w:t>
                            </w:r>
                            <w:r>
                              <w:rPr>
                                <w:color w:val="000000"/>
                              </w:rPr>
                              <w:t>委员</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pt;margin-top:26.9pt;height:29.55pt;width:134.3pt;z-index:251668480;v-text-anchor:middle;mso-width-relative:page;mso-height-relative:page;" fillcolor="#FFFFFF" filled="t" stroked="t" coordsize="21600,21600" arcsize="0.166666666666667" o:gfxdata="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tmm0L2gAAAAsBAAAPAAAAAAAA&#10;AAEAIAAAACIAAABkcnMvZG93bnJldi54bWxQSwECFAAUAAAACACHTuJAJZOjV4ICAAADBQAADgAA&#10;AAAAAAABACAAAAApAQAAZHJzL2Uyb0RvYy54bWxQSwUGAAAAAAYABgBZAQAAHQYAAAAA&#10;">
                <v:fill on="t" focussize="0,0"/>
                <v:stroke weight="2pt" color="#000000" joinstyle="round"/>
                <v:imagedata o:title=""/>
                <o:lock v:ext="edit" aspectratio="f"/>
                <v:textbox>
                  <w:txbxContent>
                    <w:p>
                      <w:pPr>
                        <w:jc w:val="center"/>
                        <w:rPr>
                          <w:color w:val="000000"/>
                        </w:rPr>
                      </w:pPr>
                      <w:r>
                        <w:rPr>
                          <w:rFonts w:hint="eastAsia"/>
                          <w:color w:val="000000"/>
                          <w:sz w:val="24"/>
                          <w:szCs w:val="24"/>
                        </w:rPr>
                        <w:t>提名</w:t>
                      </w:r>
                      <w:r>
                        <w:rPr>
                          <w:color w:val="000000"/>
                          <w:sz w:val="24"/>
                          <w:szCs w:val="24"/>
                        </w:rPr>
                        <w:t>与薪酬委</w:t>
                      </w:r>
                      <w:r>
                        <w:rPr>
                          <w:rFonts w:hint="eastAsia"/>
                          <w:color w:val="000000"/>
                          <w:sz w:val="24"/>
                          <w:szCs w:val="24"/>
                        </w:rPr>
                        <w:t>员</w:t>
                      </w:r>
                      <w:r>
                        <w:rPr>
                          <w:color w:val="000000"/>
                          <w:sz w:val="24"/>
                          <w:szCs w:val="24"/>
                        </w:rPr>
                        <w:t>会</w:t>
                      </w:r>
                    </w:p>
                    <w:p>
                      <w:pPr>
                        <w:jc w:val="center"/>
                        <w:rPr>
                          <w:color w:val="000000"/>
                        </w:rPr>
                      </w:pPr>
                      <w:r>
                        <w:rPr>
                          <w:rFonts w:hint="eastAsia"/>
                          <w:color w:val="000000"/>
                        </w:rPr>
                        <w:t>制</w:t>
                      </w:r>
                      <w:r>
                        <w:rPr>
                          <w:color w:val="000000"/>
                        </w:rPr>
                        <w:t>委员</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981710</wp:posOffset>
                </wp:positionH>
                <wp:positionV relativeFrom="paragraph">
                  <wp:posOffset>173990</wp:posOffset>
                </wp:positionV>
                <wp:extent cx="481330" cy="7620"/>
                <wp:effectExtent l="0" t="36830" r="13970" b="31750"/>
                <wp:wrapNone/>
                <wp:docPr id="25" name="直接箭头连接符 25"/>
                <wp:cNvGraphicFramePr/>
                <a:graphic xmlns:a="http://schemas.openxmlformats.org/drawingml/2006/main">
                  <a:graphicData uri="http://schemas.microsoft.com/office/word/2010/wordprocessingShape">
                    <wps:wsp>
                      <wps:cNvCnPr>
                        <a:endCxn id="32" idx="3"/>
                      </wps:cNvCnPr>
                      <wps:spPr>
                        <a:xfrm flipH="1" flipV="1">
                          <a:off x="0" y="0"/>
                          <a:ext cx="481330" cy="76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77.3pt;margin-top:13.7pt;height:0.6pt;width:37.9pt;z-index:251683840;mso-width-relative:page;mso-height-relative:page;" filled="f" stroked="t" coordsize="21600,21600" o:gfxdata="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fJz3LXAAAACQEAAA8AAAAAAAAAAQAgAAAAIgAA&#10;AGRycy9kb3ducmV2LnhtbFBLAQIUABQAAAAIAIdO4kCnf33OQgIAAGMEAAAOAAAAAAAAAAEAIAAA&#10;ACYBAABkcnMvZTJvRG9jLnhtbFBLBQYAAAAABgAGAFkBAADa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3169285</wp:posOffset>
                </wp:positionH>
                <wp:positionV relativeFrom="paragraph">
                  <wp:posOffset>328295</wp:posOffset>
                </wp:positionV>
                <wp:extent cx="3175" cy="199390"/>
                <wp:effectExtent l="36830" t="0" r="36195" b="10160"/>
                <wp:wrapNone/>
                <wp:docPr id="91" name="直接箭头连接符 91"/>
                <wp:cNvGraphicFramePr/>
                <a:graphic xmlns:a="http://schemas.openxmlformats.org/drawingml/2006/main">
                  <a:graphicData uri="http://schemas.microsoft.com/office/word/2010/wordprocessingShape">
                    <wps:wsp>
                      <wps:cNvCnPr/>
                      <wps:spPr>
                        <a:xfrm flipH="1">
                          <a:off x="0" y="0"/>
                          <a:ext cx="3175" cy="19939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249.55pt;margin-top:25.85pt;height:15.7pt;width:0.25pt;z-index:251675648;mso-width-relative:page;mso-height-relative:page;" filled="f" stroked="t" coordsize="21600,21600" o:gfxdata="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QB1F9gAAAAJAQAADwAAAAAAAAABACAAAAAiAAAAZHJzL2Rvd25yZXYueG1sUEsBAhQA&#10;FAAAAAgAh07iQD8PKowrAgAAMQQAAA4AAAAAAAAAAQAgAAAAJwEAAGRycy9lMm9Eb2MueG1sUEsF&#10;BgAAAAAGAAYAWQEAAMQ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1631950</wp:posOffset>
                </wp:positionH>
                <wp:positionV relativeFrom="paragraph">
                  <wp:posOffset>321310</wp:posOffset>
                </wp:positionV>
                <wp:extent cx="1533525" cy="5715"/>
                <wp:effectExtent l="0" t="0" r="0" b="0"/>
                <wp:wrapNone/>
                <wp:docPr id="59" name="直接连接符 59"/>
                <wp:cNvGraphicFramePr/>
                <a:graphic xmlns:a="http://schemas.openxmlformats.org/drawingml/2006/main">
                  <a:graphicData uri="http://schemas.microsoft.com/office/word/2010/wordprocessingShape">
                    <wps:wsp>
                      <wps:cNvCnPr/>
                      <wps:spPr>
                        <a:xfrm flipV="1">
                          <a:off x="0" y="0"/>
                          <a:ext cx="1533525" cy="571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8.5pt;margin-top:25.3pt;height:0.45pt;width:120.75pt;z-index:251674624;mso-width-relative:page;mso-height-relative:page;" filled="f" stroked="t" coordsize="21600,21600" o:gfxdata="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3ciTTYAAAACQEAAA8AAAAAAAAAAQAgAAAAIgAAAGRycy9kb3du&#10;cmV2LnhtbFBLAQIUABQAAAAIAIdO4kCjOyjz/wEAAPADAAAOAAAAAAAAAAEAIAAAACcBAABkcnMv&#10;ZTJvRG9jLnhtbFBLBQYAAAAABgAGAFkBAACYBQAAAAA=&#10;">
                <v:fill on="f" focussize="0,0"/>
                <v:stroke color="#000000" joinstyle="round"/>
                <v:imagedata o:title=""/>
                <o:lock v:ext="edit" aspectratio="f"/>
              </v:lin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963295</wp:posOffset>
                </wp:positionH>
                <wp:positionV relativeFrom="paragraph">
                  <wp:posOffset>245110</wp:posOffset>
                </wp:positionV>
                <wp:extent cx="504190" cy="1905"/>
                <wp:effectExtent l="0" t="36195" r="10160" b="38100"/>
                <wp:wrapNone/>
                <wp:docPr id="38" name="直接箭头连接符 38"/>
                <wp:cNvGraphicFramePr/>
                <a:graphic xmlns:a="http://schemas.openxmlformats.org/drawingml/2006/main">
                  <a:graphicData uri="http://schemas.microsoft.com/office/word/2010/wordprocessingShape">
                    <wps:wsp>
                      <wps:cNvCnPr/>
                      <wps:spPr>
                        <a:xfrm flipH="1">
                          <a:off x="0" y="0"/>
                          <a:ext cx="504190" cy="190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85pt;margin-top:19.3pt;height:0.15pt;width:39.7pt;z-index:251679744;mso-width-relative:page;mso-height-relative:page;" filled="f" stroked="t" coordsize="21600,21600" o:gfxdata="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vqFSF2AAAAAkBAAAPAAAAAAAAAAEAIAAAACIAAABkcnMvZG93bnJldi54bWxQSwECFAAU&#10;AAAACACHTuJA6LIv4yoCAAAxBAAADgAAAAAAAAABACAAAAAnAQAAZHJzL2Uyb0RvYy54bWxQSwUG&#10;AAAAAAYABgBZAQAAww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2039620</wp:posOffset>
                </wp:positionH>
                <wp:positionV relativeFrom="paragraph">
                  <wp:posOffset>168275</wp:posOffset>
                </wp:positionV>
                <wp:extent cx="2286000" cy="695960"/>
                <wp:effectExtent l="12700" t="12700" r="17780" b="22860"/>
                <wp:wrapNone/>
                <wp:docPr id="45" name="椭圆 45"/>
                <wp:cNvGraphicFramePr/>
                <a:graphic xmlns:a="http://schemas.openxmlformats.org/drawingml/2006/main">
                  <a:graphicData uri="http://schemas.microsoft.com/office/word/2010/wordprocessingShape">
                    <wps:wsp>
                      <wps:cNvSpPr/>
                      <wps:spPr>
                        <a:xfrm>
                          <a:off x="0" y="0"/>
                          <a:ext cx="2171700" cy="685800"/>
                        </a:xfrm>
                        <a:prstGeom prst="ellipse">
                          <a:avLst/>
                        </a:prstGeom>
                        <a:solidFill>
                          <a:srgbClr val="FFFFFF"/>
                        </a:solidFill>
                        <a:ln w="25400" cap="flat" cmpd="sng" algn="ctr">
                          <a:solidFill>
                            <a:srgbClr val="000000"/>
                          </a:solidFill>
                          <a:prstDash val="solid"/>
                        </a:ln>
                        <a:effectLst/>
                      </wps:spPr>
                      <wps:txbx>
                        <w:txbxContent>
                          <w:p>
                            <w:pPr>
                              <w:jc w:val="center"/>
                              <w:rPr>
                                <w:rFonts w:hint="eastAsia" w:ascii="黑体" w:hAnsi="黑体" w:eastAsia="黑体"/>
                                <w:b/>
                                <w:sz w:val="36"/>
                                <w:szCs w:val="36"/>
                                <w:lang w:eastAsia="zh-CN"/>
                              </w:rPr>
                            </w:pPr>
                            <w:r>
                              <w:rPr>
                                <w:rFonts w:hint="eastAsia" w:ascii="黑体" w:hAnsi="黑体" w:eastAsia="黑体"/>
                                <w:b/>
                                <w:sz w:val="36"/>
                                <w:szCs w:val="36"/>
                                <w:lang w:eastAsia="zh-CN"/>
                              </w:rPr>
                              <w:t>高级管理层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6pt;margin-top:13.25pt;height:54.8pt;width:180pt;z-index:251692032;v-text-anchor:middle;mso-width-relative:page;mso-height-relative:page;" fillcolor="#FFFFFF" filled="t" stroked="t" coordsize="21600,21600" o:gfxdata="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ggzctcAAAAKAQAADwAAAAAAAAABACAAAAAiAAAAZHJzL2Rvd25y&#10;ZXYueG1sUEsBAhQAFAAAAAgAh07iQN115G9xAgAA+wQAAA4AAAAAAAAAAQAgAAAAJgEAAGRycy9l&#10;Mm9Eb2MueG1sUEsFBgAAAAAGAAYAWQEAAAkGAAAAAA==&#10;">
                <v:fill on="t" focussize="0,0"/>
                <v:stroke weight="2pt" color="#000000" joinstyle="round"/>
                <v:imagedata o:title=""/>
                <o:lock v:ext="edit" aspectratio="f"/>
                <v:textbox>
                  <w:txbxContent>
                    <w:p>
                      <w:pPr>
                        <w:jc w:val="center"/>
                        <w:rPr>
                          <w:rFonts w:hint="eastAsia" w:ascii="黑体" w:hAnsi="黑体" w:eastAsia="黑体"/>
                          <w:b/>
                          <w:sz w:val="36"/>
                          <w:szCs w:val="36"/>
                          <w:lang w:eastAsia="zh-CN"/>
                        </w:rPr>
                      </w:pPr>
                      <w:r>
                        <w:rPr>
                          <w:rFonts w:hint="eastAsia" w:ascii="黑体" w:hAnsi="黑体" w:eastAsia="黑体"/>
                          <w:b/>
                          <w:sz w:val="36"/>
                          <w:szCs w:val="36"/>
                          <w:lang w:eastAsia="zh-CN"/>
                        </w:rPr>
                        <w:t>高级管理层</w:t>
                      </w:r>
                    </w:p>
                  </w:txbxContent>
                </v:textbox>
              </v:shape>
            </w:pict>
          </mc:Fallback>
        </mc:AlternateContent>
      </w:r>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-736600</wp:posOffset>
                </wp:positionH>
                <wp:positionV relativeFrom="paragraph">
                  <wp:posOffset>58420</wp:posOffset>
                </wp:positionV>
                <wp:extent cx="1696085" cy="361950"/>
                <wp:effectExtent l="12700" t="12700" r="24765" b="25400"/>
                <wp:wrapNone/>
                <wp:docPr id="43" name="圆角矩形 43"/>
                <wp:cNvGraphicFramePr/>
                <a:graphic xmlns:a="http://schemas.openxmlformats.org/drawingml/2006/main">
                  <a:graphicData uri="http://schemas.microsoft.com/office/word/2010/wordprocessingShape">
                    <wps:wsp>
                      <wps:cNvSpPr/>
                      <wps:spPr>
                        <a:xfrm>
                          <a:off x="0" y="0"/>
                          <a:ext cx="1696085" cy="361950"/>
                        </a:xfrm>
                        <a:prstGeom prst="roundRect">
                          <a:avLst/>
                        </a:prstGeom>
                        <a:solidFill>
                          <a:srgbClr val="FFFFFF"/>
                        </a:solidFill>
                        <a:ln w="2540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color w:val="000000"/>
                              </w:rPr>
                            </w:pPr>
                            <w:r>
                              <w:rPr>
                                <w:rFonts w:hint="eastAsia"/>
                                <w:color w:val="000000"/>
                                <w:sz w:val="24"/>
                                <w:szCs w:val="24"/>
                              </w:rPr>
                              <w:t>三农金融服务委员会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pt;margin-top:4.6pt;height:28.5pt;width:133.55pt;z-index:251680768;v-text-anchor:middle;mso-width-relative:page;mso-height-relative:page;" fillcolor="#FFFFFF" filled="t" stroked="t" coordsize="21600,21600" arcsize="0.166666666666667" o:gfxdata="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NPiOtgAAAAJAQAADwAAAAAA&#10;AAABACAAAAAiAAAAZHJzL2Rvd25yZXYueG1sUEsBAhQAFAAAAAgAh07iQHf7rkaFAgAAAwUAAA4A&#10;AAAAAAAAAQAgAAAAJwEAAGRycy9lMm9Eb2MueG1sUEsFBgAAAAAGAAYAWQEAAB4GAAAAAA==&#10;">
                <v:fill on="t" focussize="0,0"/>
                <v:stroke weight="2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color w:val="000000"/>
                        </w:rPr>
                      </w:pPr>
                      <w:r>
                        <w:rPr>
                          <w:rFonts w:hint="eastAsia"/>
                          <w:color w:val="000000"/>
                          <w:sz w:val="24"/>
                          <w:szCs w:val="24"/>
                        </w:rPr>
                        <w:t>三农金融服务委员会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-732790</wp:posOffset>
                </wp:positionH>
                <wp:positionV relativeFrom="paragraph">
                  <wp:posOffset>125730</wp:posOffset>
                </wp:positionV>
                <wp:extent cx="1672590" cy="519430"/>
                <wp:effectExtent l="12700" t="12700" r="29210" b="20320"/>
                <wp:wrapNone/>
                <wp:docPr id="11" name="圆角矩形 11"/>
                <wp:cNvGraphicFramePr/>
                <a:graphic xmlns:a="http://schemas.openxmlformats.org/drawingml/2006/main">
                  <a:graphicData uri="http://schemas.microsoft.com/office/word/2010/wordprocessingShape">
                    <wps:wsp>
                      <wps:cNvSpPr/>
                      <wps:spPr>
                        <a:xfrm>
                          <a:off x="0" y="0"/>
                          <a:ext cx="1672590" cy="519430"/>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rPr>
                              <w:t>消费者权益保护</w:t>
                            </w:r>
                          </w:p>
                          <w:p>
                            <w:pPr>
                              <w:jc w:val="center"/>
                              <w:rPr>
                                <w:rFonts w:hint="eastAsia"/>
                                <w:color w:val="000000"/>
                                <w:sz w:val="24"/>
                                <w:szCs w:val="24"/>
                              </w:rPr>
                            </w:pPr>
                            <w:r>
                              <w:rPr>
                                <w:rFonts w:hint="eastAsia"/>
                                <w:color w:val="000000"/>
                                <w:sz w:val="24"/>
                                <w:szCs w:val="24"/>
                              </w:rPr>
                              <w:t>工作委员会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9.9pt;height:40.9pt;width:131.7pt;z-index:251681792;v-text-anchor:middle;mso-width-relative:page;mso-height-relative:page;" fillcolor="#FFFFFF" filled="t" stroked="t" coordsize="21600,21600" arcsize="0.166666666666667" o:gfxdata="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Je5stcAAAALAQAADwAAAAAAAAAB&#10;ACAAAAAiAAAAZHJzL2Rvd25yZXYueG1sUEsBAhQAFAAAAAgAh07iQCeY0RqDAgAAAwUAAA4AAAAA&#10;AAAAAQAgAAAAJgEAAGRycy9lMm9Eb2MueG1sUEsFBgAAAAAGAAYAWQEAABsGA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rPr>
                        <w:t>消费者权益保护</w:t>
                      </w:r>
                    </w:p>
                    <w:p>
                      <w:pPr>
                        <w:jc w:val="center"/>
                        <w:rPr>
                          <w:rFonts w:hint="eastAsia"/>
                          <w:color w:val="000000"/>
                          <w:sz w:val="24"/>
                          <w:szCs w:val="24"/>
                        </w:rPr>
                      </w:pPr>
                      <w:r>
                        <w:rPr>
                          <w:rFonts w:hint="eastAsia"/>
                          <w:color w:val="000000"/>
                          <w:sz w:val="24"/>
                          <w:szCs w:val="24"/>
                        </w:rPr>
                        <w:t>工作委员会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939800</wp:posOffset>
                </wp:positionH>
                <wp:positionV relativeFrom="paragraph">
                  <wp:posOffset>29210</wp:posOffset>
                </wp:positionV>
                <wp:extent cx="520065" cy="635"/>
                <wp:effectExtent l="0" t="37465" r="13335" b="38100"/>
                <wp:wrapNone/>
                <wp:docPr id="34" name="直接箭头连接符 34"/>
                <wp:cNvGraphicFramePr/>
                <a:graphic xmlns:a="http://schemas.openxmlformats.org/drawingml/2006/main">
                  <a:graphicData uri="http://schemas.microsoft.com/office/word/2010/wordprocessingShape">
                    <wps:wsp>
                      <wps:cNvCnPr>
                        <a:endCxn id="11" idx="3"/>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4pt;margin-top:2.3pt;height:0.05pt;width:40.95pt;z-index:251682816;mso-width-relative:page;mso-height-relative:page;" filled="f" stroked="t" coordsize="21600,21600" o:gfxdata="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VUI1TWAAAABwEAAA8AAAAAAAAAAQAgAAAAIgAAAGRycy9kb3du&#10;cmV2LnhtbFBLAQIUABQAAAAIAIdO4kCfqz8HOgIAAFgEAAAOAAAAAAAAAAEAIAAAACUBAABkcnMv&#10;ZTJvRG9jLnhtbFBLBQYAAAAABgAGAFkBAADR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-732155</wp:posOffset>
                </wp:positionH>
                <wp:positionV relativeFrom="paragraph">
                  <wp:posOffset>330835</wp:posOffset>
                </wp:positionV>
                <wp:extent cx="1685925" cy="328930"/>
                <wp:effectExtent l="12700" t="12700" r="15875" b="20320"/>
                <wp:wrapNone/>
                <wp:docPr id="39" name="圆角矩形 39"/>
                <wp:cNvGraphicFramePr/>
                <a:graphic xmlns:a="http://schemas.openxmlformats.org/drawingml/2006/main">
                  <a:graphicData uri="http://schemas.microsoft.com/office/word/2010/wordprocessingShape">
                    <wps:wsp>
                      <wps:cNvSpPr/>
                      <wps:spPr>
                        <a:xfrm>
                          <a:off x="0" y="0"/>
                          <a:ext cx="1685925" cy="328930"/>
                        </a:xfrm>
                        <a:prstGeom prst="roundRect">
                          <a:avLst/>
                        </a:prstGeom>
                        <a:solidFill>
                          <a:srgbClr val="FFFFFF"/>
                        </a:solidFill>
                        <a:ln w="25400" cap="flat" cmpd="sng" algn="ctr">
                          <a:solidFill>
                            <a:srgbClr val="000000"/>
                          </a:solidFill>
                          <a:prstDash val="solid"/>
                        </a:ln>
                        <a:effectLst/>
                      </wps:spPr>
                      <wps:txbx>
                        <w:txbxContent>
                          <w:p>
                            <w:pPr>
                              <w:jc w:val="center"/>
                              <w:rPr>
                                <w:color w:val="000000"/>
                                <w:sz w:val="24"/>
                                <w:szCs w:val="24"/>
                              </w:rPr>
                            </w:pPr>
                            <w:r>
                              <w:rPr>
                                <w:rFonts w:hint="eastAsia"/>
                                <w:color w:val="000000"/>
                                <w:sz w:val="24"/>
                                <w:szCs w:val="24"/>
                              </w:rPr>
                              <w:t>反洗钱工作委员会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65pt;margin-top:26.05pt;height:25.9pt;width:132.75pt;z-index:251686912;v-text-anchor:middle;mso-width-relative:page;mso-height-relative:page;" fillcolor="#FFFFFF" filled="t" stroked="t" coordsize="21600,21600" arcsize="0.166666666666667" o:gfxdata="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UWtTHZAAAACwEAAA8AAAAA&#10;AAAAAQAgAAAAIgAAAGRycy9kb3ducmV2LnhtbFBLAQIUABQAAAAIAIdO4kAHhj1AhQIAAAMFAAAO&#10;AAAAAAAAAAEAIAAAACgBAABkcnMvZTJvRG9jLnhtbFBLBQYAAAAABgAGAFkBAAAfBgAAAAA=&#10;">
                <v:fill on="t" focussize="0,0"/>
                <v:stroke weight="2pt" color="#000000" joinstyle="round"/>
                <v:imagedata o:title=""/>
                <o:lock v:ext="edit" aspectratio="f"/>
                <v:textbox>
                  <w:txbxContent>
                    <w:p>
                      <w:pPr>
                        <w:jc w:val="center"/>
                        <w:rPr>
                          <w:color w:val="000000"/>
                          <w:sz w:val="24"/>
                          <w:szCs w:val="24"/>
                        </w:rPr>
                      </w:pPr>
                      <w:r>
                        <w:rPr>
                          <w:rFonts w:hint="eastAsia"/>
                          <w:color w:val="000000"/>
                          <w:sz w:val="24"/>
                          <w:szCs w:val="24"/>
                        </w:rPr>
                        <w:t>反洗钱工作委员会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953135</wp:posOffset>
                </wp:positionH>
                <wp:positionV relativeFrom="paragraph">
                  <wp:posOffset>118745</wp:posOffset>
                </wp:positionV>
                <wp:extent cx="520065" cy="635"/>
                <wp:effectExtent l="0" t="37465" r="13335" b="38100"/>
                <wp:wrapNone/>
                <wp:docPr id="122" name="直接箭头连接符 122"/>
                <wp:cNvGraphicFramePr/>
                <a:graphic xmlns:a="http://schemas.openxmlformats.org/drawingml/2006/main">
                  <a:graphicData uri="http://schemas.microsoft.com/office/word/2010/wordprocessingShape">
                    <wps:wsp>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05pt;margin-top:9.35pt;height:0.05pt;width:40.95pt;z-index:251763712;mso-width-relative:page;mso-height-relative:page;" filled="f" stroked="t" coordsize="21600,21600" o:gfxdata="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KVW0NcAAAAJAQAADwAAAAAAAAABACAAAAAiAAAAZHJzL2Rvd25yZXYueG1sUEsBAhQAFAAA&#10;AAgAh07iQMrw3ccpAgAAMgQAAA4AAAAAAAAAAQAgAAAAJgEAAGRycy9lMm9Eb2MueG1sUEsFBgAA&#10;AAAGAAYAWQEAAMEFA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963930</wp:posOffset>
                </wp:positionH>
                <wp:positionV relativeFrom="paragraph">
                  <wp:posOffset>180975</wp:posOffset>
                </wp:positionV>
                <wp:extent cx="520065" cy="635"/>
                <wp:effectExtent l="0" t="37465" r="13335" b="38100"/>
                <wp:wrapNone/>
                <wp:docPr id="123" name="直接箭头连接符 123"/>
                <wp:cNvGraphicFramePr/>
                <a:graphic xmlns:a="http://schemas.openxmlformats.org/drawingml/2006/main">
                  <a:graphicData uri="http://schemas.microsoft.com/office/word/2010/wordprocessingShape">
                    <wps:wsp>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9pt;margin-top:14.25pt;height:0.05pt;width:40.95pt;z-index:251764736;mso-width-relative:page;mso-height-relative:page;" filled="f" stroked="t" coordsize="21600,21600" o:gfxdata="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Hwo1PYAAAACQEAAA8AAAAAAAAAAQAgAAAAIgAAAGRycy9kb3ducmV2LnhtbFBLAQIUABQA&#10;AAAIAIdO4kAw09Z4KQIAADIEAAAOAAAAAAAAAAEAIAAAACcBAABkcnMvZTJvRG9jLnhtbFBLBQYA&#10;AAAABgAGAFkBAADC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-723900</wp:posOffset>
                </wp:positionH>
                <wp:positionV relativeFrom="paragraph">
                  <wp:posOffset>1905</wp:posOffset>
                </wp:positionV>
                <wp:extent cx="1680210" cy="369570"/>
                <wp:effectExtent l="12700" t="12700" r="21590" b="17780"/>
                <wp:wrapNone/>
                <wp:docPr id="48" name="圆角矩形 48"/>
                <wp:cNvGraphicFramePr/>
                <a:graphic xmlns:a="http://schemas.openxmlformats.org/drawingml/2006/main">
                  <a:graphicData uri="http://schemas.microsoft.com/office/word/2010/wordprocessingShape">
                    <wps:wsp>
                      <wps:cNvSpPr/>
                      <wps:spPr>
                        <a:xfrm>
                          <a:off x="0" y="0"/>
                          <a:ext cx="1680210" cy="369570"/>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信息科技管理委员会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pt;margin-top:0.15pt;height:29.1pt;width:132.3pt;z-index:251687936;v-text-anchor:middle;mso-width-relative:page;mso-height-relative:page;" fillcolor="#FFFFFF" filled="t" stroked="t" coordsize="21600,21600" arcsize="0.166666666666667" o:gfxdata="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VCQV9cAAAAIAQAADwAAAAAAAAAB&#10;ACAAAAAiAAAAZHJzL2Rvd25yZXYueG1sUEsBAhQAFAAAAAgAh07iQK8gv46DAgAAAwUAAA4AAAAA&#10;AAAAAQAgAAAAJgEAAGRycy9lMm9Eb2MueG1sUEsFBgAAAAAGAAYAWQEAABsGA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信息科技管理委员会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color w:val="auto"/>
          <w:highlight w:val="none"/>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953135</wp:posOffset>
                </wp:positionH>
                <wp:positionV relativeFrom="paragraph">
                  <wp:posOffset>268605</wp:posOffset>
                </wp:positionV>
                <wp:extent cx="520065" cy="635"/>
                <wp:effectExtent l="0" t="37465" r="13335" b="38100"/>
                <wp:wrapNone/>
                <wp:docPr id="124" name="直接箭头连接符 124"/>
                <wp:cNvGraphicFramePr/>
                <a:graphic xmlns:a="http://schemas.openxmlformats.org/drawingml/2006/main">
                  <a:graphicData uri="http://schemas.microsoft.com/office/word/2010/wordprocessingShape">
                    <wps:wsp>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05pt;margin-top:21.15pt;height:0.05pt;width:40.95pt;z-index:251765760;mso-width-relative:page;mso-height-relative:page;" filled="f" stroked="t" coordsize="21600,21600" o:gfxdata="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0/2AtcAAAAJAQAADwAAAAAAAAABACAAAAAiAAAAZHJzL2Rvd25yZXYueG1sUEsBAhQAFAAA&#10;AAgAh07iQFQ0BfMpAgAAMgQAAA4AAAAAAAAAAQAgAAAAJgEAAGRycy9lMm9Eb2MueG1sUEsFBgAA&#10;AAAGAAYAWQEAAME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-720725</wp:posOffset>
                </wp:positionH>
                <wp:positionV relativeFrom="paragraph">
                  <wp:posOffset>80010</wp:posOffset>
                </wp:positionV>
                <wp:extent cx="1658620" cy="373380"/>
                <wp:effectExtent l="12700" t="12700" r="24130" b="13970"/>
                <wp:wrapNone/>
                <wp:docPr id="27" name="圆角矩形 27"/>
                <wp:cNvGraphicFramePr/>
                <a:graphic xmlns:a="http://schemas.openxmlformats.org/drawingml/2006/main">
                  <a:graphicData uri="http://schemas.microsoft.com/office/word/2010/wordprocessingShape">
                    <wps:wsp>
                      <wps:cNvSpPr/>
                      <wps:spPr>
                        <a:xfrm>
                          <a:off x="0" y="0"/>
                          <a:ext cx="1658620" cy="373380"/>
                        </a:xfrm>
                        <a:prstGeom prst="round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rPr>
                            </w:pPr>
                            <w:r>
                              <w:rPr>
                                <w:rFonts w:hint="eastAsia"/>
                                <w:color w:val="000000"/>
                                <w:sz w:val="24"/>
                                <w:szCs w:val="24"/>
                                <w:lang w:eastAsia="zh-CN"/>
                              </w:rPr>
                              <w:t>内部控制评价</w:t>
                            </w:r>
                            <w:r>
                              <w:rPr>
                                <w:rFonts w:hint="eastAsia"/>
                                <w:color w:val="000000"/>
                                <w:sz w:val="24"/>
                                <w:szCs w:val="24"/>
                              </w:rPr>
                              <w:t>委员会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75pt;margin-top:6.3pt;height:29.4pt;width:130.6pt;z-index:251694080;v-text-anchor:middle;mso-width-relative:page;mso-height-relative:page;" fillcolor="#FFFFFF" filled="t" stroked="t" coordsize="21600,21600" arcsize="0.166666666666667" o:gfxdata="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jK7/7YAAAACgEAAA8AAAAAAAAA&#10;AQAgAAAAIgAAAGRycy9kb3ducmV2LnhtbFBLAQIUABQAAAAIAIdO4kBSQifcgwIAAAMFAAAOAAAA&#10;AAAAAAEAIAAAACcBAABkcnMvZTJvRG9jLnhtbFBLBQYAAAAABgAGAFkBAAAcBgAAAAA=&#10;">
                <v:fill on="t" focussize="0,0"/>
                <v:stroke weight="2pt" color="#000000" joinstyle="round"/>
                <v:imagedata o:title=""/>
                <o:lock v:ext="edit" aspectratio="f"/>
                <v:textbox>
                  <w:txbxContent>
                    <w:p>
                      <w:pPr>
                        <w:jc w:val="center"/>
                        <w:rPr>
                          <w:rFonts w:hint="eastAsia"/>
                          <w:color w:val="000000"/>
                          <w:sz w:val="24"/>
                          <w:szCs w:val="24"/>
                        </w:rPr>
                      </w:pPr>
                      <w:r>
                        <w:rPr>
                          <w:rFonts w:hint="eastAsia"/>
                          <w:color w:val="000000"/>
                          <w:sz w:val="24"/>
                          <w:szCs w:val="24"/>
                          <w:lang w:eastAsia="zh-CN"/>
                        </w:rPr>
                        <w:t>内部控制评价</w:t>
                      </w:r>
                      <w:r>
                        <w:rPr>
                          <w:rFonts w:hint="eastAsia"/>
                          <w:color w:val="000000"/>
                          <w:sz w:val="24"/>
                          <w:szCs w:val="24"/>
                        </w:rPr>
                        <w:t>委员会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color w:val="auto"/>
          <w:highlight w:val="none"/>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960755</wp:posOffset>
                </wp:positionH>
                <wp:positionV relativeFrom="paragraph">
                  <wp:posOffset>337820</wp:posOffset>
                </wp:positionV>
                <wp:extent cx="520065" cy="635"/>
                <wp:effectExtent l="0" t="37465" r="13335" b="38100"/>
                <wp:wrapNone/>
                <wp:docPr id="125" name="直接箭头连接符 125"/>
                <wp:cNvGraphicFramePr/>
                <a:graphic xmlns:a="http://schemas.openxmlformats.org/drawingml/2006/main">
                  <a:graphicData uri="http://schemas.microsoft.com/office/word/2010/wordprocessingShape">
                    <wps:wsp>
                      <wps:cNvCnPr/>
                      <wps:spPr>
                        <a:xfrm flipH="1">
                          <a:off x="0" y="0"/>
                          <a:ext cx="52006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75.65pt;margin-top:26.6pt;height:0.05pt;width:40.95pt;z-index:251766784;mso-width-relative:page;mso-height-relative:page;" filled="f" stroked="t" coordsize="21600,21600" o:gfxdata="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T0RYB1wAAAAkBAAAPAAAAAAAAAAEAIAAAACIAAABkcnMvZG93bnJldi54bWxQSwECFAAUAAAA&#10;CACHTuJArhcOTCgCAAAyBAAADgAAAAAAAAABACAAAAAmAQAAZHJzL2Uyb0RvYy54bWxQSwUGAAAA&#10;AAYABgBZAQAAwA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-720725</wp:posOffset>
                </wp:positionH>
                <wp:positionV relativeFrom="paragraph">
                  <wp:posOffset>150495</wp:posOffset>
                </wp:positionV>
                <wp:extent cx="1680845" cy="383540"/>
                <wp:effectExtent l="12700" t="12700" r="20955" b="22860"/>
                <wp:wrapNone/>
                <wp:docPr id="14" name="圆角矩形 14"/>
                <wp:cNvGraphicFramePr/>
                <a:graphic xmlns:a="http://schemas.openxmlformats.org/drawingml/2006/main">
                  <a:graphicData uri="http://schemas.microsoft.com/office/word/2010/wordprocessingShape">
                    <wps:wsp>
                      <wps:cNvSpPr/>
                      <wps:spPr>
                        <a:xfrm>
                          <a:off x="0" y="0"/>
                          <a:ext cx="1680845" cy="383540"/>
                        </a:xfrm>
                        <a:prstGeom prst="roundRect">
                          <a:avLst/>
                        </a:prstGeom>
                        <a:solidFill>
                          <a:srgbClr val="FFFFFF"/>
                        </a:solidFill>
                        <a:ln w="25400" cap="flat" cmpd="sng" algn="ctr">
                          <a:solidFill>
                            <a:srgbClr val="000000"/>
                          </a:solidFill>
                          <a:prstDash val="solid"/>
                        </a:ln>
                        <a:effectLst/>
                      </wps:spPr>
                      <wps:txbx>
                        <w:txbxContent>
                          <w:p>
                            <w:pPr>
                              <w:jc w:val="center"/>
                              <w:rPr>
                                <w:color w:val="000000"/>
                                <w:sz w:val="24"/>
                                <w:szCs w:val="24"/>
                                <w:highlight w:val="none"/>
                              </w:rPr>
                            </w:pPr>
                            <w:r>
                              <w:rPr>
                                <w:rFonts w:hint="eastAsia"/>
                                <w:color w:val="000000"/>
                                <w:sz w:val="24"/>
                                <w:szCs w:val="24"/>
                                <w:lang w:eastAsia="zh-CN"/>
                              </w:rPr>
                              <w:t>绿色信贷</w:t>
                            </w:r>
                            <w:r>
                              <w:rPr>
                                <w:rFonts w:hint="eastAsia"/>
                                <w:color w:val="000000"/>
                                <w:sz w:val="24"/>
                                <w:szCs w:val="24"/>
                                <w:highlight w:val="none"/>
                                <w:lang w:eastAsia="zh-CN"/>
                              </w:rPr>
                              <w:t>委员</w:t>
                            </w:r>
                            <w:r>
                              <w:rPr>
                                <w:rFonts w:hint="eastAsia"/>
                                <w:color w:val="000000"/>
                                <w:sz w:val="24"/>
                                <w:szCs w:val="24"/>
                                <w:highlight w:val="none"/>
                              </w:rPr>
                              <w:t>会</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75pt;margin-top:11.85pt;height:30.2pt;width:132.35pt;z-index:251695104;v-text-anchor:middle;mso-width-relative:page;mso-height-relative:page;" fillcolor="#FFFFFF" filled="t" stroked="t" coordsize="21600,21600" arcsize="0.166666666666667" o:gfxdata="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HzkltkAAAAKAQAADwAAAAAA&#10;AAABACAAAAAiAAAAZHJzL2Rvd25yZXYueG1sUEsBAhQAFAAAAAgAh07iQKJmlayEAgAAAwUAAA4A&#10;AAAAAAAAAQAgAAAAKAEAAGRycy9lMm9Eb2MueG1sUEsFBgAAAAAGAAYAWQEAAB4GAAAAAA==&#10;">
                <v:fill on="t" focussize="0,0"/>
                <v:stroke weight="2pt" color="#000000" joinstyle="round"/>
                <v:imagedata o:title=""/>
                <o:lock v:ext="edit" aspectratio="f"/>
                <v:textbox>
                  <w:txbxContent>
                    <w:p>
                      <w:pPr>
                        <w:jc w:val="center"/>
                        <w:rPr>
                          <w:color w:val="000000"/>
                          <w:sz w:val="24"/>
                          <w:szCs w:val="24"/>
                          <w:highlight w:val="none"/>
                        </w:rPr>
                      </w:pPr>
                      <w:r>
                        <w:rPr>
                          <w:rFonts w:hint="eastAsia"/>
                          <w:color w:val="000000"/>
                          <w:sz w:val="24"/>
                          <w:szCs w:val="24"/>
                          <w:lang w:eastAsia="zh-CN"/>
                        </w:rPr>
                        <w:t>绿色信贷</w:t>
                      </w:r>
                      <w:r>
                        <w:rPr>
                          <w:rFonts w:hint="eastAsia"/>
                          <w:color w:val="000000"/>
                          <w:sz w:val="24"/>
                          <w:szCs w:val="24"/>
                          <w:highlight w:val="none"/>
                          <w:lang w:eastAsia="zh-CN"/>
                        </w:rPr>
                        <w:t>委员</w:t>
                      </w:r>
                      <w:r>
                        <w:rPr>
                          <w:rFonts w:hint="eastAsia"/>
                          <w:color w:val="000000"/>
                          <w:sz w:val="24"/>
                          <w:szCs w:val="24"/>
                          <w:highlight w:val="none"/>
                        </w:rPr>
                        <w:t>会</w:t>
                      </w:r>
                    </w:p>
                    <w:p>
                      <w:pPr>
                        <w:jc w:val="center"/>
                        <w:rPr>
                          <w:color w:val="000000"/>
                        </w:rPr>
                      </w:pPr>
                    </w:p>
                  </w:txbxContent>
                </v:textbox>
              </v:roundrect>
            </w:pict>
          </mc:Fallback>
        </mc:AlternateContent>
      </w:r>
    </w:p>
    <w:p>
      <w:pPr>
        <w:keepNext w:val="0"/>
        <w:keepLines w:val="0"/>
        <w:pageBreakBefore w:val="0"/>
        <w:kinsoku/>
        <w:wordWrap/>
        <w:topLinePunct w:val="0"/>
        <w:bidi w:val="0"/>
        <w:spacing w:line="560" w:lineRule="exact"/>
        <w:rPr>
          <w:color w:val="auto"/>
          <w:kern w:val="2"/>
          <w:sz w:val="21"/>
          <w:szCs w:val="24"/>
          <w:highlight w:val="none"/>
          <w:lang w:val="en-US" w:eastAsia="zh-CN" w:bidi="ar-SA"/>
        </w:rPr>
      </w:pPr>
    </w:p>
    <w:p>
      <w:pPr>
        <w:keepNext w:val="0"/>
        <w:keepLines w:val="0"/>
        <w:pageBreakBefore w:val="0"/>
        <w:kinsoku/>
        <w:wordWrap/>
        <w:topLinePunct w:val="0"/>
        <w:bidi w:val="0"/>
        <w:spacing w:line="560" w:lineRule="exact"/>
        <w:ind w:firstLine="530" w:firstLineChars="0"/>
        <w:jc w:val="left"/>
        <w:rPr>
          <w:color w:val="auto"/>
          <w:highlight w:val="none"/>
          <w:lang w:val="en-US" w:eastAsia="zh-CN"/>
        </w:rPr>
      </w:pPr>
    </w:p>
    <w:p>
      <w:pPr>
        <w:keepNext w:val="0"/>
        <w:keepLines w:val="0"/>
        <w:pageBreakBefore w:val="0"/>
        <w:kinsoku/>
        <w:wordWrap/>
        <w:topLinePunct w:val="0"/>
        <w:bidi w:val="0"/>
        <w:spacing w:line="560" w:lineRule="exact"/>
        <w:ind w:firstLine="530" w:firstLineChars="0"/>
        <w:jc w:val="left"/>
        <w:rPr>
          <w:color w:val="auto"/>
          <w:highlight w:val="none"/>
          <w:lang w:val="en-US" w:eastAsia="zh-CN"/>
        </w:rPr>
      </w:pPr>
    </w:p>
    <w:p>
      <w:pPr>
        <w:pStyle w:val="11"/>
        <w:keepNext w:val="0"/>
        <w:keepLines w:val="0"/>
        <w:pageBreakBefore w:val="0"/>
        <w:kinsoku/>
        <w:wordWrap/>
        <w:topLinePunct w:val="0"/>
        <w:bidi w:val="0"/>
        <w:spacing w:line="560" w:lineRule="exact"/>
        <w:ind w:left="0" w:leftChars="0" w:firstLine="0" w:firstLineChars="0"/>
        <w:rPr>
          <w:color w:val="auto"/>
          <w:highlight w:val="none"/>
        </w:rPr>
      </w:pPr>
    </w:p>
    <w:p>
      <w:pPr>
        <w:pStyle w:val="8"/>
        <w:keepNext w:val="0"/>
        <w:keepLines w:val="0"/>
        <w:pageBreakBefore w:val="0"/>
        <w:kinsoku/>
        <w:wordWrap/>
        <w:topLinePunct w:val="0"/>
        <w:bidi w:val="0"/>
        <w:spacing w:line="560" w:lineRule="exact"/>
        <w:rPr>
          <w:rFonts w:hint="eastAsia"/>
          <w:color w:val="auto"/>
          <w:highlight w:val="none"/>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margin">
                  <wp:posOffset>1248410</wp:posOffset>
                </wp:positionH>
                <wp:positionV relativeFrom="paragraph">
                  <wp:posOffset>-27940</wp:posOffset>
                </wp:positionV>
                <wp:extent cx="2552700" cy="685800"/>
                <wp:effectExtent l="12700" t="12700" r="25400" b="17780"/>
                <wp:wrapNone/>
                <wp:docPr id="41" name="椭圆 41"/>
                <wp:cNvGraphicFramePr/>
                <a:graphic xmlns:a="http://schemas.openxmlformats.org/drawingml/2006/main">
                  <a:graphicData uri="http://schemas.microsoft.com/office/word/2010/wordprocessingShape">
                    <wps:wsp>
                      <wps:cNvSpPr/>
                      <wps:spPr>
                        <a:xfrm>
                          <a:off x="0" y="0"/>
                          <a:ext cx="2552700" cy="685800"/>
                        </a:xfrm>
                        <a:prstGeom prst="ellipse">
                          <a:avLst/>
                        </a:prstGeom>
                        <a:solidFill>
                          <a:srgbClr val="FFFFFF"/>
                        </a:solidFill>
                        <a:ln w="25400" cap="flat" cmpd="sng">
                          <a:solidFill>
                            <a:srgbClr val="000000"/>
                          </a:solidFill>
                          <a:prstDash val="solid"/>
                          <a:round/>
                          <a:headEnd type="none" w="med" len="med"/>
                          <a:tailEnd type="none" w="med" len="med"/>
                        </a:ln>
                        <a:effectLst/>
                      </wps:spPr>
                      <wps:txbx>
                        <w:txbxContent>
                          <w:p>
                            <w:pPr>
                              <w:jc w:val="center"/>
                              <w:rPr>
                                <w:rFonts w:hint="eastAsia" w:ascii="黑体" w:hAnsi="黑体" w:eastAsia="黑体"/>
                                <w:b/>
                                <w:color w:val="000000"/>
                                <w:sz w:val="44"/>
                                <w:szCs w:val="44"/>
                                <w:lang w:eastAsia="zh-CN"/>
                              </w:rPr>
                            </w:pPr>
                            <w:r>
                              <w:rPr>
                                <w:rFonts w:hint="eastAsia" w:ascii="黑体" w:hAnsi="黑体" w:eastAsia="黑体"/>
                                <w:b/>
                                <w:color w:val="000000"/>
                                <w:sz w:val="44"/>
                                <w:szCs w:val="44"/>
                                <w:lang w:eastAsia="zh-CN"/>
                              </w:rPr>
                              <w:t>高级管理层</w:t>
                            </w:r>
                          </w:p>
                        </w:txbxContent>
                      </wps:txbx>
                      <wps:bodyPr anchor="ctr" anchorCtr="0" upright="1"/>
                    </wps:wsp>
                  </a:graphicData>
                </a:graphic>
              </wp:anchor>
            </w:drawing>
          </mc:Choice>
          <mc:Fallback>
            <w:pict>
              <v:shape id="_x0000_s1026" o:spid="_x0000_s1026" o:spt="3" type="#_x0000_t3" style="position:absolute;left:0pt;margin-left:98.3pt;margin-top:-2.2pt;height:54pt;width:201pt;mso-position-horizontal-relative:margin;z-index:251693056;v-text-anchor:middle;mso-width-relative:page;mso-height-relative:page;" fillcolor="#FFFFFF" filled="t" stroked="t" coordsize="21600,21600" o:gfxdata="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Oequ2AAAAAoBAAAPAAAA&#10;AAAAAAEAIAAAACIAAABkcnMvZG93bnJldi54bWxQSwECFAAUAAAACACHTuJAArWcwhUCAABYBAAA&#10;DgAAAAAAAAABACAAAAAnAQAAZHJzL2Uyb0RvYy54bWxQSwUGAAAAAAYABgBZAQAArgUAAAAA&#10;">
                <v:fill on="t" focussize="0,0"/>
                <v:stroke weight="2pt" color="#000000" joinstyle="round"/>
                <v:imagedata o:title=""/>
                <o:lock v:ext="edit" aspectratio="f"/>
                <v:textbox>
                  <w:txbxContent>
                    <w:p>
                      <w:pPr>
                        <w:jc w:val="center"/>
                        <w:rPr>
                          <w:rFonts w:hint="eastAsia" w:ascii="黑体" w:hAnsi="黑体" w:eastAsia="黑体"/>
                          <w:b/>
                          <w:color w:val="000000"/>
                          <w:sz w:val="44"/>
                          <w:szCs w:val="44"/>
                          <w:lang w:eastAsia="zh-CN"/>
                        </w:rPr>
                      </w:pPr>
                      <w:r>
                        <w:rPr>
                          <w:rFonts w:hint="eastAsia" w:ascii="黑体" w:hAnsi="黑体" w:eastAsia="黑体"/>
                          <w:b/>
                          <w:color w:val="000000"/>
                          <w:sz w:val="44"/>
                          <w:szCs w:val="44"/>
                          <w:lang w:eastAsia="zh-CN"/>
                        </w:rPr>
                        <w:t>高级管理层</w:t>
                      </w:r>
                    </w:p>
                  </w:txbxContent>
                </v:textbox>
              </v:shape>
            </w:pict>
          </mc:Fallback>
        </mc:AlternateContent>
      </w:r>
    </w:p>
    <w:p>
      <w:pPr>
        <w:pStyle w:val="8"/>
        <w:keepNext w:val="0"/>
        <w:keepLines w:val="0"/>
        <w:pageBreakBefore w:val="0"/>
        <w:kinsoku/>
        <w:wordWrap/>
        <w:topLinePunct w:val="0"/>
        <w:bidi w:val="0"/>
        <w:spacing w:line="560" w:lineRule="exact"/>
        <w:rPr>
          <w:rFonts w:hint="eastAsia"/>
          <w:color w:val="auto"/>
          <w:highlight w:val="none"/>
        </w:rPr>
      </w:pP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2524760</wp:posOffset>
                </wp:positionH>
                <wp:positionV relativeFrom="paragraph">
                  <wp:posOffset>-53340</wp:posOffset>
                </wp:positionV>
                <wp:extent cx="35560" cy="6310630"/>
                <wp:effectExtent l="4445" t="0" r="17145" b="13970"/>
                <wp:wrapNone/>
                <wp:docPr id="13" name="直接箭头连接符 13"/>
                <wp:cNvGraphicFramePr/>
                <a:graphic xmlns:a="http://schemas.openxmlformats.org/drawingml/2006/main">
                  <a:graphicData uri="http://schemas.microsoft.com/office/word/2010/wordprocessingShape">
                    <wps:wsp>
                      <wps:cNvCnPr>
                        <a:stCxn id="41" idx="4"/>
                      </wps:cNvCnPr>
                      <wps:spPr>
                        <a:xfrm>
                          <a:off x="0" y="0"/>
                          <a:ext cx="35560" cy="631063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198.8pt;margin-top:-4.2pt;height:496.9pt;width:2.8pt;z-index:251707392;mso-width-relative:page;mso-height-relative:page;" filled="f" stroked="t" coordsize="21600,21600" o:gfxdata="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rlpBdoA&#10;AAAKAQAADwAAAAAAAAABACAAAAAiAAAAZHJzL2Rvd25yZXYueG1sUEsBAhQAFAAAAAgAh07iQF+H&#10;P9gdAgAAMQQAAA4AAAAAAAAAAQAgAAAAKQEAAGRycy9lMm9Eb2MueG1sUEsFBgAAAAAGAAYAWQEA&#10;AL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-611505</wp:posOffset>
                </wp:positionH>
                <wp:positionV relativeFrom="paragraph">
                  <wp:posOffset>152400</wp:posOffset>
                </wp:positionV>
                <wp:extent cx="2032000" cy="387350"/>
                <wp:effectExtent l="12700" t="12700" r="12700" b="19050"/>
                <wp:wrapNone/>
                <wp:docPr id="70" name="矩形 70"/>
                <wp:cNvGraphicFramePr/>
                <a:graphic xmlns:a="http://schemas.openxmlformats.org/drawingml/2006/main">
                  <a:graphicData uri="http://schemas.microsoft.com/office/word/2010/wordprocessingShape">
                    <wps:wsp>
                      <wps:cNvSpPr/>
                      <wps:spPr>
                        <a:xfrm>
                          <a:off x="0" y="0"/>
                          <a:ext cx="2032000" cy="387350"/>
                        </a:xfrm>
                        <a:prstGeom prst="rect">
                          <a:avLst/>
                        </a:prstGeom>
                        <a:solidFill>
                          <a:srgbClr val="FFFFFF"/>
                        </a:solidFill>
                        <a:ln w="25400" cap="flat" cmpd="sng" algn="ctr">
                          <a:solidFill>
                            <a:srgbClr val="000000"/>
                          </a:solidFill>
                          <a:prstDash val="solid"/>
                        </a:ln>
                        <a:effectLst/>
                      </wps:spPr>
                      <wps:txbx>
                        <w:txbxContent>
                          <w:p>
                            <w:pPr>
                              <w:jc w:val="center"/>
                              <w:rPr>
                                <w:color w:val="000000"/>
                                <w:sz w:val="24"/>
                                <w:szCs w:val="24"/>
                              </w:rPr>
                            </w:pPr>
                            <w:r>
                              <w:rPr>
                                <w:rFonts w:hint="eastAsia"/>
                                <w:color w:val="000000"/>
                                <w:sz w:val="24"/>
                                <w:szCs w:val="24"/>
                              </w:rPr>
                              <w:t>资产与负债管理委员会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15pt;margin-top:12pt;height:30.5pt;width:160pt;z-index:251700224;v-text-anchor:middle;mso-width-relative:page;mso-height-relative:page;" fillcolor="#FFFFFF" filled="t" stroked="t" coordsize="21600,21600" o:gfxdata="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h88LrYAAAACQEAAA8AAAAAAAAAAQAgAAAAIgAAAGRycy9kb3du&#10;cmV2LnhtbFBLAQIUABQAAAAIAIdO4kDfPYOucQIAAPgEAAAOAAAAAAAAAAEAIAAAACcBAABkcnMv&#10;ZTJvRG9jLnhtbFBLBQYAAAAABgAGAFkBAAAKBgAAAAA=&#10;">
                <v:fill on="t" focussize="0,0"/>
                <v:stroke weight="2pt" color="#000000" joinstyle="round"/>
                <v:imagedata o:title=""/>
                <o:lock v:ext="edit" aspectratio="f"/>
                <v:textbox>
                  <w:txbxContent>
                    <w:p>
                      <w:pPr>
                        <w:jc w:val="center"/>
                        <w:rPr>
                          <w:color w:val="000000"/>
                          <w:sz w:val="24"/>
                          <w:szCs w:val="24"/>
                        </w:rPr>
                      </w:pPr>
                      <w:r>
                        <w:rPr>
                          <w:rFonts w:hint="eastAsia"/>
                          <w:color w:val="000000"/>
                          <w:sz w:val="24"/>
                          <w:szCs w:val="24"/>
                        </w:rPr>
                        <w:t>资产与负债管理委员会</w:t>
                      </w:r>
                    </w:p>
                  </w:txbxContent>
                </v:textbox>
              </v:rect>
            </w:pict>
          </mc:Fallback>
        </mc:AlternateContent>
      </w: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1828165</wp:posOffset>
                </wp:positionH>
                <wp:positionV relativeFrom="paragraph">
                  <wp:posOffset>170815</wp:posOffset>
                </wp:positionV>
                <wp:extent cx="65405" cy="6997065"/>
                <wp:effectExtent l="4445" t="0" r="6350" b="13335"/>
                <wp:wrapNone/>
                <wp:docPr id="19" name="直接箭头连接符 19"/>
                <wp:cNvGraphicFramePr/>
                <a:graphic xmlns:a="http://schemas.openxmlformats.org/drawingml/2006/main">
                  <a:graphicData uri="http://schemas.microsoft.com/office/word/2010/wordprocessingShape">
                    <wps:wsp>
                      <wps:cNvCnPr/>
                      <wps:spPr>
                        <a:xfrm>
                          <a:off x="0" y="0"/>
                          <a:ext cx="65405" cy="699706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143.95pt;margin-top:13.45pt;height:550.95pt;width:5.15pt;z-index:251706368;mso-width-relative:page;mso-height-relative:page;" filled="f" stroked="t" coordsize="21600,21600" o:gfxdata="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jIg7NgAAAALAQAADwAAAAAAAAABACAAAAAi&#10;AAAAZHJzL2Rvd25yZXYueG1sUEsBAhQAFAAAAAgAh07iQDAJsdwKAgAACgQAAA4AAAAAAAAAAQAg&#10;AAAAJwEAAGRycy9lMm9Eb2MueG1sUEsFBgAAAAAGAAYAWQEAAKMFAAAAAA==&#10;">
                <v:fill on="f" focussize="0,0"/>
                <v:stroke color="#000000" joinstyle="round"/>
                <v:imagedata o:title=""/>
                <o:lock v:ext="edit" aspectratio="f"/>
              </v:shape>
            </w:pict>
          </mc:Fallback>
        </mc:AlternateContent>
      </w:r>
      <w:r>
        <w:rPr>
          <w:color w:val="auto"/>
          <w:sz w:val="44"/>
          <w:szCs w:val="44"/>
          <w:highlight w:val="none"/>
        </w:rPr>
        <mc:AlternateContent>
          <mc:Choice Requires="wps">
            <w:drawing>
              <wp:anchor distT="0" distB="0" distL="114300" distR="114300" simplePos="0" relativeHeight="251699200" behindDoc="0" locked="0" layoutInCell="1" allowOverlap="1">
                <wp:simplePos x="0" y="0"/>
                <wp:positionH relativeFrom="column">
                  <wp:posOffset>1824355</wp:posOffset>
                </wp:positionH>
                <wp:positionV relativeFrom="paragraph">
                  <wp:posOffset>167640</wp:posOffset>
                </wp:positionV>
                <wp:extent cx="699135" cy="3810"/>
                <wp:effectExtent l="0" t="0" r="0" b="0"/>
                <wp:wrapNone/>
                <wp:docPr id="23" name="直接箭头连接符 23"/>
                <wp:cNvGraphicFramePr/>
                <a:graphic xmlns:a="http://schemas.openxmlformats.org/drawingml/2006/main">
                  <a:graphicData uri="http://schemas.microsoft.com/office/word/2010/wordprocessingShape">
                    <wps:wsp>
                      <wps:cNvCnPr/>
                      <wps:spPr>
                        <a:xfrm flipV="1">
                          <a:off x="0" y="0"/>
                          <a:ext cx="699135" cy="381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flip:y;margin-left:143.65pt;margin-top:13.2pt;height:0.3pt;width:55.05pt;z-index:251699200;mso-width-relative:page;mso-height-relative:page;" filled="f" stroked="t" coordsize="21600,21600" o:gfxdata="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Jqtz1wAAAAkBAAAPAAAAAAAA&#10;AAEAIAAAACIAAABkcnMvZG93bnJldi54bWxQSwECFAAUAAAACACHTuJAZr1KDhMCAAASBAAADgAA&#10;AAAAAAABACAAAAAmAQAAZHJzL2Uyb0RvYy54bWxQSwUGAAAAAAYABgBZAQAAqwUAAAAA&#10;">
                <v:fill on="f" focussize="0,0"/>
                <v:stroke color="#000000" joinstyle="round"/>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3020695</wp:posOffset>
                </wp:positionH>
                <wp:positionV relativeFrom="paragraph">
                  <wp:posOffset>154940</wp:posOffset>
                </wp:positionV>
                <wp:extent cx="2268220" cy="406400"/>
                <wp:effectExtent l="12700" t="12700" r="24130" b="19050"/>
                <wp:wrapNone/>
                <wp:docPr id="36" name="矩形 36"/>
                <wp:cNvGraphicFramePr/>
                <a:graphic xmlns:a="http://schemas.openxmlformats.org/drawingml/2006/main">
                  <a:graphicData uri="http://schemas.microsoft.com/office/word/2010/wordprocessingShape">
                    <wps:wsp>
                      <wps:cNvSpPr/>
                      <wps:spPr>
                        <a:xfrm flipV="1">
                          <a:off x="0" y="0"/>
                          <a:ext cx="2268220" cy="406400"/>
                        </a:xfrm>
                        <a:prstGeom prst="rect">
                          <a:avLst/>
                        </a:prstGeom>
                        <a:solidFill>
                          <a:srgbClr val="FFFFFF"/>
                        </a:solidFill>
                        <a:ln w="25400" cap="flat" cmpd="sng">
                          <a:solidFill>
                            <a:srgbClr val="000000"/>
                          </a:solidFill>
                          <a:prstDash val="solid"/>
                          <a:round/>
                          <a:headEnd type="none" w="med" len="med"/>
                          <a:tailEnd type="none" w="med" len="med"/>
                        </a:ln>
                        <a:effectLst/>
                      </wps:spPr>
                      <wps:txbx>
                        <w:txbxContent>
                          <w:p>
                            <w:pPr>
                              <w:jc w:val="center"/>
                              <w:rPr>
                                <w:rFonts w:hint="default"/>
                                <w:color w:val="000000"/>
                                <w:sz w:val="24"/>
                                <w:szCs w:val="24"/>
                                <w:lang w:val="en-US" w:eastAsia="zh-CN"/>
                              </w:rPr>
                            </w:pPr>
                            <w:r>
                              <w:rPr>
                                <w:rFonts w:hint="eastAsia"/>
                                <w:color w:val="000000"/>
                                <w:sz w:val="24"/>
                                <w:szCs w:val="24"/>
                                <w:lang w:eastAsia="zh-CN"/>
                              </w:rPr>
                              <w:t>党委办公室</w:t>
                            </w:r>
                          </w:p>
                        </w:txbxContent>
                      </wps:txbx>
                      <wps:bodyPr anchor="ctr" anchorCtr="0" upright="1"/>
                    </wps:wsp>
                  </a:graphicData>
                </a:graphic>
              </wp:anchor>
            </w:drawing>
          </mc:Choice>
          <mc:Fallback>
            <w:pict>
              <v:rect id="_x0000_s1026" o:spid="_x0000_s1026" o:spt="1" style="position:absolute;left:0pt;flip:y;margin-left:237.85pt;margin-top:12.2pt;height:32pt;width:178.6pt;z-index:251723776;v-text-anchor:middle;mso-width-relative:page;mso-height-relative:page;" fillcolor="#FFFFFF" filled="t" stroked="t" coordsize="21600,21600" o:gfxdata="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S6s31wAAAAkB&#10;AAAPAAAAAAAAAAEAIAAAACIAAABkcnMvZG93bnJldi54bWxQSwECFAAUAAAACACHTuJAEGhoGRwC&#10;AABfBAAADgAAAAAAAAABACAAAAAmAQAAZHJzL2Uyb0RvYy54bWxQSwUGAAAAAAYABgBZAQAAtAUA&#10;AAAA&#10;">
                <v:fill on="t" focussize="0,0"/>
                <v:stroke weight="2pt" color="#000000" joinstyle="round"/>
                <v:imagedata o:title=""/>
                <o:lock v:ext="edit" aspectratio="f"/>
                <v:textbox>
                  <w:txbxContent>
                    <w:p>
                      <w:pPr>
                        <w:jc w:val="center"/>
                        <w:rPr>
                          <w:rFonts w:hint="default"/>
                          <w:color w:val="000000"/>
                          <w:sz w:val="24"/>
                          <w:szCs w:val="24"/>
                          <w:lang w:val="en-US" w:eastAsia="zh-CN"/>
                        </w:rPr>
                      </w:pPr>
                      <w:r>
                        <w:rPr>
                          <w:rFonts w:hint="eastAsia"/>
                          <w:color w:val="000000"/>
                          <w:sz w:val="24"/>
                          <w:szCs w:val="24"/>
                          <w:lang w:eastAsia="zh-CN"/>
                        </w:rPr>
                        <w:t>党委办公室</w:t>
                      </w:r>
                    </w:p>
                  </w:txbxContent>
                </v:textbox>
              </v:rect>
            </w:pict>
          </mc:Fallback>
        </mc:AlternateContent>
      </w:r>
      <w:r>
        <w:rPr>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1407795</wp:posOffset>
                </wp:positionH>
                <wp:positionV relativeFrom="paragraph">
                  <wp:posOffset>6985</wp:posOffset>
                </wp:positionV>
                <wp:extent cx="415290" cy="3175"/>
                <wp:effectExtent l="0" t="37465" r="3810" b="35560"/>
                <wp:wrapNone/>
                <wp:docPr id="74" name="直接箭头连接符 74"/>
                <wp:cNvGraphicFramePr/>
                <a:graphic xmlns:a="http://schemas.openxmlformats.org/drawingml/2006/main">
                  <a:graphicData uri="http://schemas.microsoft.com/office/word/2010/wordprocessingShape">
                    <wps:wsp>
                      <wps:cNvCnPr/>
                      <wps:spPr>
                        <a:xfrm flipH="1" flipV="1">
                          <a:off x="0" y="0"/>
                          <a:ext cx="415290"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0.85pt;margin-top:0.55pt;height:0.25pt;width:32.7pt;z-index:251701248;mso-width-relative:page;mso-height-relative:page;" filled="f" stroked="t" coordsize="21600,21600" o:gfxdata="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VG4zDUAAAABwEAAA8AAAAAAAAAAQAgAAAAIgAAAGRycy9kb3ducmV2LnhtbFBLAQIU&#10;ABQAAAAIAIdO4kDdZ4NMMAIAADsEAAAOAAAAAAAAAAEAIAAAACM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-626745</wp:posOffset>
                </wp:positionH>
                <wp:positionV relativeFrom="paragraph">
                  <wp:posOffset>299085</wp:posOffset>
                </wp:positionV>
                <wp:extent cx="2054860" cy="363855"/>
                <wp:effectExtent l="12700" t="12700" r="27940" b="23495"/>
                <wp:wrapNone/>
                <wp:docPr id="83" name="矩形 83"/>
                <wp:cNvGraphicFramePr/>
                <a:graphic xmlns:a="http://schemas.openxmlformats.org/drawingml/2006/main">
                  <a:graphicData uri="http://schemas.microsoft.com/office/word/2010/wordprocessingShape">
                    <wps:wsp>
                      <wps:cNvSpPr/>
                      <wps:spPr>
                        <a:xfrm>
                          <a:off x="0" y="0"/>
                          <a:ext cx="2054860" cy="363855"/>
                        </a:xfrm>
                        <a:prstGeom prst="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rPr>
                              <w:t>风险</w:t>
                            </w:r>
                            <w:r>
                              <w:rPr>
                                <w:color w:val="000000"/>
                                <w:sz w:val="24"/>
                                <w:szCs w:val="24"/>
                              </w:rPr>
                              <w:t>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5pt;margin-top:23.55pt;height:28.65pt;width:161.8pt;z-index:251702272;v-text-anchor:middle;mso-width-relative:page;mso-height-relative:page;" fillcolor="#FFFFFF" filled="t" stroked="t" coordsize="21600,21600" o:gfxdata="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FrPtNgAAAAKAQAADwAAAAAAAAABACAAAAAiAAAAZHJzL2Rvd25y&#10;ZXYueG1sUEsBAhQAFAAAAAgAh07iQNGkmPJwAgAA+AQAAA4AAAAAAAAAAQAgAAAAJwEAAGRycy9l&#10;Mm9Eb2MueG1sUEsFBgAAAAAGAAYAWQEAAAkGAAAAAA==&#10;">
                <v:fill on="t" focussize="0,0"/>
                <v:stroke weight="2pt" color="#000000" joinstyle="round"/>
                <v:imagedata o:title=""/>
                <o:lock v:ext="edit" aspectratio="f"/>
                <v:textbox>
                  <w:txbxContent>
                    <w:p>
                      <w:pPr>
                        <w:jc w:val="center"/>
                        <w:rPr>
                          <w:color w:val="000000"/>
                        </w:rPr>
                      </w:pPr>
                      <w:r>
                        <w:rPr>
                          <w:rFonts w:hint="eastAsia"/>
                          <w:color w:val="000000"/>
                          <w:sz w:val="24"/>
                          <w:szCs w:val="24"/>
                        </w:rPr>
                        <w:t>风险</w:t>
                      </w:r>
                      <w:r>
                        <w:rPr>
                          <w:color w:val="000000"/>
                          <w:sz w:val="24"/>
                          <w:szCs w:val="24"/>
                        </w:rPr>
                        <w:t>管理委员会</w:t>
                      </w:r>
                    </w:p>
                  </w:txbxContent>
                </v:textbox>
              </v: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2549525</wp:posOffset>
                </wp:positionH>
                <wp:positionV relativeFrom="paragraph">
                  <wp:posOffset>27940</wp:posOffset>
                </wp:positionV>
                <wp:extent cx="426720" cy="6350"/>
                <wp:effectExtent l="0" t="36830" r="11430" b="33020"/>
                <wp:wrapNone/>
                <wp:docPr id="106" name="直接箭头连接符 106"/>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75pt;margin-top:2.2pt;height:0.5pt;width:33.6pt;z-index:251739136;mso-width-relative:page;mso-height-relative:page;" filled="f" stroked="t" coordsize="21600,21600" o:gfxdata="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uzz31gAAAAcBAAAPAAAAAAAAAAEAIAAAACIAAABkcnMvZG93bnJldi54bWxQSwECFAAU&#10;AAAACACHTuJAGY2y1CwCAAAzBAAADgAAAAAAAAABACAAAAAlAQAAZHJzL2Uyb0RvYy54bWxQSwUG&#10;AAAAAAYABgBZAQAAww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3030220</wp:posOffset>
                </wp:positionH>
                <wp:positionV relativeFrom="paragraph">
                  <wp:posOffset>313690</wp:posOffset>
                </wp:positionV>
                <wp:extent cx="2275205" cy="351790"/>
                <wp:effectExtent l="12700" t="12700" r="17145" b="16510"/>
                <wp:wrapNone/>
                <wp:docPr id="58" name="矩形 58"/>
                <wp:cNvGraphicFramePr/>
                <a:graphic xmlns:a="http://schemas.openxmlformats.org/drawingml/2006/main">
                  <a:graphicData uri="http://schemas.microsoft.com/office/word/2010/wordprocessingShape">
                    <wps:wsp>
                      <wps:cNvSpPr/>
                      <wps:spPr>
                        <a:xfrm>
                          <a:off x="0" y="0"/>
                          <a:ext cx="2275205" cy="351790"/>
                        </a:xfrm>
                        <a:prstGeom prst="rect">
                          <a:avLst/>
                        </a:prstGeom>
                        <a:solidFill>
                          <a:srgbClr val="FFFFFF"/>
                        </a:solidFill>
                        <a:ln w="25400" cap="flat" cmpd="sng" algn="ctr">
                          <a:solidFill>
                            <a:srgbClr val="000000"/>
                          </a:solidFill>
                          <a:prstDash val="solid"/>
                        </a:ln>
                        <a:effectLst/>
                      </wps:spPr>
                      <wps:txbx>
                        <w:txbxContent>
                          <w:p>
                            <w:pPr>
                              <w:jc w:val="center"/>
                              <w:rPr>
                                <w:rFonts w:hint="default"/>
                                <w:color w:val="000000"/>
                                <w:sz w:val="24"/>
                                <w:szCs w:val="24"/>
                                <w:lang w:val="en-US" w:eastAsia="zh-CN"/>
                              </w:rPr>
                            </w:pPr>
                            <w:r>
                              <w:rPr>
                                <w:rFonts w:hint="eastAsia"/>
                                <w:color w:val="000000"/>
                                <w:sz w:val="24"/>
                                <w:szCs w:val="24"/>
                                <w:lang w:val="en-US" w:eastAsia="zh-CN"/>
                              </w:rPr>
                              <w:t>人力资源部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6pt;margin-top:24.7pt;height:27.7pt;width:179.15pt;z-index:251726848;v-text-anchor:middle;mso-width-relative:page;mso-height-relative:page;" fillcolor="#FFFFFF" filled="t" stroked="t" coordsize="21600,21600" o:gfxdata="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Lw+zPZAAAACgEAAA8AAAAAAAAAAQAgAAAAIgAAAGRycy9k&#10;b3ducmV2LnhtbFBLAQIUABQAAAAIAIdO4kA2RuxpcwIAAPgEAAAOAAAAAAAAAAEAIAAAACgBAABk&#10;cnMvZTJvRG9jLnhtbFBLBQYAAAAABgAGAFkBAAANBgAAAAA=&#10;">
                <v:fill on="t" focussize="0,0"/>
                <v:stroke weight="2pt" color="#000000" joinstyle="round"/>
                <v:imagedata o:title=""/>
                <o:lock v:ext="edit" aspectratio="f"/>
                <v:textbox>
                  <w:txbxContent>
                    <w:p>
                      <w:pPr>
                        <w:jc w:val="center"/>
                        <w:rPr>
                          <w:rFonts w:hint="default"/>
                          <w:color w:val="000000"/>
                          <w:sz w:val="24"/>
                          <w:szCs w:val="24"/>
                          <w:lang w:val="en-US" w:eastAsia="zh-CN"/>
                        </w:rPr>
                      </w:pPr>
                      <w:r>
                        <w:rPr>
                          <w:rFonts w:hint="eastAsia"/>
                          <w:color w:val="000000"/>
                          <w:sz w:val="24"/>
                          <w:szCs w:val="24"/>
                          <w:lang w:val="en-US" w:eastAsia="zh-CN"/>
                        </w:rPr>
                        <w:t>人力资源部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1428115</wp:posOffset>
                </wp:positionH>
                <wp:positionV relativeFrom="paragraph">
                  <wp:posOffset>125730</wp:posOffset>
                </wp:positionV>
                <wp:extent cx="386715" cy="635"/>
                <wp:effectExtent l="0" t="38100" r="13335" b="37465"/>
                <wp:wrapNone/>
                <wp:docPr id="40" name="直接箭头连接符 40"/>
                <wp:cNvGraphicFramePr/>
                <a:graphic xmlns:a="http://schemas.openxmlformats.org/drawingml/2006/main">
                  <a:graphicData uri="http://schemas.microsoft.com/office/word/2010/wordprocessingShape">
                    <wps:wsp>
                      <wps:cNvCnPr>
                        <a:endCxn id="83" idx="3"/>
                      </wps:cNvCnPr>
                      <wps:spPr>
                        <a:xfrm flipH="1" flipV="1">
                          <a:off x="0" y="0"/>
                          <a:ext cx="38671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2.45pt;margin-top:9.9pt;height:0.05pt;width:30.45pt;z-index:251713536;mso-width-relative:page;mso-height-relative:page;" filled="f" stroked="t" coordsize="21600,21600" o:gfxdata="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&#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c06u1wAAAAkBAAAPAAAAAAAAAAEAIAAAACIAAABk&#10;cnMvZG93bnJldi54bWxQSwECFAAUAAAACACHTuJAw3BuAUACAABiBAAADgAAAAAAAAABACAAAAAm&#10;AQAAZHJzL2Uyb0RvYy54bWxQSwUGAAAAAAYABgBZAQAA2AU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2540635</wp:posOffset>
                </wp:positionH>
                <wp:positionV relativeFrom="paragraph">
                  <wp:posOffset>154305</wp:posOffset>
                </wp:positionV>
                <wp:extent cx="426720" cy="6350"/>
                <wp:effectExtent l="0" t="36830" r="11430" b="33020"/>
                <wp:wrapNone/>
                <wp:docPr id="67" name="直接箭头连接符 67"/>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05pt;margin-top:12.15pt;height:0.5pt;width:33.6pt;z-index:251747328;mso-width-relative:page;mso-height-relative:page;" filled="f" stroked="t" coordsize="21600,21600" o:gfxdata="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Hww12QAAAAkBAAAPAAAAAAAAAAEAIAAAACIAAABkcnMvZG93bnJldi54bWxQSwEC&#10;FAAUAAAACACHTuJASmSDeiwCAAAxBAAADgAAAAAAAAABACAAAAAoAQAAZHJzL2Uyb0RvYy54bWxQ&#10;SwUGAAAAAAYABgBZAQAAxg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-626745</wp:posOffset>
                </wp:positionH>
                <wp:positionV relativeFrom="paragraph">
                  <wp:posOffset>29845</wp:posOffset>
                </wp:positionV>
                <wp:extent cx="2054860" cy="343535"/>
                <wp:effectExtent l="12700" t="12700" r="27940" b="24765"/>
                <wp:wrapNone/>
                <wp:docPr id="85" name="矩形 85"/>
                <wp:cNvGraphicFramePr/>
                <a:graphic xmlns:a="http://schemas.openxmlformats.org/drawingml/2006/main">
                  <a:graphicData uri="http://schemas.microsoft.com/office/word/2010/wordprocessingShape">
                    <wps:wsp>
                      <wps:cNvSpPr/>
                      <wps:spPr>
                        <a:xfrm>
                          <a:off x="0" y="0"/>
                          <a:ext cx="2054860" cy="343535"/>
                        </a:xfrm>
                        <a:prstGeom prst="rect">
                          <a:avLst/>
                        </a:prstGeom>
                        <a:solidFill>
                          <a:srgbClr val="FFFFFF"/>
                        </a:solidFill>
                        <a:ln w="25400" cap="flat" cmpd="sng" algn="ctr">
                          <a:solidFill>
                            <a:srgbClr val="000000"/>
                          </a:solidFill>
                          <a:prstDash val="solid"/>
                        </a:ln>
                        <a:effectLst/>
                      </wps:spPr>
                      <wps:txbx>
                        <w:txbxContent>
                          <w:p>
                            <w:pPr>
                              <w:jc w:val="center"/>
                              <w:rPr>
                                <w:color w:val="000000"/>
                              </w:rPr>
                            </w:pPr>
                            <w:r>
                              <w:rPr>
                                <w:color w:val="000000"/>
                                <w:sz w:val="24"/>
                                <w:szCs w:val="24"/>
                              </w:rPr>
                              <w:t>农户</w:t>
                            </w:r>
                            <w:r>
                              <w:rPr>
                                <w:color w:val="000000"/>
                                <w:sz w:val="24"/>
                                <w:szCs w:val="24"/>
                                <w:highlight w:val="none"/>
                              </w:rPr>
                              <w:t>贷款管理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5pt;margin-top:2.35pt;height:27.05pt;width:161.8pt;z-index:251703296;v-text-anchor:middle;mso-width-relative:page;mso-height-relative:page;" fillcolor="#FFFFFF" filled="t" stroked="t" coordsize="21600,21600" o:gfxdata="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j/A9h2AAAAAgBAAAPAAAAAAAAAAEAIAAAACIAAABkcnMvZG93&#10;bnJldi54bWxQSwECFAAUAAAACACHTuJA3NQonHICAAD4BAAADgAAAAAAAAABACAAAAAnAQAAZHJz&#10;L2Uyb0RvYy54bWxQSwUGAAAAAAYABgBZAQAACwYAAAAA&#10;">
                <v:fill on="t" focussize="0,0"/>
                <v:stroke weight="2pt" color="#000000" joinstyle="round"/>
                <v:imagedata o:title=""/>
                <o:lock v:ext="edit" aspectratio="f"/>
                <v:textbox>
                  <w:txbxContent>
                    <w:p>
                      <w:pPr>
                        <w:jc w:val="center"/>
                        <w:rPr>
                          <w:color w:val="000000"/>
                        </w:rPr>
                      </w:pPr>
                      <w:r>
                        <w:rPr>
                          <w:color w:val="000000"/>
                          <w:sz w:val="24"/>
                          <w:szCs w:val="24"/>
                        </w:rPr>
                        <w:t>农户</w:t>
                      </w:r>
                      <w:r>
                        <w:rPr>
                          <w:color w:val="000000"/>
                          <w:sz w:val="24"/>
                          <w:szCs w:val="24"/>
                          <w:highlight w:val="none"/>
                        </w:rPr>
                        <w:t>贷款管理</w:t>
                      </w:r>
                      <w:r>
                        <w:rPr>
                          <w:rFonts w:hint="eastAsia"/>
                          <w:color w:val="000000"/>
                          <w:sz w:val="24"/>
                          <w:szCs w:val="24"/>
                        </w:rPr>
                        <w:t>委员会</w:t>
                      </w:r>
                    </w:p>
                  </w:txbxContent>
                </v:textbox>
              </v:rect>
            </w:pict>
          </mc:Fallback>
        </mc:AlternateContent>
      </w: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1442720</wp:posOffset>
                </wp:positionH>
                <wp:positionV relativeFrom="paragraph">
                  <wp:posOffset>237490</wp:posOffset>
                </wp:positionV>
                <wp:extent cx="386715" cy="635"/>
                <wp:effectExtent l="0" t="38100" r="13335" b="37465"/>
                <wp:wrapNone/>
                <wp:docPr id="12" name="直接箭头连接符 12"/>
                <wp:cNvGraphicFramePr/>
                <a:graphic xmlns:a="http://schemas.openxmlformats.org/drawingml/2006/main">
                  <a:graphicData uri="http://schemas.microsoft.com/office/word/2010/wordprocessingShape">
                    <wps:wsp>
                      <wps:cNvCnPr/>
                      <wps:spPr>
                        <a:xfrm flipH="1" flipV="1">
                          <a:off x="0" y="0"/>
                          <a:ext cx="386715" cy="6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3.6pt;margin-top:18.7pt;height:0.05pt;width:30.45pt;z-index:251743232;mso-width-relative:page;mso-height-relative:page;" filled="f" stroked="t" coordsize="21600,21600" o:gfxdata="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zEPPtgAAAAJAQAADwAAAAAAAAABACAAAAAiAAAAZHJzL2Rvd25yZXYueG1sUEsB&#10;AhQAFAAAAAgAh07iQB0XYVsuAgAAOgQAAA4AAAAAAAAAAQAgAAAAJwEAAGRycy9lMm9Eb2MueG1s&#10;UEsFBgAAAAAGAAYAWQEAAMcFA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2540635</wp:posOffset>
                </wp:positionH>
                <wp:positionV relativeFrom="paragraph">
                  <wp:posOffset>252730</wp:posOffset>
                </wp:positionV>
                <wp:extent cx="426720" cy="6350"/>
                <wp:effectExtent l="0" t="36830" r="11430" b="33020"/>
                <wp:wrapNone/>
                <wp:docPr id="69" name="直接箭头连接符 69"/>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05pt;margin-top:19.9pt;height:0.5pt;width:33.6pt;z-index:251748352;mso-width-relative:page;mso-height-relative:page;" filled="f" stroked="t" coordsize="21600,21600" o:gfxdata="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eKgenYAAAACQEAAA8AAAAAAAAAAQAgAAAAIgAAAGRycy9kb3ducmV2LnhtbFBLAQIU&#10;ABQAAAAIAIdO4kAE/39C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3016885</wp:posOffset>
                </wp:positionH>
                <wp:positionV relativeFrom="paragraph">
                  <wp:posOffset>73660</wp:posOffset>
                </wp:positionV>
                <wp:extent cx="2285365" cy="335915"/>
                <wp:effectExtent l="12700" t="12700" r="26035" b="13335"/>
                <wp:wrapNone/>
                <wp:docPr id="44" name="矩形 44"/>
                <wp:cNvGraphicFramePr/>
                <a:graphic xmlns:a="http://schemas.openxmlformats.org/drawingml/2006/main">
                  <a:graphicData uri="http://schemas.microsoft.com/office/word/2010/wordprocessingShape">
                    <wps:wsp>
                      <wps:cNvSpPr/>
                      <wps:spPr>
                        <a:xfrm>
                          <a:off x="0" y="0"/>
                          <a:ext cx="2285365" cy="335915"/>
                        </a:xfrm>
                        <a:prstGeom prst="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办公室</w:t>
                            </w:r>
                          </w:p>
                          <w:p>
                            <w:pPr>
                              <w:jc w:val="center"/>
                              <w:rPr>
                                <w:rFonts w:hint="eastAsia" w:eastAsia="宋体"/>
                                <w:color w:val="000000"/>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55pt;margin-top:5.8pt;height:26.45pt;width:179.95pt;z-index:251697152;v-text-anchor:middle;mso-width-relative:page;mso-height-relative:page;" fillcolor="#FFFFFF" filled="t" stroked="t" coordsize="21600,21600" o:gfxdata="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hNB+HYAAAACQEAAA8AAAAAAAAAAQAgAAAAIgAAAGRycy9kb3du&#10;cmV2LnhtbFBLAQIUABQAAAAIAIdO4kBH8HzVcQIAAPgEAAAOAAAAAAAAAAEAIAAAACcBAABkcnMv&#10;ZTJvRG9jLnhtbFBLBQYAAAAABgAGAFkBAAAKBg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办公室</w:t>
                      </w:r>
                    </w:p>
                    <w:p>
                      <w:pPr>
                        <w:jc w:val="center"/>
                        <w:rPr>
                          <w:rFonts w:hint="eastAsia" w:eastAsia="宋体"/>
                          <w:color w:val="000000"/>
                          <w:lang w:eastAsia="zh-CN"/>
                        </w:rPr>
                      </w:pPr>
                    </w:p>
                  </w:txbxContent>
                </v:textbox>
              </v:rect>
            </w:pict>
          </mc:Fallback>
        </mc:AlternateContent>
      </w: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1417320</wp:posOffset>
                </wp:positionH>
                <wp:positionV relativeFrom="paragraph">
                  <wp:posOffset>251460</wp:posOffset>
                </wp:positionV>
                <wp:extent cx="422910" cy="3175"/>
                <wp:effectExtent l="0" t="37465" r="15240" b="35560"/>
                <wp:wrapNone/>
                <wp:docPr id="68" name="直接箭头连接符 68"/>
                <wp:cNvGraphicFramePr/>
                <a:graphic xmlns:a="http://schemas.openxmlformats.org/drawingml/2006/main">
                  <a:graphicData uri="http://schemas.microsoft.com/office/word/2010/wordprocessingShape">
                    <wps:wsp>
                      <wps:cNvCnPr/>
                      <wps:spPr>
                        <a:xfrm flipH="1" flipV="1">
                          <a:off x="0" y="0"/>
                          <a:ext cx="422910"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1.6pt;margin-top:19.8pt;height:0.25pt;width:33.3pt;z-index:251730944;mso-width-relative:page;mso-height-relative:page;" filled="f" stroked="t" coordsize="21600,21600" o:gfxdata="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0CI2AAAAAkBAAAPAAAAAAAAAAEAIAAAACIAAABkcnMvZG93bnJldi54bWxQ&#10;SwECFAAUAAAACACHTuJAbW9AtjACAAA7BAAADgAAAAAAAAABACAAAAAnAQAAZHJzL2Uyb0RvYy54&#10;bWxQSwUGAAAAAAYABgBZAQAAyQ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-627380</wp:posOffset>
                </wp:positionH>
                <wp:positionV relativeFrom="paragraph">
                  <wp:posOffset>86360</wp:posOffset>
                </wp:positionV>
                <wp:extent cx="2049145" cy="292735"/>
                <wp:effectExtent l="12700" t="12700" r="14605" b="18415"/>
                <wp:wrapNone/>
                <wp:docPr id="66" name="矩形 66"/>
                <wp:cNvGraphicFramePr/>
                <a:graphic xmlns:a="http://schemas.openxmlformats.org/drawingml/2006/main">
                  <a:graphicData uri="http://schemas.microsoft.com/office/word/2010/wordprocessingShape">
                    <wps:wsp>
                      <wps:cNvSpPr/>
                      <wps:spPr>
                        <a:xfrm>
                          <a:off x="0" y="0"/>
                          <a:ext cx="2049145" cy="292735"/>
                        </a:xfrm>
                        <a:prstGeom prst="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rPr>
                              <w:t>财务</w:t>
                            </w:r>
                            <w:r>
                              <w:rPr>
                                <w:color w:val="000000"/>
                                <w:sz w:val="24"/>
                                <w:szCs w:val="24"/>
                              </w:rPr>
                              <w:t>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4pt;margin-top:6.8pt;height:23.05pt;width:161.35pt;z-index:251729920;v-text-anchor:middle;mso-width-relative:page;mso-height-relative:page;" fillcolor="#FFFFFF" filled="t" stroked="t" coordsize="21600,21600" o:gfxdata="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HDQ0tgAAAAJAQAADwAAAAAAAAABACAAAAAiAAAAZHJzL2Rvd25y&#10;ZXYueG1sUEsBAhQAFAAAAAgAh07iQL65YyVwAgAA+AQAAA4AAAAAAAAAAQAgAAAAJwEAAGRycy9l&#10;Mm9Eb2MueG1sUEsFBgAAAAAGAAYAWQEAAAkGAAAAAA==&#10;">
                <v:fill on="t" focussize="0,0"/>
                <v:stroke weight="2pt" color="#000000" joinstyle="round"/>
                <v:imagedata o:title=""/>
                <o:lock v:ext="edit" aspectratio="f"/>
                <v:textbox>
                  <w:txbxContent>
                    <w:p>
                      <w:pPr>
                        <w:jc w:val="center"/>
                        <w:rPr>
                          <w:color w:val="000000"/>
                        </w:rPr>
                      </w:pPr>
                      <w:r>
                        <w:rPr>
                          <w:rFonts w:hint="eastAsia"/>
                          <w:color w:val="000000"/>
                          <w:sz w:val="24"/>
                          <w:szCs w:val="24"/>
                        </w:rPr>
                        <w:t>财务</w:t>
                      </w:r>
                      <w:r>
                        <w:rPr>
                          <w:color w:val="000000"/>
                          <w:sz w:val="24"/>
                          <w:szCs w:val="24"/>
                        </w:rPr>
                        <w:t>管理委员会</w:t>
                      </w:r>
                    </w:p>
                  </w:txbxContent>
                </v:textbox>
              </v: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2548255</wp:posOffset>
                </wp:positionH>
                <wp:positionV relativeFrom="paragraph">
                  <wp:posOffset>351790</wp:posOffset>
                </wp:positionV>
                <wp:extent cx="426720" cy="6350"/>
                <wp:effectExtent l="0" t="36830" r="11430" b="33020"/>
                <wp:wrapNone/>
                <wp:docPr id="73" name="直接箭头连接符 73"/>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65pt;margin-top:27.7pt;height:0.5pt;width:33.6pt;z-index:251749376;mso-width-relative:page;mso-height-relative:page;" filled="f" stroked="t" coordsize="21600,21600" o:gfxdata="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mIXTHYAAAACQEAAA8AAAAAAAAAAQAgAAAAIgAAAGRycy9kb3ducmV2LnhtbFBLAQIU&#10;ABQAAAAIAIdO4kA5w8K9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3028315</wp:posOffset>
                </wp:positionH>
                <wp:positionV relativeFrom="paragraph">
                  <wp:posOffset>160655</wp:posOffset>
                </wp:positionV>
                <wp:extent cx="2256790" cy="320040"/>
                <wp:effectExtent l="12700" t="12700" r="16510" b="29210"/>
                <wp:wrapNone/>
                <wp:docPr id="49" name="矩形 49"/>
                <wp:cNvGraphicFramePr/>
                <a:graphic xmlns:a="http://schemas.openxmlformats.org/drawingml/2006/main">
                  <a:graphicData uri="http://schemas.microsoft.com/office/word/2010/wordprocessingShape">
                    <wps:wsp>
                      <wps:cNvSpPr/>
                      <wps:spPr>
                        <a:xfrm>
                          <a:off x="0" y="0"/>
                          <a:ext cx="2256790" cy="320040"/>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纪律检查室</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45pt;margin-top:12.65pt;height:25.2pt;width:177.7pt;z-index:251696128;v-text-anchor:middle;mso-width-relative:page;mso-height-relative:page;" fillcolor="#FFFFFF" filled="t" stroked="t" coordsize="21600,21600" o:gfxdata="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0zz49kAAAAJAQAADwAAAAAAAAABACAAAAAiAAAAZHJzL2Rv&#10;d25yZXYueG1sUEsBAhQAFAAAAAgAh07iQBazTVRyAgAA+AQAAA4AAAAAAAAAAQAgAAAAKAEAAGRy&#10;cy9lMm9Eb2MueG1sUEsFBgAAAAAGAAYAWQEAAAwGAAAAAA==&#10;">
                <v:fill on="t" focussize="0,0"/>
                <v:stroke weight="2pt" color="#000000" joinstyle="round"/>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纪律检查室</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-619760</wp:posOffset>
                </wp:positionH>
                <wp:positionV relativeFrom="paragraph">
                  <wp:posOffset>88265</wp:posOffset>
                </wp:positionV>
                <wp:extent cx="2045335" cy="328295"/>
                <wp:effectExtent l="12700" t="12700" r="18415" b="20955"/>
                <wp:wrapNone/>
                <wp:docPr id="62" name="矩形 62"/>
                <wp:cNvGraphicFramePr/>
                <a:graphic xmlns:a="http://schemas.openxmlformats.org/drawingml/2006/main">
                  <a:graphicData uri="http://schemas.microsoft.com/office/word/2010/wordprocessingShape">
                    <wps:wsp>
                      <wps:cNvSpPr/>
                      <wps:spPr>
                        <a:xfrm>
                          <a:off x="0" y="0"/>
                          <a:ext cx="2045335" cy="328295"/>
                        </a:xfrm>
                        <a:prstGeom prst="rect">
                          <a:avLst/>
                        </a:prstGeom>
                        <a:solidFill>
                          <a:srgbClr val="FFFFFF"/>
                        </a:solidFill>
                        <a:ln w="25400" cap="flat" cmpd="sng" algn="ctr">
                          <a:solidFill>
                            <a:srgbClr val="000000"/>
                          </a:solidFill>
                          <a:prstDash val="solid"/>
                        </a:ln>
                        <a:effectLst/>
                      </wps:spPr>
                      <wps:txbx>
                        <w:txbxContent>
                          <w:p>
                            <w:pPr>
                              <w:jc w:val="center"/>
                              <w:rPr>
                                <w:color w:val="000000"/>
                              </w:rPr>
                            </w:pPr>
                            <w:r>
                              <w:rPr>
                                <w:rFonts w:hint="eastAsia"/>
                                <w:color w:val="000000"/>
                                <w:sz w:val="24"/>
                                <w:szCs w:val="24"/>
                                <w:lang w:eastAsia="zh-CN"/>
                              </w:rPr>
                              <w:t>科技</w:t>
                            </w:r>
                            <w:r>
                              <w:rPr>
                                <w:color w:val="000000"/>
                                <w:sz w:val="24"/>
                                <w:szCs w:val="24"/>
                              </w:rPr>
                              <w:t>管理委</w:t>
                            </w:r>
                            <w:r>
                              <w:rPr>
                                <w:rFonts w:hint="eastAsia"/>
                                <w:color w:val="000000"/>
                                <w:sz w:val="24"/>
                                <w:szCs w:val="24"/>
                                <w:lang w:eastAsia="zh-CN"/>
                              </w:rPr>
                              <w:t>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8pt;margin-top:6.95pt;height:25.85pt;width:161.05pt;z-index:251727872;v-text-anchor:middle;mso-width-relative:page;mso-height-relative:page;" fillcolor="#FFFFFF" filled="t" stroked="t" coordsize="21600,21600" o:gfxdata="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9D5pDYAAAACQEAAA8AAAAAAAAAAQAgAAAAIgAAAGRycy9kb3du&#10;cmV2LnhtbFBLAQIUABQAAAAIAIdO4kAAC2RDcQIAAPgEAAAOAAAAAAAAAAEAIAAAACcBAABkcnMv&#10;ZTJvRG9jLnhtbFBLBQYAAAAABgAGAFkBAAAKBgAAAAA=&#10;">
                <v:fill on="t" focussize="0,0"/>
                <v:stroke weight="2pt" color="#000000" joinstyle="round"/>
                <v:imagedata o:title=""/>
                <o:lock v:ext="edit" aspectratio="f"/>
                <v:textbox>
                  <w:txbxContent>
                    <w:p>
                      <w:pPr>
                        <w:jc w:val="center"/>
                        <w:rPr>
                          <w:color w:val="000000"/>
                        </w:rPr>
                      </w:pPr>
                      <w:r>
                        <w:rPr>
                          <w:rFonts w:hint="eastAsia"/>
                          <w:color w:val="000000"/>
                          <w:sz w:val="24"/>
                          <w:szCs w:val="24"/>
                          <w:lang w:eastAsia="zh-CN"/>
                        </w:rPr>
                        <w:t>科技</w:t>
                      </w:r>
                      <w:r>
                        <w:rPr>
                          <w:color w:val="000000"/>
                          <w:sz w:val="24"/>
                          <w:szCs w:val="24"/>
                        </w:rPr>
                        <w:t>管理委</w:t>
                      </w:r>
                      <w:r>
                        <w:rPr>
                          <w:rFonts w:hint="eastAsia"/>
                          <w:color w:val="000000"/>
                          <w:sz w:val="24"/>
                          <w:szCs w:val="24"/>
                          <w:lang w:eastAsia="zh-CN"/>
                        </w:rPr>
                        <w:t>员会</w:t>
                      </w:r>
                    </w:p>
                  </w:txbxContent>
                </v:textbox>
              </v:rect>
            </w:pict>
          </mc:Fallback>
        </mc:AlternateContent>
      </w: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1435100</wp:posOffset>
                </wp:positionH>
                <wp:positionV relativeFrom="paragraph">
                  <wp:posOffset>238125</wp:posOffset>
                </wp:positionV>
                <wp:extent cx="405130" cy="8890"/>
                <wp:effectExtent l="0" t="36195" r="13970" b="31115"/>
                <wp:wrapNone/>
                <wp:docPr id="65" name="直接箭头连接符 65"/>
                <wp:cNvGraphicFramePr/>
                <a:graphic xmlns:a="http://schemas.openxmlformats.org/drawingml/2006/main">
                  <a:graphicData uri="http://schemas.microsoft.com/office/word/2010/wordprocessingShape">
                    <wps:wsp>
                      <wps:cNvCnPr/>
                      <wps:spPr>
                        <a:xfrm flipH="1" flipV="1">
                          <a:off x="0" y="0"/>
                          <a:ext cx="405130" cy="889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3pt;margin-top:18.75pt;height:0.7pt;width:31.9pt;z-index:251728896;mso-width-relative:page;mso-height-relative:page;" filled="f" stroked="t" coordsize="21600,21600" o:gfxdata="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u1UbdgAAAAJAQAADwAAAAAAAAABACAAAAAiAAAAZHJzL2Rvd25yZXYueG1s&#10;UEsBAhQAFAAAAAgAh07iQCvqB2AxAgAAOwQAAA4AAAAAAAAAAQAgAAAAJwEAAGRycy9lMm9Eb2Mu&#10;eG1sUEsFBgAAAAAGAAYAWQEAAMoFA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3029585</wp:posOffset>
                </wp:positionH>
                <wp:positionV relativeFrom="paragraph">
                  <wp:posOffset>228600</wp:posOffset>
                </wp:positionV>
                <wp:extent cx="2275205" cy="335915"/>
                <wp:effectExtent l="12700" t="12700" r="17145" b="13335"/>
                <wp:wrapNone/>
                <wp:docPr id="47" name="矩形 47"/>
                <wp:cNvGraphicFramePr/>
                <a:graphic xmlns:a="http://schemas.openxmlformats.org/drawingml/2006/main">
                  <a:graphicData uri="http://schemas.microsoft.com/office/word/2010/wordprocessingShape">
                    <wps:wsp>
                      <wps:cNvSpPr/>
                      <wps:spPr>
                        <a:xfrm>
                          <a:off x="0" y="0"/>
                          <a:ext cx="2275205" cy="335915"/>
                        </a:xfrm>
                        <a:prstGeom prst="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业务发展部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55pt;margin-top:18pt;height:26.45pt;width:179.15pt;z-index:251716608;v-text-anchor:middle;mso-width-relative:page;mso-height-relative:page;" fillcolor="#FFFFFF" filled="t" stroked="t" coordsize="21600,21600" o:gfxdata="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uMrnB2QAAAAkBAAAPAAAAAAAAAAEAIAAAACIAAABkcnMvZG93&#10;bnJldi54bWxQSwECFAAUAAAACACHTuJAbyt3FnECAAD4BAAADgAAAAAAAAABACAAAAAoAQAAZHJz&#10;L2Uyb0RvYy54bWxQSwUGAAAAAAYABgBZAQAACwY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业务发展部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1435100</wp:posOffset>
                </wp:positionH>
                <wp:positionV relativeFrom="paragraph">
                  <wp:posOffset>280670</wp:posOffset>
                </wp:positionV>
                <wp:extent cx="400050" cy="3175"/>
                <wp:effectExtent l="0" t="35560" r="0" b="37465"/>
                <wp:wrapNone/>
                <wp:docPr id="72" name="直接箭头连接符 72"/>
                <wp:cNvGraphicFramePr/>
                <a:graphic xmlns:a="http://schemas.openxmlformats.org/drawingml/2006/main">
                  <a:graphicData uri="http://schemas.microsoft.com/office/word/2010/wordprocessingShape">
                    <wps:wsp>
                      <wps:cNvCnPr>
                        <a:endCxn id="71" idx="3"/>
                      </wps:cNvCnPr>
                      <wps:spPr>
                        <a:xfrm flipH="1">
                          <a:off x="0" y="0"/>
                          <a:ext cx="400050"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113pt;margin-top:22.1pt;height:0.25pt;width:31.5pt;z-index:251732992;mso-width-relative:page;mso-height-relative:page;" filled="f" stroked="t" coordsize="21600,21600" o:gfxdata="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KOsStgAAAAJAQAADwAAAAAAAAABACAAAAAiAAAAZHJz&#10;L2Rvd25yZXYueG1sUEsBAhQAFAAAAAgAh07iQAyoJCo9AgAAWQQAAA4AAAAAAAAAAQAgAAAAJwEA&#10;AGRycy9lMm9Eb2MueG1sUEsFBgAAAAAGAAYAWQEAANY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-629285</wp:posOffset>
                </wp:positionH>
                <wp:positionV relativeFrom="paragraph">
                  <wp:posOffset>121920</wp:posOffset>
                </wp:positionV>
                <wp:extent cx="2064385" cy="323215"/>
                <wp:effectExtent l="12700" t="12700" r="18415" b="26035"/>
                <wp:wrapNone/>
                <wp:docPr id="71" name="矩形 71"/>
                <wp:cNvGraphicFramePr/>
                <a:graphic xmlns:a="http://schemas.openxmlformats.org/drawingml/2006/main">
                  <a:graphicData uri="http://schemas.microsoft.com/office/word/2010/wordprocessingShape">
                    <wps:wsp>
                      <wps:cNvSpPr/>
                      <wps:spPr>
                        <a:xfrm>
                          <a:off x="0" y="0"/>
                          <a:ext cx="2064385" cy="323215"/>
                        </a:xfrm>
                        <a:prstGeom prst="rect">
                          <a:avLst/>
                        </a:prstGeom>
                        <a:solidFill>
                          <a:srgbClr val="FFFFFF"/>
                        </a:solidFill>
                        <a:ln w="25400" cap="flat" cmpd="sng" algn="ctr">
                          <a:solidFill>
                            <a:srgbClr val="000000"/>
                          </a:solidFill>
                          <a:prstDash val="solid"/>
                        </a:ln>
                        <a:effectLst/>
                      </wps:spPr>
                      <wps:txbx>
                        <w:txbxContent>
                          <w:p>
                            <w:pPr>
                              <w:jc w:val="left"/>
                              <w:rPr>
                                <w:color w:val="000000"/>
                                <w:sz w:val="24"/>
                                <w:szCs w:val="24"/>
                              </w:rPr>
                            </w:pPr>
                            <w:r>
                              <w:rPr>
                                <w:rFonts w:hint="eastAsia"/>
                                <w:color w:val="000000"/>
                                <w:lang w:val="en-US" w:eastAsia="zh-CN"/>
                              </w:rPr>
                              <w:t xml:space="preserve">    </w:t>
                            </w:r>
                            <w:r>
                              <w:rPr>
                                <w:rFonts w:hint="eastAsia"/>
                                <w:color w:val="000000"/>
                                <w:sz w:val="24"/>
                                <w:szCs w:val="24"/>
                              </w:rPr>
                              <w:t>利率定价委员会</w:t>
                            </w:r>
                          </w:p>
                          <w:p>
                            <w:pPr>
                              <w:pStyle w:val="15"/>
                              <w:ind w:left="0" w:leftChars="0" w:firstLine="0" w:firstLineChars="0"/>
                              <w:rPr>
                                <w:rFonts w:hint="eastAsia"/>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55pt;margin-top:9.6pt;height:25.45pt;width:162.55pt;z-index:251731968;v-text-anchor:middle;mso-width-relative:page;mso-height-relative:page;" fillcolor="#FFFFFF" filled="t" stroked="t" coordsize="21600,21600" o:gfxdata="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W/HF1gAAAAkBAAAPAAAAAAAAAAEAIAAAACIAAABkcnMvZG93bnJl&#10;di54bWxQSwECFAAUAAAACACHTuJAoDFvA3ECAAD4BAAADgAAAAAAAAABACAAAAAlAQAAZHJzL2Uy&#10;b0RvYy54bWxQSwUGAAAAAAYABgBZAQAACAYAAAAA&#10;">
                <v:fill on="t" focussize="0,0"/>
                <v:stroke weight="2pt" color="#000000" joinstyle="round"/>
                <v:imagedata o:title=""/>
                <o:lock v:ext="edit" aspectratio="f"/>
                <v:textbox>
                  <w:txbxContent>
                    <w:p>
                      <w:pPr>
                        <w:jc w:val="left"/>
                        <w:rPr>
                          <w:color w:val="000000"/>
                          <w:sz w:val="24"/>
                          <w:szCs w:val="24"/>
                        </w:rPr>
                      </w:pPr>
                      <w:r>
                        <w:rPr>
                          <w:rFonts w:hint="eastAsia"/>
                          <w:color w:val="000000"/>
                          <w:lang w:val="en-US" w:eastAsia="zh-CN"/>
                        </w:rPr>
                        <w:t xml:space="preserve">    </w:t>
                      </w:r>
                      <w:r>
                        <w:rPr>
                          <w:rFonts w:hint="eastAsia"/>
                          <w:color w:val="000000"/>
                          <w:sz w:val="24"/>
                          <w:szCs w:val="24"/>
                        </w:rPr>
                        <w:t>利率定价委员会</w:t>
                      </w:r>
                    </w:p>
                    <w:p>
                      <w:pPr>
                        <w:pStyle w:val="15"/>
                        <w:ind w:left="0" w:leftChars="0" w:firstLine="0" w:firstLineChars="0"/>
                        <w:rPr>
                          <w:rFonts w:hint="eastAsia"/>
                          <w:color w:val="000000"/>
                        </w:rPr>
                      </w:pPr>
                    </w:p>
                  </w:txbxContent>
                </v:textbox>
              </v: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2547620</wp:posOffset>
                </wp:positionH>
                <wp:positionV relativeFrom="paragraph">
                  <wp:posOffset>21590</wp:posOffset>
                </wp:positionV>
                <wp:extent cx="426720" cy="6350"/>
                <wp:effectExtent l="0" t="36830" r="11430" b="33020"/>
                <wp:wrapNone/>
                <wp:docPr id="76" name="直接箭头连接符 76"/>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6pt;margin-top:1.7pt;height:0.5pt;width:33.6pt;z-index:251750400;mso-width-relative:page;mso-height-relative:page;" filled="f" stroked="t" coordsize="21600,21600" o:gfxdata="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33PLt1gAAAAcBAAAPAAAAAAAAAAEAIAAAACIAAABkcnMvZG93bnJldi54bWxQSwECFAAU&#10;AAAACACHTuJAXL2YqSwCAAAxBAAADgAAAAAAAAABACAAAAAlAQAAZHJzL2Uyb0RvYy54bWxQSwUG&#10;AAAAAAYABgBZAQAAww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3021965</wp:posOffset>
                </wp:positionH>
                <wp:positionV relativeFrom="paragraph">
                  <wp:posOffset>270510</wp:posOffset>
                </wp:positionV>
                <wp:extent cx="2294255" cy="323850"/>
                <wp:effectExtent l="12700" t="12700" r="17145" b="25400"/>
                <wp:wrapNone/>
                <wp:docPr id="57" name="矩形 57"/>
                <wp:cNvGraphicFramePr/>
                <a:graphic xmlns:a="http://schemas.openxmlformats.org/drawingml/2006/main">
                  <a:graphicData uri="http://schemas.microsoft.com/office/word/2010/wordprocessingShape">
                    <wps:wsp>
                      <wps:cNvSpPr/>
                      <wps:spPr>
                        <a:xfrm>
                          <a:off x="0" y="0"/>
                          <a:ext cx="2294255" cy="323850"/>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农村金融部</w:t>
                            </w:r>
                          </w:p>
                          <w:p>
                            <w:pPr>
                              <w:jc w:val="center"/>
                              <w:rPr>
                                <w:rFonts w:hint="eastAsia" w:eastAsia="宋体"/>
                                <w:color w:val="000000"/>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95pt;margin-top:21.3pt;height:25.5pt;width:180.65pt;z-index:251717632;v-text-anchor:middle;mso-width-relative:page;mso-height-relative:page;" fillcolor="#FFFFFF" filled="t" stroked="t" coordsize="21600,21600" o:gfxdata="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zUGjfZAAAACQEAAA8AAAAAAAAAAQAgAAAAIgAAAGRycy9k&#10;b3ducmV2LnhtbFBLAQIUABQAAAAIAIdO4kA/3v5RcwIAAPgEAAAOAAAAAAAAAAEAIAAAACgBAABk&#10;cnMvZTJvRG9jLnhtbFBLBQYAAAAABgAGAFkBAAANBgAAAAA=&#10;">
                <v:fill on="t" focussize="0,0"/>
                <v:stroke weight="2pt" color="#000000" joinstyle="round"/>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农村金融部</w:t>
                      </w:r>
                    </w:p>
                    <w:p>
                      <w:pPr>
                        <w:jc w:val="center"/>
                        <w:rPr>
                          <w:rFonts w:hint="eastAsia" w:eastAsia="宋体"/>
                          <w:color w:val="000000"/>
                          <w:lang w:eastAsia="zh-CN"/>
                        </w:rPr>
                      </w:pPr>
                    </w:p>
                  </w:txbxContent>
                </v:textbox>
              </v:rect>
            </w:pict>
          </mc:Fallback>
        </mc:AlternateContent>
      </w: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-626110</wp:posOffset>
                </wp:positionH>
                <wp:positionV relativeFrom="paragraph">
                  <wp:posOffset>148590</wp:posOffset>
                </wp:positionV>
                <wp:extent cx="2064385" cy="339090"/>
                <wp:effectExtent l="12700" t="12700" r="18415" b="29210"/>
                <wp:wrapNone/>
                <wp:docPr id="87" name="矩形 87"/>
                <wp:cNvGraphicFramePr/>
                <a:graphic xmlns:a="http://schemas.openxmlformats.org/drawingml/2006/main">
                  <a:graphicData uri="http://schemas.microsoft.com/office/word/2010/wordprocessingShape">
                    <wps:wsp>
                      <wps:cNvSpPr/>
                      <wps:spPr>
                        <a:xfrm>
                          <a:off x="0" y="0"/>
                          <a:ext cx="2064385" cy="339090"/>
                        </a:xfrm>
                        <a:prstGeom prst="rect">
                          <a:avLst/>
                        </a:prstGeom>
                        <a:solidFill>
                          <a:srgbClr val="FFFFFF"/>
                        </a:solidFill>
                        <a:ln w="25400" cap="flat" cmpd="sng" algn="ctr">
                          <a:solidFill>
                            <a:srgbClr val="000000"/>
                          </a:solidFill>
                          <a:prstDash val="solid"/>
                        </a:ln>
                        <a:effectLst/>
                      </wps:spPr>
                      <wps:txbx>
                        <w:txbxContent>
                          <w:p>
                            <w:pPr>
                              <w:jc w:val="center"/>
                              <w:rPr>
                                <w:color w:val="000000"/>
                                <w:sz w:val="24"/>
                                <w:szCs w:val="24"/>
                              </w:rPr>
                            </w:pPr>
                            <w:r>
                              <w:rPr>
                                <w:rFonts w:hint="eastAsia"/>
                                <w:color w:val="000000"/>
                                <w:sz w:val="24"/>
                                <w:szCs w:val="24"/>
                              </w:rPr>
                              <w:t>薪酬管理委员会</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pt;margin-top:11.7pt;height:26.7pt;width:162.55pt;z-index:251704320;v-text-anchor:middle;mso-width-relative:page;mso-height-relative:page;" fillcolor="#FFFFFF" filled="t" stroked="t" coordsize="21600,21600" o:gfxdata="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dgNZ9gAAAAJAQAADwAAAAAAAAABACAAAAAiAAAAZHJzL2Rv&#10;d25yZXYueG1sUEsBAhQAFAAAAAgAh07iQHsv5BtzAgAA+AQAAA4AAAAAAAAAAQAgAAAAJwEAAGRy&#10;cy9lMm9Eb2MueG1sUEsFBgAAAAAGAAYAWQEAAAwGAAAAAA==&#10;">
                <v:fill on="t" focussize="0,0"/>
                <v:stroke weight="2pt" color="#000000" joinstyle="round"/>
                <v:imagedata o:title=""/>
                <o:lock v:ext="edit" aspectratio="f"/>
                <v:textbox>
                  <w:txbxContent>
                    <w:p>
                      <w:pPr>
                        <w:jc w:val="center"/>
                        <w:rPr>
                          <w:color w:val="000000"/>
                          <w:sz w:val="24"/>
                          <w:szCs w:val="24"/>
                        </w:rPr>
                      </w:pPr>
                      <w:r>
                        <w:rPr>
                          <w:rFonts w:hint="eastAsia"/>
                          <w:color w:val="000000"/>
                          <w:sz w:val="24"/>
                          <w:szCs w:val="24"/>
                        </w:rPr>
                        <w:t>薪酬管理委员会</w:t>
                      </w:r>
                    </w:p>
                    <w:p/>
                  </w:txbxContent>
                </v:textbox>
              </v:rect>
            </w:pict>
          </mc:Fallback>
        </mc:AlternateContent>
      </w: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1443355</wp:posOffset>
                </wp:positionH>
                <wp:positionV relativeFrom="paragraph">
                  <wp:posOffset>325755</wp:posOffset>
                </wp:positionV>
                <wp:extent cx="398780" cy="5715"/>
                <wp:effectExtent l="0" t="33655" r="1270" b="36830"/>
                <wp:wrapNone/>
                <wp:docPr id="55" name="直接箭头连接符 55"/>
                <wp:cNvGraphicFramePr/>
                <a:graphic xmlns:a="http://schemas.openxmlformats.org/drawingml/2006/main">
                  <a:graphicData uri="http://schemas.microsoft.com/office/word/2010/wordprocessingShape">
                    <wps:wsp>
                      <wps:cNvCnPr/>
                      <wps:spPr>
                        <a:xfrm flipH="1">
                          <a:off x="0" y="0"/>
                          <a:ext cx="398780" cy="5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113.65pt;margin-top:25.65pt;height:0.45pt;width:31.4pt;z-index:251714560;mso-width-relative:page;mso-height-relative:page;" filled="f" stroked="t" coordsize="21600,21600" o:gfxdata="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O/7RdgAAAAJAQAADwAAAAAAAAABACAAAAAiAAAAZHJzL2Rvd25yZXYueG1sUEsBAhQA&#10;FAAAAAgAh07iQDbuIuArAgAAMQQAAA4AAAAAAAAAAQAgAAAAJwEAAGRycy9lMm9Eb2MueG1sUEsF&#10;BgAAAAAGAAYAWQEAAMQFA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2548255</wp:posOffset>
                </wp:positionH>
                <wp:positionV relativeFrom="paragraph">
                  <wp:posOffset>83820</wp:posOffset>
                </wp:positionV>
                <wp:extent cx="426720" cy="6350"/>
                <wp:effectExtent l="0" t="36830" r="11430" b="33020"/>
                <wp:wrapNone/>
                <wp:docPr id="77" name="直接箭头连接符 77"/>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65pt;margin-top:6.6pt;height:0.5pt;width:33.6pt;z-index:251751424;mso-width-relative:page;mso-height-relative:page;" filled="f" stroked="t" coordsize="21600,21600" o:gfxdata="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qFBFLYAAAACQEAAA8AAAAAAAAAAQAgAAAAIgAAAGRycy9kb3ducmV2LnhtbFBLAQIU&#10;ABQAAAAIAIdO4kC9pIqt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3028315</wp:posOffset>
                </wp:positionH>
                <wp:positionV relativeFrom="paragraph">
                  <wp:posOffset>353060</wp:posOffset>
                </wp:positionV>
                <wp:extent cx="2275205" cy="330200"/>
                <wp:effectExtent l="12700" t="12700" r="17145" b="19050"/>
                <wp:wrapNone/>
                <wp:docPr id="63" name="矩形 63"/>
                <wp:cNvGraphicFramePr/>
                <a:graphic xmlns:a="http://schemas.openxmlformats.org/drawingml/2006/main">
                  <a:graphicData uri="http://schemas.microsoft.com/office/word/2010/wordprocessingShape">
                    <wps:wsp>
                      <wps:cNvSpPr/>
                      <wps:spPr>
                        <a:xfrm>
                          <a:off x="0" y="0"/>
                          <a:ext cx="2275205" cy="330200"/>
                        </a:xfrm>
                        <a:prstGeom prst="rect">
                          <a:avLst/>
                        </a:prstGeom>
                        <a:solidFill>
                          <a:srgbClr val="FFFFFF"/>
                        </a:solidFill>
                        <a:ln w="25400" cap="flat" cmpd="sng" algn="ctr">
                          <a:solidFill>
                            <a:srgbClr val="000000"/>
                          </a:solidFill>
                          <a:prstDash val="solid"/>
                        </a:ln>
                        <a:effectLst/>
                      </wps:spPr>
                      <wps:txbx>
                        <w:txbxContent>
                          <w:p>
                            <w:pPr>
                              <w:ind w:firstLine="960" w:firstLineChars="400"/>
                              <w:rPr>
                                <w:rFonts w:hint="eastAsia"/>
                                <w:sz w:val="24"/>
                                <w:szCs w:val="24"/>
                                <w:lang w:eastAsia="zh-CN"/>
                              </w:rPr>
                            </w:pPr>
                            <w:r>
                              <w:rPr>
                                <w:rFonts w:hint="eastAsia"/>
                                <w:color w:val="000000"/>
                                <w:sz w:val="24"/>
                                <w:szCs w:val="24"/>
                                <w:lang w:eastAsia="zh-CN"/>
                              </w:rPr>
                              <w:t>金融市场部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45pt;margin-top:27.8pt;height:26pt;width:179.15pt;z-index:251720704;v-text-anchor:middle;mso-width-relative:page;mso-height-relative:page;" fillcolor="#FFFFFF" filled="t" stroked="t" coordsize="21600,21600" o:gfxdata="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fICyjZAAAACgEAAA8AAAAAAAAAAQAgAAAAIgAAAGRycy9kb3du&#10;cmV2LnhtbFBLAQIUABQAAAAIAIdO4kAtoJXucAIAAPgEAAAOAAAAAAAAAAEAIAAAACgBAABkcnMv&#10;ZTJvRG9jLnhtbFBLBQYAAAAABgAGAFkBAAAKBgAAAAA=&#10;">
                <v:fill on="t" focussize="0,0"/>
                <v:stroke weight="2pt" color="#000000" joinstyle="round"/>
                <v:imagedata o:title=""/>
                <o:lock v:ext="edit" aspectratio="f"/>
                <v:textbox>
                  <w:txbxContent>
                    <w:p>
                      <w:pPr>
                        <w:ind w:firstLine="960" w:firstLineChars="400"/>
                        <w:rPr>
                          <w:rFonts w:hint="eastAsia"/>
                          <w:sz w:val="24"/>
                          <w:szCs w:val="24"/>
                          <w:lang w:eastAsia="zh-CN"/>
                        </w:rPr>
                      </w:pPr>
                      <w:r>
                        <w:rPr>
                          <w:rFonts w:hint="eastAsia"/>
                          <w:color w:val="000000"/>
                          <w:sz w:val="24"/>
                          <w:szCs w:val="24"/>
                          <w:lang w:eastAsia="zh-CN"/>
                        </w:rPr>
                        <w:t>金融市场部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-623570</wp:posOffset>
                </wp:positionH>
                <wp:positionV relativeFrom="paragraph">
                  <wp:posOffset>212725</wp:posOffset>
                </wp:positionV>
                <wp:extent cx="2056765" cy="316865"/>
                <wp:effectExtent l="12700" t="12700" r="26035" b="13335"/>
                <wp:wrapNone/>
                <wp:docPr id="88" name="矩形 88"/>
                <wp:cNvGraphicFramePr/>
                <a:graphic xmlns:a="http://schemas.openxmlformats.org/drawingml/2006/main">
                  <a:graphicData uri="http://schemas.microsoft.com/office/word/2010/wordprocessingShape">
                    <wps:wsp>
                      <wps:cNvSpPr/>
                      <wps:spPr>
                        <a:xfrm>
                          <a:off x="0" y="0"/>
                          <a:ext cx="2056765" cy="316865"/>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仿宋_GB2312"/>
                                <w:color w:val="000000"/>
                                <w:sz w:val="24"/>
                                <w:szCs w:val="24"/>
                                <w:lang w:eastAsia="zh-CN"/>
                              </w:rPr>
                            </w:pPr>
                            <w:r>
                              <w:rPr>
                                <w:rFonts w:hint="eastAsia"/>
                                <w:color w:val="000000"/>
                                <w:sz w:val="24"/>
                                <w:szCs w:val="24"/>
                                <w:lang w:eastAsia="zh-CN"/>
                              </w:rPr>
                              <w:t>基建管理委员会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1pt;margin-top:16.75pt;height:24.95pt;width:161.95pt;z-index:251705344;v-text-anchor:middle;mso-width-relative:page;mso-height-relative:page;" fillcolor="#FFFFFF" filled="t" stroked="t" coordsize="21600,21600" o:gfxdata="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xbsWP2QAAAAkBAAAPAAAAAAAAAAEAIAAAACIAAABkcnMvZG93&#10;bnJldi54bWxQSwECFAAUAAAACACHTuJAEECnvnECAAD4BAAADgAAAAAAAAABACAAAAAoAQAAZHJz&#10;L2Uyb0RvYy54bWxQSwUGAAAAAAYABgBZAQAACwYAAAAA&#10;">
                <v:fill on="t" focussize="0,0"/>
                <v:stroke weight="2pt" color="#000000" joinstyle="round"/>
                <v:imagedata o:title=""/>
                <o:lock v:ext="edit" aspectratio="f"/>
                <v:textbox>
                  <w:txbxContent>
                    <w:p>
                      <w:pPr>
                        <w:jc w:val="center"/>
                        <w:rPr>
                          <w:rFonts w:hint="eastAsia" w:eastAsia="仿宋_GB2312"/>
                          <w:color w:val="000000"/>
                          <w:sz w:val="24"/>
                          <w:szCs w:val="24"/>
                          <w:lang w:eastAsia="zh-CN"/>
                        </w:rPr>
                      </w:pPr>
                      <w:r>
                        <w:rPr>
                          <w:rFonts w:hint="eastAsia"/>
                          <w:color w:val="000000"/>
                          <w:sz w:val="24"/>
                          <w:szCs w:val="24"/>
                          <w:lang w:eastAsia="zh-CN"/>
                        </w:rPr>
                        <w:t>基建管理委员会</w:t>
                      </w:r>
                    </w:p>
                  </w:txbxContent>
                </v:textbox>
              </v:rect>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2555240</wp:posOffset>
                </wp:positionH>
                <wp:positionV relativeFrom="paragraph">
                  <wp:posOffset>182245</wp:posOffset>
                </wp:positionV>
                <wp:extent cx="426720" cy="6350"/>
                <wp:effectExtent l="0" t="36830" r="11430" b="33020"/>
                <wp:wrapNone/>
                <wp:docPr id="78" name="直接箭头连接符 78"/>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1.2pt;margin-top:14.35pt;height:0.5pt;width:33.6pt;z-index:251752448;mso-width-relative:page;mso-height-relative:page;" filled="f" stroked="t" coordsize="21600,21600" o:gfxdata="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lfyc2QAAAAkBAAAPAAAAAAAAAAEAIAAAACIAAABkcnMvZG93bnJldi54bWxQSwEC&#10;FAAUAAAACACHTuJAEiZkkSwCAAAxBAAADgAAAAAAAAABACAAAAAoAQAAZHJzL2Uyb0RvYy54bWxQ&#10;SwUGAAAAAAYABgBZAQAAxg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-621665</wp:posOffset>
                </wp:positionH>
                <wp:positionV relativeFrom="paragraph">
                  <wp:posOffset>283210</wp:posOffset>
                </wp:positionV>
                <wp:extent cx="2063115" cy="370840"/>
                <wp:effectExtent l="12700" t="12700" r="19685" b="16510"/>
                <wp:wrapNone/>
                <wp:docPr id="64" name="矩形 64"/>
                <wp:cNvGraphicFramePr/>
                <a:graphic xmlns:a="http://schemas.openxmlformats.org/drawingml/2006/main">
                  <a:graphicData uri="http://schemas.microsoft.com/office/word/2010/wordprocessingShape">
                    <wps:wsp>
                      <wps:cNvSpPr/>
                      <wps:spPr>
                        <a:xfrm>
                          <a:off x="0" y="0"/>
                          <a:ext cx="2063115" cy="37084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业务连续性管理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95pt;margin-top:22.3pt;height:29.2pt;width:162.45pt;z-index:251711488;v-text-anchor:middle;mso-width-relative:page;mso-height-relative:page;" fillcolor="#FFFFFF" filled="t" stroked="t" coordsize="21600,21600" o:gfxdata="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17449gAAAAKAQAADwAAAAAAAAABACAAAAAiAAAAZHJzL2Rv&#10;d25yZXYueG1sUEsBAhQAFAAAAAgAh07iQOOiNZdzAgAA+AQAAA4AAAAAAAAAAQAgAAAAJwEAAGRy&#10;cy9lMm9Eb2MueG1sUEsFBgAAAAAGAAYAWQEAAAwGA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业务连续性管理</w:t>
                      </w:r>
                      <w:r>
                        <w:rPr>
                          <w:rFonts w:hint="eastAsia"/>
                          <w:color w:val="000000"/>
                          <w:sz w:val="24"/>
                          <w:szCs w:val="24"/>
                        </w:rPr>
                        <w:t>委员会</w:t>
                      </w:r>
                    </w:p>
                  </w:txbxContent>
                </v:textbox>
              </v:rect>
            </w:pict>
          </mc:Fallback>
        </mc:AlternateContent>
      </w: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1448435</wp:posOffset>
                </wp:positionH>
                <wp:positionV relativeFrom="paragraph">
                  <wp:posOffset>35560</wp:posOffset>
                </wp:positionV>
                <wp:extent cx="413385" cy="2540"/>
                <wp:effectExtent l="0" t="37465" r="5715" b="36195"/>
                <wp:wrapNone/>
                <wp:docPr id="56" name="直接箭头连接符 56"/>
                <wp:cNvGraphicFramePr/>
                <a:graphic xmlns:a="http://schemas.openxmlformats.org/drawingml/2006/main">
                  <a:graphicData uri="http://schemas.microsoft.com/office/word/2010/wordprocessingShape">
                    <wps:wsp>
                      <wps:cNvCnPr/>
                      <wps:spPr>
                        <a:xfrm flipH="1" flipV="1">
                          <a:off x="0" y="0"/>
                          <a:ext cx="413385" cy="254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05pt;margin-top:2.8pt;height:0.2pt;width:32.55pt;z-index:251715584;mso-width-relative:page;mso-height-relative:page;" filled="f" stroked="t" coordsize="21600,21600" o:gfxdata="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4qYfWAAAABwEAAA8AAAAAAAAAAQAgAAAAIgAAAGRycy9kb3ducmV2LnhtbFBL&#10;AQIUABQAAAAIAIdO4kCInW8nMQIAADsEAAAOAAAAAAAAAAEAIAAAACUBAABkcnMvZTJvRG9jLnht&#10;bFBLBQYAAAAABgAGAFkBAADIBQ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2546350</wp:posOffset>
                </wp:positionH>
                <wp:positionV relativeFrom="paragraph">
                  <wp:posOffset>227965</wp:posOffset>
                </wp:positionV>
                <wp:extent cx="426720" cy="6350"/>
                <wp:effectExtent l="0" t="36830" r="11430" b="33020"/>
                <wp:wrapNone/>
                <wp:docPr id="86" name="直接箭头连接符 86"/>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0.5pt;margin-top:17.95pt;height:0.5pt;width:33.6pt;z-index:251755520;mso-width-relative:page;mso-height-relative:page;" filled="f" stroked="t" coordsize="21600,21600" o:gfxdata="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LrYa2QAAAAkBAAAPAAAAAAAAAAEAIAAAACIAAABkcnMvZG93bnJldi54bWxQSwEC&#10;FAAUAAAACACHTuJAp+3N7ywCAAAxBAAADgAAAAAAAAABACAAAAAoAQAAZHJzL2Uyb0RvYy54bWxQ&#10;SwUGAAAAAAYABgBZAQAAxgU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3008630</wp:posOffset>
                </wp:positionH>
                <wp:positionV relativeFrom="paragraph">
                  <wp:posOffset>57785</wp:posOffset>
                </wp:positionV>
                <wp:extent cx="2292350" cy="346075"/>
                <wp:effectExtent l="12700" t="12700" r="19050" b="22225"/>
                <wp:wrapNone/>
                <wp:docPr id="111" name="矩形 111"/>
                <wp:cNvGraphicFramePr/>
                <a:graphic xmlns:a="http://schemas.openxmlformats.org/drawingml/2006/main">
                  <a:graphicData uri="http://schemas.microsoft.com/office/word/2010/wordprocessingShape">
                    <wps:wsp>
                      <wps:cNvSpPr/>
                      <wps:spPr>
                        <a:xfrm>
                          <a:off x="0" y="0"/>
                          <a:ext cx="2292350" cy="346075"/>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lang w:eastAsia="zh-CN"/>
                              </w:rPr>
                            </w:pPr>
                            <w:r>
                              <w:rPr>
                                <w:rFonts w:hint="eastAsia"/>
                                <w:color w:val="000000"/>
                                <w:sz w:val="24"/>
                                <w:szCs w:val="24"/>
                                <w:lang w:eastAsia="zh-CN"/>
                              </w:rPr>
                              <w:t>合规与风险管理部</w:t>
                            </w:r>
                          </w:p>
                          <w:p>
                            <w:pPr>
                              <w:jc w:val="center"/>
                              <w:rPr>
                                <w:rFonts w:hint="eastAsia" w:eastAsia="宋体"/>
                                <w:color w:val="000000"/>
                                <w:lang w:eastAsia="zh-CN"/>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9pt;margin-top:4.55pt;height:27.25pt;width:180.5pt;z-index:251721728;v-text-anchor:middle;mso-width-relative:page;mso-height-relative:page;" fillcolor="#FFFFFF" filled="t" stroked="t" coordsize="21600,21600" o:gfxdata="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EQ+Ng1wAAAAgBAAAPAAAAAAAAAAEAIAAAACIAAABkcnMvZG93bnJl&#10;di54bWxQSwECFAAUAAAACACHTuJAF5A6wnACAAD6BAAADgAAAAAAAAABACAAAAAmAQAAZHJzL2Uy&#10;b0RvYy54bWxQSwUGAAAAAAYABgBZAQAACAYAAAAA&#10;">
                <v:fill on="t" focussize="0,0"/>
                <v:stroke weight="2pt" color="#000000" joinstyle="round"/>
                <v:imagedata o:title=""/>
                <o:lock v:ext="edit" aspectratio="f"/>
                <v:textbox>
                  <w:txbxContent>
                    <w:p>
                      <w:pPr>
                        <w:jc w:val="center"/>
                        <w:rPr>
                          <w:rFonts w:hint="eastAsia" w:eastAsia="宋体"/>
                          <w:color w:val="000000"/>
                          <w:lang w:eastAsia="zh-CN"/>
                        </w:rPr>
                      </w:pPr>
                      <w:r>
                        <w:rPr>
                          <w:rFonts w:hint="eastAsia"/>
                          <w:color w:val="000000"/>
                          <w:sz w:val="24"/>
                          <w:szCs w:val="24"/>
                          <w:lang w:eastAsia="zh-CN"/>
                        </w:rPr>
                        <w:t>合规与风险管理部</w:t>
                      </w:r>
                    </w:p>
                    <w:p>
                      <w:pPr>
                        <w:jc w:val="center"/>
                        <w:rPr>
                          <w:rFonts w:hint="eastAsia" w:eastAsia="宋体"/>
                          <w:color w:val="000000"/>
                          <w:lang w:eastAsia="zh-CN"/>
                        </w:rPr>
                      </w:pP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1452245</wp:posOffset>
                </wp:positionH>
                <wp:positionV relativeFrom="paragraph">
                  <wp:posOffset>127000</wp:posOffset>
                </wp:positionV>
                <wp:extent cx="409575" cy="9525"/>
                <wp:effectExtent l="0" t="36195" r="9525" b="30480"/>
                <wp:wrapNone/>
                <wp:docPr id="92" name="直接箭头连接符 92"/>
                <wp:cNvGraphicFramePr/>
                <a:graphic xmlns:a="http://schemas.openxmlformats.org/drawingml/2006/main">
                  <a:graphicData uri="http://schemas.microsoft.com/office/word/2010/wordprocessingShape">
                    <wps:wsp>
                      <wps:cNvCnPr/>
                      <wps:spPr>
                        <a:xfrm flipH="1" flipV="1">
                          <a:off x="0" y="0"/>
                          <a:ext cx="409575" cy="952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35pt;margin-top:10pt;height:0.75pt;width:32.25pt;z-index:251718656;mso-width-relative:page;mso-height-relative:page;" filled="f" stroked="t" coordsize="21600,21600" o:gfxdata="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lkDnXAAAACQEAAA8AAAAAAAAAAQAgAAAAIgAAAGRycy9kb3ducmV2LnhtbFBLAQIU&#10;ABQAAAAIAIdO4kCOUirdLQIAADsEAAAOAAAAAAAAAAEAIAAAACYBAABkcnMvZTJvRG9jLnhtbFBL&#10;BQYAAAAABgAGAFkBAADFBQAAAAA=&#10;">
                <v:fill on="f" focussize="0,0"/>
                <v:stroke color="#000000" joinstyle="round" endarrow="block"/>
                <v:imagedata o:title=""/>
                <o:lock v:ext="edit" aspectratio="f"/>
              </v:shape>
            </w:pict>
          </mc:Fallback>
        </mc:AlternateContent>
      </w:r>
    </w:p>
    <w:p>
      <w:pPr>
        <w:keepNext w:val="0"/>
        <w:keepLines w:val="0"/>
        <w:pageBreakBefore w:val="0"/>
        <w:kinsoku/>
        <w:wordWrap/>
        <w:topLinePunct w:val="0"/>
        <w:bidi w:val="0"/>
        <w:spacing w:line="560" w:lineRule="exact"/>
        <w:rPr>
          <w:rFonts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2553970</wp:posOffset>
                </wp:positionH>
                <wp:positionV relativeFrom="paragraph">
                  <wp:posOffset>334010</wp:posOffset>
                </wp:positionV>
                <wp:extent cx="426720" cy="6350"/>
                <wp:effectExtent l="0" t="36830" r="11430" b="33020"/>
                <wp:wrapNone/>
                <wp:docPr id="89" name="直接箭头连接符 89"/>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1.1pt;margin-top:26.3pt;height:0.5pt;width:33.6pt;z-index:251756544;mso-width-relative:page;mso-height-relative:page;" filled="f" stroked="t" coordsize="21600,21600" o:gfxdata="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Dgb0dkAAAAJAQAADwAAAAAAAAABACAAAAAiAAAAZHJzL2Rvd25yZXYueG1sUEsB&#10;AhQAFAAAAAgAh07iQAhvI9MtAgAAMQQAAA4AAAAAAAAAAQAgAAAAKAEAAGRycy9lMm9Eb2MueG1s&#10;UEsFBgAAAAAGAAYAWQEAAMc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3014980</wp:posOffset>
                </wp:positionH>
                <wp:positionV relativeFrom="paragraph">
                  <wp:posOffset>140335</wp:posOffset>
                </wp:positionV>
                <wp:extent cx="2268855" cy="372110"/>
                <wp:effectExtent l="12700" t="12700" r="23495" b="15240"/>
                <wp:wrapNone/>
                <wp:docPr id="105" name="矩形 105"/>
                <wp:cNvGraphicFramePr/>
                <a:graphic xmlns:a="http://schemas.openxmlformats.org/drawingml/2006/main">
                  <a:graphicData uri="http://schemas.microsoft.com/office/word/2010/wordprocessingShape">
                    <wps:wsp>
                      <wps:cNvSpPr/>
                      <wps:spPr>
                        <a:xfrm>
                          <a:off x="0" y="0"/>
                          <a:ext cx="2268855" cy="372110"/>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计划财务部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4pt;margin-top:11.05pt;height:29.3pt;width:178.65pt;z-index:251698176;v-text-anchor:middle;mso-width-relative:page;mso-height-relative:page;" fillcolor="#FFFFFF" filled="t" stroked="t" coordsize="21600,21600" o:gfxdata="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zjaMq1wAAAAkBAAAPAAAAAAAAAAEAIAAAACIAAABkcnMvZG93&#10;bnJldi54bWxQSwECFAAUAAAACACHTuJAnXtftXMCAAD6BAAADgAAAAAAAAABACAAAAAmAQAAZHJz&#10;L2Uyb0RvYy54bWxQSwUGAAAAAAYABgBZAQAACwYAAAAA&#10;">
                <v:fill on="t" focussize="0,0"/>
                <v:stroke weight="2pt" color="#000000" joinstyle="round"/>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计划财务部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1445895</wp:posOffset>
                </wp:positionH>
                <wp:positionV relativeFrom="paragraph">
                  <wp:posOffset>244475</wp:posOffset>
                </wp:positionV>
                <wp:extent cx="426085" cy="7620"/>
                <wp:effectExtent l="0" t="36830" r="12065" b="31750"/>
                <wp:wrapNone/>
                <wp:docPr id="98" name="直接箭头连接符 98"/>
                <wp:cNvGraphicFramePr/>
                <a:graphic xmlns:a="http://schemas.openxmlformats.org/drawingml/2006/main">
                  <a:graphicData uri="http://schemas.microsoft.com/office/word/2010/wordprocessingShape">
                    <wps:wsp>
                      <wps:cNvCnPr/>
                      <wps:spPr>
                        <a:xfrm flipH="1" flipV="1">
                          <a:off x="0" y="0"/>
                          <a:ext cx="426085" cy="76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3.85pt;margin-top:19.25pt;height:0.6pt;width:33.55pt;z-index:251736064;mso-width-relative:page;mso-height-relative:page;" filled="f" stroked="t" coordsize="21600,21600" o:gfxdata="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C9XmjYAAAACQEAAA8AAAAAAAAAAQAgAAAAIgAAAGRycy9kb3ducmV2LnhtbFBL&#10;AQIUABQAAAAIAIdO4kClijhZLwIAADsEAAAOAAAAAAAAAAEAIAAAACcBAABkcnMvZTJvRG9jLnht&#10;bFBLBQYAAAAABgAGAFkBAADI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-615315</wp:posOffset>
                </wp:positionH>
                <wp:positionV relativeFrom="paragraph">
                  <wp:posOffset>48260</wp:posOffset>
                </wp:positionV>
                <wp:extent cx="2054225" cy="374015"/>
                <wp:effectExtent l="12700" t="12700" r="28575" b="13335"/>
                <wp:wrapNone/>
                <wp:docPr id="75" name="矩形 75"/>
                <wp:cNvGraphicFramePr/>
                <a:graphic xmlns:a="http://schemas.openxmlformats.org/drawingml/2006/main">
                  <a:graphicData uri="http://schemas.microsoft.com/office/word/2010/wordprocessingShape">
                    <wps:wsp>
                      <wps:cNvSpPr/>
                      <wps:spPr>
                        <a:xfrm>
                          <a:off x="0" y="0"/>
                          <a:ext cx="2054225" cy="374015"/>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rFonts w:hint="eastAsia"/>
                                <w:color w:val="000000"/>
                                <w:sz w:val="24"/>
                                <w:szCs w:val="24"/>
                                <w:lang w:eastAsia="zh-CN"/>
                              </w:rPr>
                            </w:pPr>
                            <w:r>
                              <w:rPr>
                                <w:rFonts w:hint="eastAsia"/>
                                <w:color w:val="000000"/>
                                <w:sz w:val="24"/>
                                <w:szCs w:val="24"/>
                                <w:lang w:eastAsia="zh-CN"/>
                              </w:rPr>
                              <w:t>集中采购管理委员会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45pt;margin-top:3.8pt;height:29.45pt;width:161.75pt;z-index:251734016;v-text-anchor:middle;mso-width-relative:page;mso-height-relative:page;" fillcolor="#FFFFFF" filled="t" stroked="t" coordsize="21600,21600" o:gfxdata="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Rv06gtYAAAAIAQAADwAAAAAAAAABACAAAAAiAAAAZHJzL2Rvd25y&#10;ZXYueG1sUEsBAhQAFAAAAAgAh07iQK99l2NyAgAA+AQAAA4AAAAAAAAAAQAgAAAAJQEAAGRycy9l&#10;Mm9Eb2MueG1sUEsFBgAAAAAGAAYAWQEAAAkGAAAAAA==&#10;">
                <v:fill on="t" focussize="0,0"/>
                <v:stroke weight="2pt" color="#000000" joinstyle="round"/>
                <v:imagedata o:title=""/>
                <o:lock v:ext="edit" aspectratio="f"/>
                <v:textbox>
                  <w:txbxContent>
                    <w:p>
                      <w:pPr>
                        <w:ind w:left="0" w:leftChars="0" w:firstLine="0" w:firstLineChars="0"/>
                        <w:jc w:val="center"/>
                        <w:rPr>
                          <w:rFonts w:hint="eastAsia"/>
                          <w:color w:val="000000"/>
                          <w:sz w:val="24"/>
                          <w:szCs w:val="24"/>
                          <w:lang w:eastAsia="zh-CN"/>
                        </w:rPr>
                      </w:pPr>
                      <w:r>
                        <w:rPr>
                          <w:rFonts w:hint="eastAsia"/>
                          <w:color w:val="000000"/>
                          <w:sz w:val="24"/>
                          <w:szCs w:val="24"/>
                          <w:lang w:eastAsia="zh-CN"/>
                        </w:rPr>
                        <w:t>集中采购管理委员会</w:t>
                      </w:r>
                    </w:p>
                  </w:txbxContent>
                </v:textbox>
              </v:rect>
            </w:pict>
          </mc:Fallback>
        </mc:AlternateContent>
      </w:r>
    </w:p>
    <w:p>
      <w:pPr>
        <w:keepNext w:val="0"/>
        <w:keepLines w:val="0"/>
        <w:pageBreakBefore w:val="0"/>
        <w:kinsoku/>
        <w:wordWrap/>
        <w:topLinePunct w:val="0"/>
        <w:bidi w:val="0"/>
        <w:spacing w:line="560" w:lineRule="exact"/>
        <w:rPr>
          <w:rFonts w:hint="eastAsia" w:ascii="仿宋" w:hAnsi="仿宋" w:eastAsia="仿宋"/>
          <w:color w:val="auto"/>
          <w:sz w:val="28"/>
          <w:szCs w:val="28"/>
          <w:highlight w:val="none"/>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3004185</wp:posOffset>
                </wp:positionH>
                <wp:positionV relativeFrom="paragraph">
                  <wp:posOffset>247650</wp:posOffset>
                </wp:positionV>
                <wp:extent cx="2305685" cy="361315"/>
                <wp:effectExtent l="12700" t="12700" r="24765" b="26035"/>
                <wp:wrapNone/>
                <wp:docPr id="108" name="矩形 108"/>
                <wp:cNvGraphicFramePr/>
                <a:graphic xmlns:a="http://schemas.openxmlformats.org/drawingml/2006/main">
                  <a:graphicData uri="http://schemas.microsoft.com/office/word/2010/wordprocessingShape">
                    <wps:wsp>
                      <wps:cNvSpPr/>
                      <wps:spPr>
                        <a:xfrm>
                          <a:off x="0" y="0"/>
                          <a:ext cx="2305685" cy="361315"/>
                        </a:xfrm>
                        <a:prstGeom prst="rect">
                          <a:avLst/>
                        </a:prstGeom>
                        <a:solidFill>
                          <a:srgbClr val="FFFFFF"/>
                        </a:solidFill>
                        <a:ln w="25400" cap="flat" cmpd="sng" algn="ctr">
                          <a:solidFill>
                            <a:srgbClr val="000000"/>
                          </a:solidFill>
                          <a:prstDash val="solid"/>
                        </a:ln>
                        <a:effectLst/>
                      </wps:spPr>
                      <wps:txbx>
                        <w:txbxContent>
                          <w:p>
                            <w:pPr>
                              <w:jc w:val="center"/>
                              <w:rPr>
                                <w:rFonts w:hint="eastAsia"/>
                                <w:color w:val="000000"/>
                                <w:lang w:eastAsia="zh-CN"/>
                              </w:rPr>
                            </w:pPr>
                            <w:r>
                              <w:rPr>
                                <w:rFonts w:hint="eastAsia"/>
                                <w:color w:val="000000"/>
                                <w:sz w:val="24"/>
                                <w:szCs w:val="24"/>
                                <w:lang w:eastAsia="zh-CN"/>
                              </w:rPr>
                              <w:t>稽核审计部</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55pt;margin-top:19.5pt;height:28.45pt;width:181.55pt;z-index:251725824;v-text-anchor:middle;mso-width-relative:page;mso-height-relative:page;" fillcolor="#FFFFFF" filled="t" stroked="t" coordsize="21600,21600" o:gfxdata="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vgupd2QAAAAkBAAAPAAAAAAAAAAEAIAAAACIAAABkcnMvZG93&#10;bnJldi54bWxQSwECFAAUAAAACACHTuJA6jmr5XECAAD6BAAADgAAAAAAAAABACAAAAAoAQAAZHJz&#10;L2Uyb0RvYy54bWxQSwUGAAAAAAYABgBZAQAACwYAAAAA&#10;">
                <v:fill on="t" focussize="0,0"/>
                <v:stroke weight="2pt" color="#000000" joinstyle="round"/>
                <v:imagedata o:title=""/>
                <o:lock v:ext="edit" aspectratio="f"/>
                <v:textbox>
                  <w:txbxContent>
                    <w:p>
                      <w:pPr>
                        <w:jc w:val="center"/>
                        <w:rPr>
                          <w:rFonts w:hint="eastAsia"/>
                          <w:color w:val="000000"/>
                          <w:lang w:eastAsia="zh-CN"/>
                        </w:rPr>
                      </w:pPr>
                      <w:r>
                        <w:rPr>
                          <w:rFonts w:hint="eastAsia"/>
                          <w:color w:val="000000"/>
                          <w:sz w:val="24"/>
                          <w:szCs w:val="24"/>
                          <w:lang w:eastAsia="zh-CN"/>
                        </w:rPr>
                        <w:t>稽核审计部</w:t>
                      </w:r>
                    </w:p>
                    <w:p>
                      <w:pP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-609600</wp:posOffset>
                </wp:positionH>
                <wp:positionV relativeFrom="paragraph">
                  <wp:posOffset>189230</wp:posOffset>
                </wp:positionV>
                <wp:extent cx="2032000" cy="360680"/>
                <wp:effectExtent l="12700" t="12700" r="12700" b="26670"/>
                <wp:wrapNone/>
                <wp:docPr id="81" name="矩形 81"/>
                <wp:cNvGraphicFramePr/>
                <a:graphic xmlns:a="http://schemas.openxmlformats.org/drawingml/2006/main">
                  <a:graphicData uri="http://schemas.microsoft.com/office/word/2010/wordprocessingShape">
                    <wps:wsp>
                      <wps:cNvSpPr/>
                      <wps:spPr>
                        <a:xfrm>
                          <a:off x="0" y="0"/>
                          <a:ext cx="2032000" cy="36068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授信审批管理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14.9pt;height:28.4pt;width:160pt;z-index:251712512;v-text-anchor:middle;mso-width-relative:page;mso-height-relative:page;" fillcolor="#FFFFFF" filled="t" stroked="t" coordsize="21600,21600" o:gfxdata="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pqEYtcAAAAJAQAADwAAAAAAAAABACAAAAAiAAAAZHJzL2Rvd25y&#10;ZXYueG1sUEsBAhQAFAAAAAgAh07iQLQRsClxAgAA+AQAAA4AAAAAAAAAAQAgAAAAJgEAAGRycy9l&#10;Mm9Eb2MueG1sUEsFBgAAAAAGAAYAWQEAAAkGA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授信审批管理</w:t>
                      </w:r>
                      <w:r>
                        <w:rPr>
                          <w:rFonts w:hint="eastAsia"/>
                          <w:color w:val="000000"/>
                          <w:sz w:val="24"/>
                          <w:szCs w:val="24"/>
                        </w:rPr>
                        <w:t>委员会</w:t>
                      </w:r>
                    </w:p>
                  </w:txbxContent>
                </v:textbox>
              </v:rect>
            </w:pict>
          </mc:Fallback>
        </mc:AlternateContent>
      </w:r>
    </w:p>
    <w:p>
      <w:pPr>
        <w:pStyle w:val="6"/>
        <w:keepNext w:val="0"/>
        <w:keepLines w:val="0"/>
        <w:pageBreakBefore w:val="0"/>
        <w:widowControl w:val="0"/>
        <w:numPr>
          <w:ilvl w:val="0"/>
          <w:numId w:val="0"/>
        </w:numPr>
        <w:kinsoku/>
        <w:wordWrap/>
        <w:topLinePunct w:val="0"/>
        <w:bidi w:val="0"/>
        <w:spacing w:line="560" w:lineRule="exact"/>
        <w:jc w:val="both"/>
        <w:rPr>
          <w:rFonts w:hint="eastAsia" w:ascii="仿宋" w:hAnsi="仿宋" w:eastAsia="仿宋"/>
          <w:b/>
          <w:color w:val="auto"/>
          <w:sz w:val="32"/>
          <w:szCs w:val="32"/>
          <w:highlight w:val="none"/>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2553970</wp:posOffset>
                </wp:positionH>
                <wp:positionV relativeFrom="paragraph">
                  <wp:posOffset>85090</wp:posOffset>
                </wp:positionV>
                <wp:extent cx="426720" cy="6350"/>
                <wp:effectExtent l="0" t="36830" r="11430" b="33020"/>
                <wp:wrapNone/>
                <wp:docPr id="93" name="直接箭头连接符 93"/>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1.1pt;margin-top:6.7pt;height:0.5pt;width:33.6pt;z-index:251757568;mso-width-relative:page;mso-height-relative:page;" filled="f" stroked="t" coordsize="21600,21600" o:gfxdata="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7ZwnzYAAAACQEAAA8AAAAAAAAAAQAgAAAAIgAAAGRycy9kb3ducmV2LnhtbFBLAQIU&#10;ABQAAAAIAIdO4kA1U54s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1439545</wp:posOffset>
                </wp:positionH>
                <wp:positionV relativeFrom="paragraph">
                  <wp:posOffset>34925</wp:posOffset>
                </wp:positionV>
                <wp:extent cx="426085" cy="7620"/>
                <wp:effectExtent l="0" t="36830" r="12065" b="31750"/>
                <wp:wrapNone/>
                <wp:docPr id="42" name="直接箭头连接符 42"/>
                <wp:cNvGraphicFramePr/>
                <a:graphic xmlns:a="http://schemas.openxmlformats.org/drawingml/2006/main">
                  <a:graphicData uri="http://schemas.microsoft.com/office/word/2010/wordprocessingShape">
                    <wps:wsp>
                      <wps:cNvCnPr/>
                      <wps:spPr>
                        <a:xfrm flipH="1" flipV="1">
                          <a:off x="0" y="0"/>
                          <a:ext cx="426085" cy="762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3.35pt;margin-top:2.75pt;height:0.6pt;width:33.55pt;z-index:251744256;mso-width-relative:page;mso-height-relative:page;" filled="f" stroked="t" coordsize="21600,21600" o:gfxdata="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iwRWrXAAAABwEAAA8AAAAAAAAAAQAgAAAAIgAAAGRycy9kb3ducmV2LnhtbFBL&#10;AQIUABQAAAAIAIdO4kCMZJM+MAIAADsEAAAOAAAAAAAAAAEAIAAAACYBAABkcnMvZTJvRG9jLnht&#10;bFBLBQYAAAAABgAGAFkBAADIBQAAAAA=&#10;">
                <v:fill on="f" focussize="0,0"/>
                <v:stroke color="#000000" joinstyle="round" endarrow="block"/>
                <v:imagedata o:title=""/>
                <o:lock v:ext="edit" aspectratio="f"/>
              </v:shape>
            </w:pict>
          </mc:Fallback>
        </mc:AlternateContent>
      </w:r>
    </w:p>
    <w:p>
      <w:pPr>
        <w:pStyle w:val="6"/>
        <w:keepNext w:val="0"/>
        <w:keepLines w:val="0"/>
        <w:pageBreakBefore w:val="0"/>
        <w:widowControl w:val="0"/>
        <w:numPr>
          <w:ilvl w:val="0"/>
          <w:numId w:val="0"/>
        </w:numPr>
        <w:kinsoku/>
        <w:wordWrap/>
        <w:topLinePunct w:val="0"/>
        <w:bidi w:val="0"/>
        <w:spacing w:line="560" w:lineRule="exact"/>
        <w:jc w:val="both"/>
        <w:rPr>
          <w:rFonts w:hint="eastAsia" w:ascii="仿宋" w:hAnsi="仿宋" w:eastAsia="仿宋"/>
          <w:b/>
          <w:color w:val="auto"/>
          <w:sz w:val="32"/>
          <w:szCs w:val="32"/>
          <w:highlight w:val="none"/>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2567940</wp:posOffset>
                </wp:positionH>
                <wp:positionV relativeFrom="paragraph">
                  <wp:posOffset>227330</wp:posOffset>
                </wp:positionV>
                <wp:extent cx="426720" cy="6350"/>
                <wp:effectExtent l="0" t="36830" r="11430" b="33020"/>
                <wp:wrapNone/>
                <wp:docPr id="96" name="直接箭头连接符 96"/>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2.2pt;margin-top:17.9pt;height:0.5pt;width:33.6pt;z-index:251758592;mso-width-relative:page;mso-height-relative:page;" filled="f" stroked="t" coordsize="21600,21600" o:gfxdata="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L+FvtgAAAAJAQAADwAAAAAAAAABACAAAAAiAAAAZHJzL2Rvd25yZXYueG1sUEsBAhQA&#10;FAAAAAgAh07iQFAtxDgrAgAAMQQAAA4AAAAAAAAAAQAgAAAAJwEAAGRycy9lMm9Eb2MueG1sUEsF&#10;BgAAAAAGAAYAWQEAAMQ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3013710</wp:posOffset>
                </wp:positionH>
                <wp:positionV relativeFrom="paragraph">
                  <wp:posOffset>29845</wp:posOffset>
                </wp:positionV>
                <wp:extent cx="2304415" cy="379095"/>
                <wp:effectExtent l="12700" t="12700" r="26035" b="27305"/>
                <wp:wrapNone/>
                <wp:docPr id="107" name="矩形 107"/>
                <wp:cNvGraphicFramePr/>
                <a:graphic xmlns:a="http://schemas.openxmlformats.org/drawingml/2006/main">
                  <a:graphicData uri="http://schemas.microsoft.com/office/word/2010/wordprocessingShape">
                    <wps:wsp>
                      <wps:cNvSpPr/>
                      <wps:spPr>
                        <a:xfrm>
                          <a:off x="0" y="0"/>
                          <a:ext cx="2304415" cy="379095"/>
                        </a:xfrm>
                        <a:prstGeom prst="rect">
                          <a:avLst/>
                        </a:prstGeom>
                        <a:solidFill>
                          <a:srgbClr val="FFFFFF"/>
                        </a:solidFill>
                        <a:ln w="25400" cap="flat" cmpd="sng" algn="ctr">
                          <a:solidFill>
                            <a:srgbClr val="000000"/>
                          </a:solidFill>
                          <a:prstDash val="solid"/>
                        </a:ln>
                        <a:effectLst/>
                      </wps:spPr>
                      <wps:txbx>
                        <w:txbxContent>
                          <w:p>
                            <w:pPr>
                              <w:jc w:val="center"/>
                              <w:rPr>
                                <w:rFonts w:hint="eastAsia"/>
                                <w:color w:val="000000"/>
                                <w:sz w:val="24"/>
                                <w:szCs w:val="24"/>
                                <w:lang w:eastAsia="zh-CN"/>
                              </w:rPr>
                            </w:pPr>
                            <w:r>
                              <w:rPr>
                                <w:rFonts w:hint="eastAsia"/>
                                <w:color w:val="000000"/>
                                <w:sz w:val="24"/>
                                <w:szCs w:val="24"/>
                                <w:lang w:eastAsia="zh-CN"/>
                              </w:rPr>
                              <w:t>安全保卫部</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3pt;margin-top:2.35pt;height:29.85pt;width:181.45pt;z-index:251724800;v-text-anchor:middle;mso-width-relative:page;mso-height-relative:page;" fillcolor="#FFFFFF" filled="t" stroked="t" coordsize="21600,21600" o:gfxdata="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N9igvYAAAACAEAAA8AAAAAAAAAAQAgAAAAIgAAAGRycy9kb3du&#10;cmV2LnhtbFBLAQIUABQAAAAIAIdO4kDG4al+cQIAAPoEAAAOAAAAAAAAAAEAIAAAACcBAABkcnMv&#10;ZTJvRG9jLnhtbFBLBQYAAAAABgAGAFkBAAAKBgAAAAA=&#10;">
                <v:fill on="t" focussize="0,0"/>
                <v:stroke weight="2pt" color="#000000" joinstyle="round"/>
                <v:imagedata o:title=""/>
                <o:lock v:ext="edit" aspectratio="f"/>
                <v:textbox>
                  <w:txbxContent>
                    <w:p>
                      <w:pPr>
                        <w:jc w:val="center"/>
                        <w:rPr>
                          <w:rFonts w:hint="eastAsia"/>
                          <w:color w:val="000000"/>
                          <w:sz w:val="24"/>
                          <w:szCs w:val="24"/>
                          <w:lang w:eastAsia="zh-CN"/>
                        </w:rPr>
                      </w:pPr>
                      <w:r>
                        <w:rPr>
                          <w:rFonts w:hint="eastAsia"/>
                          <w:color w:val="000000"/>
                          <w:sz w:val="24"/>
                          <w:szCs w:val="24"/>
                          <w:lang w:eastAsia="zh-CN"/>
                        </w:rPr>
                        <w:t>安全保卫部</w:t>
                      </w:r>
                    </w:p>
                    <w:p>
                      <w:pPr>
                        <w:jc w:val="cente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-617855</wp:posOffset>
                </wp:positionH>
                <wp:positionV relativeFrom="paragraph">
                  <wp:posOffset>13335</wp:posOffset>
                </wp:positionV>
                <wp:extent cx="2053590" cy="367030"/>
                <wp:effectExtent l="12700" t="12700" r="29210" b="20320"/>
                <wp:wrapNone/>
                <wp:docPr id="115" name="矩形 115"/>
                <wp:cNvGraphicFramePr/>
                <a:graphic xmlns:a="http://schemas.openxmlformats.org/drawingml/2006/main">
                  <a:graphicData uri="http://schemas.microsoft.com/office/word/2010/wordprocessingShape">
                    <wps:wsp>
                      <wps:cNvSpPr/>
                      <wps:spPr>
                        <a:xfrm>
                          <a:off x="0" y="0"/>
                          <a:ext cx="2053590" cy="36703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补充医疗保险管理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5pt;margin-top:1.05pt;height:28.9pt;width:161.7pt;z-index:251708416;v-text-anchor:middle;mso-width-relative:page;mso-height-relative:page;" fillcolor="#FFFFFF" filled="t" stroked="t" coordsize="21600,21600" o:gfxdata="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jU7f01wAAAAgBAAAPAAAAAAAAAAEAIAAAACIAAABkcnMvZG93&#10;bnJldi54bWxQSwECFAAUAAAACACHTuJANiK0gnMCAAD6BAAADgAAAAAAAAABACAAAAAmAQAAZHJz&#10;L2Uyb0RvYy54bWxQSwUGAAAAAAYABgBZAQAACwY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补充医疗保险管理</w:t>
                      </w:r>
                      <w:r>
                        <w:rPr>
                          <w:rFonts w:hint="eastAsia"/>
                          <w:color w:val="000000"/>
                          <w:sz w:val="24"/>
                          <w:szCs w:val="24"/>
                        </w:rPr>
                        <w:t>委员会</w:t>
                      </w:r>
                    </w:p>
                  </w:txbxContent>
                </v:textbox>
              </v:rect>
            </w:pict>
          </mc:Fallback>
        </mc:AlternateContent>
      </w: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1442720</wp:posOffset>
                </wp:positionH>
                <wp:positionV relativeFrom="paragraph">
                  <wp:posOffset>233045</wp:posOffset>
                </wp:positionV>
                <wp:extent cx="429260" cy="0"/>
                <wp:effectExtent l="0" t="38100" r="8890" b="38100"/>
                <wp:wrapNone/>
                <wp:docPr id="94" name="直接箭头连接符 94"/>
                <wp:cNvGraphicFramePr/>
                <a:graphic xmlns:a="http://schemas.openxmlformats.org/drawingml/2006/main">
                  <a:graphicData uri="http://schemas.microsoft.com/office/word/2010/wordprocessingShape">
                    <wps:wsp>
                      <wps:cNvCnPr/>
                      <wps:spPr>
                        <a:xfrm flipH="1">
                          <a:off x="0" y="0"/>
                          <a:ext cx="429260" cy="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margin-left:113.6pt;margin-top:18.35pt;height:0pt;width:33.8pt;z-index:251719680;mso-width-relative:page;mso-height-relative:page;" filled="f" stroked="t" coordsize="21600,21600" o:gfxdata="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vOLU2AAAAAkBAAAPAAAAAAAAAAEAIAAAACIAAABkcnMvZG93bnJldi54bWxQSwECFAAUAAAA&#10;CACHTuJA1BU0GCcCAAAuBAAADgAAAAAAAAABACAAAAAnAQAAZHJzL2Uyb0RvYy54bWxQSwUGAAAA&#10;AAYABgBZAQAAwAUAAAAA&#10;">
                <v:fill on="f" focussize="0,0"/>
                <v:stroke color="#000000" joinstyle="round" endarrow="block"/>
                <v:imagedata o:title=""/>
                <o:lock v:ext="edit" aspectratio="f"/>
              </v:shape>
            </w:pict>
          </mc:Fallback>
        </mc:AlternateContent>
      </w:r>
    </w:p>
    <w:p>
      <w:pPr>
        <w:pStyle w:val="6"/>
        <w:keepNext w:val="0"/>
        <w:keepLines w:val="0"/>
        <w:pageBreakBefore w:val="0"/>
        <w:widowControl w:val="0"/>
        <w:numPr>
          <w:ilvl w:val="0"/>
          <w:numId w:val="0"/>
        </w:numPr>
        <w:kinsoku/>
        <w:wordWrap/>
        <w:topLinePunct w:val="0"/>
        <w:bidi w:val="0"/>
        <w:spacing w:line="560" w:lineRule="exact"/>
        <w:jc w:val="both"/>
        <w:rPr>
          <w:rFonts w:hint="eastAsia" w:ascii="仿宋" w:hAnsi="仿宋" w:eastAsia="仿宋"/>
          <w:b/>
          <w:color w:val="auto"/>
          <w:sz w:val="32"/>
          <w:szCs w:val="32"/>
          <w:highlight w:val="none"/>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3019425</wp:posOffset>
                </wp:positionH>
                <wp:positionV relativeFrom="paragraph">
                  <wp:posOffset>185420</wp:posOffset>
                </wp:positionV>
                <wp:extent cx="2304415" cy="379095"/>
                <wp:effectExtent l="12700" t="12700" r="26035" b="27305"/>
                <wp:wrapNone/>
                <wp:docPr id="79" name="矩形 79"/>
                <wp:cNvGraphicFramePr/>
                <a:graphic xmlns:a="http://schemas.openxmlformats.org/drawingml/2006/main">
                  <a:graphicData uri="http://schemas.microsoft.com/office/word/2010/wordprocessingShape">
                    <wps:wsp>
                      <wps:cNvSpPr/>
                      <wps:spPr>
                        <a:xfrm>
                          <a:off x="0" y="0"/>
                          <a:ext cx="2304415" cy="379095"/>
                        </a:xfrm>
                        <a:prstGeom prst="rect">
                          <a:avLst/>
                        </a:prstGeom>
                        <a:solidFill>
                          <a:srgbClr val="FFFFFF"/>
                        </a:solidFill>
                        <a:ln w="25400" cap="flat" cmpd="sng" algn="ctr">
                          <a:solidFill>
                            <a:srgbClr val="000000"/>
                          </a:solidFill>
                          <a:prstDash val="solid"/>
                        </a:ln>
                        <a:effectLst/>
                      </wps:spPr>
                      <wps:txbx>
                        <w:txbxContent>
                          <w:p>
                            <w:pPr>
                              <w:jc w:val="center"/>
                              <w:rPr>
                                <w:rFonts w:hint="eastAsia"/>
                                <w:lang w:eastAsia="zh-CN"/>
                              </w:rPr>
                            </w:pPr>
                            <w:r>
                              <w:rPr>
                                <w:rFonts w:hint="eastAsia"/>
                                <w:color w:val="000000"/>
                                <w:sz w:val="24"/>
                                <w:szCs w:val="24"/>
                                <w:lang w:eastAsia="zh-CN"/>
                              </w:rPr>
                              <w:t>营业部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75pt;margin-top:14.6pt;height:29.85pt;width:181.45pt;z-index:251753472;v-text-anchor:middle;mso-width-relative:page;mso-height-relative:page;" fillcolor="#FFFFFF" filled="t" stroked="t" coordsize="21600,21600" o:gfxdata="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byBWvYAAAACQEAAA8AAAAAAAAAAQAgAAAAIgAAAGRycy9kb3du&#10;cmV2LnhtbFBLAQIUABQAAAAIAIdO4kBnxAYpcQIAAPgEAAAOAAAAAAAAAAEAIAAAACcBAABkcnMv&#10;ZTJvRG9jLnhtbFBLBQYAAAAABgAGAFkBAAAKBgAAAAA=&#10;">
                <v:fill on="t" focussize="0,0"/>
                <v:stroke weight="2pt" color="#000000" joinstyle="round"/>
                <v:imagedata o:title=""/>
                <o:lock v:ext="edit" aspectratio="f"/>
                <v:textbox>
                  <w:txbxContent>
                    <w:p>
                      <w:pPr>
                        <w:jc w:val="center"/>
                        <w:rPr>
                          <w:rFonts w:hint="eastAsia"/>
                          <w:lang w:eastAsia="zh-CN"/>
                        </w:rPr>
                      </w:pPr>
                      <w:r>
                        <w:rPr>
                          <w:rFonts w:hint="eastAsia"/>
                          <w:color w:val="000000"/>
                          <w:sz w:val="24"/>
                          <w:szCs w:val="24"/>
                          <w:lang w:eastAsia="zh-CN"/>
                        </w:rPr>
                        <w:t>营业部</w:t>
                      </w:r>
                    </w:p>
                  </w:txbxContent>
                </v:textbox>
              </v:rect>
            </w:pict>
          </mc:Fallback>
        </mc:AlternateContent>
      </w: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-621665</wp:posOffset>
                </wp:positionH>
                <wp:positionV relativeFrom="paragraph">
                  <wp:posOffset>210185</wp:posOffset>
                </wp:positionV>
                <wp:extent cx="2044700" cy="372745"/>
                <wp:effectExtent l="12700" t="12700" r="19050" b="14605"/>
                <wp:wrapNone/>
                <wp:docPr id="80" name="矩形 80"/>
                <wp:cNvGraphicFramePr/>
                <a:graphic xmlns:a="http://schemas.openxmlformats.org/drawingml/2006/main">
                  <a:graphicData uri="http://schemas.microsoft.com/office/word/2010/wordprocessingShape">
                    <wps:wsp>
                      <wps:cNvSpPr/>
                      <wps:spPr>
                        <a:xfrm>
                          <a:off x="0" y="0"/>
                          <a:ext cx="2044700" cy="372745"/>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流动性风险管理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95pt;margin-top:16.55pt;height:29.35pt;width:161pt;z-index:251735040;v-text-anchor:middle;mso-width-relative:page;mso-height-relative:page;" fillcolor="#FFFFFF" filled="t" stroked="t" coordsize="21600,21600" o:gfxdata="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gqL2AAAAAkBAAAPAAAAAAAAAAEAIAAAACIAAABkcnMvZG93bnJl&#10;di54bWxQSwECFAAUAAAACACHTuJASEOVr28CAAD4BAAADgAAAAAAAAABACAAAAAnAQAAZHJzL2Uy&#10;b0RvYy54bWxQSwUGAAAAAAYABgBZAQAACAY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流动性风险管理</w:t>
                      </w:r>
                      <w:r>
                        <w:rPr>
                          <w:rFonts w:hint="eastAsia"/>
                          <w:color w:val="000000"/>
                          <w:sz w:val="24"/>
                          <w:szCs w:val="24"/>
                        </w:rPr>
                        <w:t>委员会</w:t>
                      </w:r>
                    </w:p>
                  </w:txbxContent>
                </v:textbox>
              </v:rect>
            </w:pict>
          </mc:Fallback>
        </mc:AlternateContent>
      </w:r>
    </w:p>
    <w:p>
      <w:pPr>
        <w:pStyle w:val="6"/>
        <w:keepNext w:val="0"/>
        <w:keepLines w:val="0"/>
        <w:pageBreakBefore w:val="0"/>
        <w:widowControl w:val="0"/>
        <w:numPr>
          <w:ilvl w:val="0"/>
          <w:numId w:val="0"/>
        </w:numPr>
        <w:kinsoku/>
        <w:wordWrap/>
        <w:topLinePunct w:val="0"/>
        <w:bidi w:val="0"/>
        <w:spacing w:line="560" w:lineRule="exact"/>
        <w:jc w:val="both"/>
        <w:rPr>
          <w:rFonts w:hint="eastAsia" w:ascii="仿宋" w:hAnsi="仿宋" w:eastAsia="仿宋"/>
          <w:b/>
          <w:color w:val="auto"/>
          <w:sz w:val="32"/>
          <w:szCs w:val="32"/>
          <w:highlight w:val="none"/>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2583180</wp:posOffset>
                </wp:positionH>
                <wp:positionV relativeFrom="paragraph">
                  <wp:posOffset>87630</wp:posOffset>
                </wp:positionV>
                <wp:extent cx="426720" cy="6350"/>
                <wp:effectExtent l="0" t="36830" r="11430" b="33020"/>
                <wp:wrapNone/>
                <wp:docPr id="97" name="直接箭头连接符 97"/>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3.4pt;margin-top:6.9pt;height:0.5pt;width:33.6pt;z-index:251759616;mso-width-relative:page;mso-height-relative:page;" filled="f" stroked="t" coordsize="21600,21600" o:gfxdata="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Zt2+HYAAAACQEAAA8AAAAAAAAAAQAgAAAAIgAAAGRycy9kb3ducmV2LnhtbFBLAQIU&#10;ABQAAAAIAIdO4kCxNNY8LAIAADEEAAAOAAAAAAAAAAEAIAAAACcBAABkcnMvZTJvRG9jLnhtbFBL&#10;BQYAAAAABgAGAFkBAADFBQ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3027045</wp:posOffset>
                </wp:positionH>
                <wp:positionV relativeFrom="paragraph">
                  <wp:posOffset>313690</wp:posOffset>
                </wp:positionV>
                <wp:extent cx="2304415" cy="379095"/>
                <wp:effectExtent l="12700" t="12700" r="26035" b="27305"/>
                <wp:wrapNone/>
                <wp:docPr id="82" name="矩形 82"/>
                <wp:cNvGraphicFramePr/>
                <a:graphic xmlns:a="http://schemas.openxmlformats.org/drawingml/2006/main">
                  <a:graphicData uri="http://schemas.microsoft.com/office/word/2010/wordprocessingShape">
                    <wps:wsp>
                      <wps:cNvSpPr/>
                      <wps:spPr>
                        <a:xfrm>
                          <a:off x="0" y="0"/>
                          <a:ext cx="2304415" cy="379095"/>
                        </a:xfrm>
                        <a:prstGeom prst="rect">
                          <a:avLst/>
                        </a:prstGeom>
                        <a:solidFill>
                          <a:srgbClr val="FFFFFF"/>
                        </a:solidFill>
                        <a:ln w="25400" cap="flat" cmpd="sng" algn="ctr">
                          <a:solidFill>
                            <a:srgbClr val="000000"/>
                          </a:solidFill>
                          <a:prstDash val="solid"/>
                        </a:ln>
                        <a:effectLst/>
                      </wps:spPr>
                      <wps:txbx>
                        <w:txbxContent>
                          <w:p>
                            <w:pPr>
                              <w:jc w:val="center"/>
                              <w:rPr>
                                <w:rFonts w:hint="default"/>
                                <w:color w:val="000000"/>
                                <w:highlight w:val="none"/>
                                <w:lang w:val="en-US" w:eastAsia="zh-CN"/>
                              </w:rPr>
                            </w:pPr>
                            <w:r>
                              <w:rPr>
                                <w:rFonts w:hint="eastAsia"/>
                                <w:color w:val="000000"/>
                                <w:sz w:val="24"/>
                                <w:szCs w:val="24"/>
                                <w:highlight w:val="none"/>
                                <w:lang w:eastAsia="zh-CN"/>
                              </w:rPr>
                              <w:t>三十五个分支机构</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35pt;margin-top:24.7pt;height:29.85pt;width:181.45pt;z-index:251754496;v-text-anchor:middle;mso-width-relative:page;mso-height-relative:page;" fillcolor="#FFFFFF" filled="t" stroked="t" coordsize="21600,21600" o:gfxdata="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60xGf2QAAAAoBAAAPAAAAAAAAAAEAIAAAACIAAABkcnMvZG93&#10;bnJldi54bWxQSwECFAAUAAAACACHTuJA8GI/hXECAAD4BAAADgAAAAAAAAABACAAAAAoAQAAZHJz&#10;L2Uyb0RvYy54bWxQSwUGAAAAAAYABgBZAQAACwYAAAAA&#10;">
                <v:fill on="t" focussize="0,0"/>
                <v:stroke weight="2pt" color="#000000" joinstyle="round"/>
                <v:imagedata o:title=""/>
                <o:lock v:ext="edit" aspectratio="f"/>
                <v:textbox>
                  <w:txbxContent>
                    <w:p>
                      <w:pPr>
                        <w:jc w:val="center"/>
                        <w:rPr>
                          <w:rFonts w:hint="default"/>
                          <w:color w:val="000000"/>
                          <w:highlight w:val="none"/>
                          <w:lang w:val="en-US" w:eastAsia="zh-CN"/>
                        </w:rPr>
                      </w:pPr>
                      <w:r>
                        <w:rPr>
                          <w:rFonts w:hint="eastAsia"/>
                          <w:color w:val="000000"/>
                          <w:sz w:val="24"/>
                          <w:szCs w:val="24"/>
                          <w:highlight w:val="none"/>
                          <w:lang w:eastAsia="zh-CN"/>
                        </w:rPr>
                        <w:t>三十五个分支机构</w:t>
                      </w:r>
                    </w:p>
                    <w:p>
                      <w:pPr>
                        <w:jc w:val="center"/>
                        <w:rPr>
                          <w:rFonts w:hint="eastAsia"/>
                          <w:lang w:eastAsia="zh-CN"/>
                        </w:rPr>
                      </w:pPr>
                    </w:p>
                  </w:txbxContent>
                </v:textbox>
              </v:rect>
            </w:pict>
          </mc:Fallback>
        </mc:AlternateContent>
      </w: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-621665</wp:posOffset>
                </wp:positionH>
                <wp:positionV relativeFrom="paragraph">
                  <wp:posOffset>332105</wp:posOffset>
                </wp:positionV>
                <wp:extent cx="2054225" cy="367030"/>
                <wp:effectExtent l="12700" t="12700" r="28575" b="20320"/>
                <wp:wrapNone/>
                <wp:docPr id="114" name="矩形 114"/>
                <wp:cNvGraphicFramePr/>
                <a:graphic xmlns:a="http://schemas.openxmlformats.org/drawingml/2006/main">
                  <a:graphicData uri="http://schemas.microsoft.com/office/word/2010/wordprocessingShape">
                    <wps:wsp>
                      <wps:cNvSpPr/>
                      <wps:spPr>
                        <a:xfrm>
                          <a:off x="0" y="0"/>
                          <a:ext cx="2054225" cy="36703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养老保障计划管理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95pt;margin-top:26.15pt;height:28.9pt;width:161.75pt;z-index:251709440;v-text-anchor:middle;mso-width-relative:page;mso-height-relative:page;" fillcolor="#FFFFFF" filled="t" stroked="t" coordsize="21600,21600" o:gfxdata="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LmIPzYAAAACgEAAA8AAAAAAAAAAQAgAAAAIgAAAGRycy9k&#10;b3ducmV2LnhtbFBLAQIUABQAAAAIAIdO4kBhNKk8dAIAAPoEAAAOAAAAAAAAAAEAIAAAACcBAABk&#10;cnMvZTJvRG9jLnhtbFBLBQYAAAAABgAGAFkBAAANBg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养老保障计划管理</w:t>
                      </w:r>
                      <w:r>
                        <w:rPr>
                          <w:rFonts w:hint="eastAsia"/>
                          <w:color w:val="000000"/>
                          <w:sz w:val="24"/>
                          <w:szCs w:val="24"/>
                        </w:rPr>
                        <w:t>委员会</w:t>
                      </w:r>
                    </w:p>
                  </w:txbxContent>
                </v:textbox>
              </v:rect>
            </w:pict>
          </mc:Fallback>
        </mc:AlternateContent>
      </w: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1433195</wp:posOffset>
                </wp:positionH>
                <wp:positionV relativeFrom="paragraph">
                  <wp:posOffset>70485</wp:posOffset>
                </wp:positionV>
                <wp:extent cx="436880" cy="4445"/>
                <wp:effectExtent l="0" t="37465" r="1270" b="34290"/>
                <wp:wrapNone/>
                <wp:docPr id="95" name="直接箭头连接符 95"/>
                <wp:cNvGraphicFramePr/>
                <a:graphic xmlns:a="http://schemas.openxmlformats.org/drawingml/2006/main">
                  <a:graphicData uri="http://schemas.microsoft.com/office/word/2010/wordprocessingShape">
                    <wps:wsp>
                      <wps:cNvCnPr/>
                      <wps:spPr>
                        <a:xfrm flipH="1" flipV="1">
                          <a:off x="0" y="0"/>
                          <a:ext cx="436880" cy="444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2.85pt;margin-top:5.55pt;height:0.35pt;width:34.4pt;z-index:251722752;mso-width-relative:page;mso-height-relative:page;" filled="f" stroked="t" coordsize="21600,21600" o:gfxdata="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ROqp9cAAAAJAQAADwAAAAAAAAABACAAAAAiAAAAZHJzL2Rvd25yZXYueG1sUEsB&#10;AhQAFAAAAAgAh07iQG9PYN4vAgAAOwQAAA4AAAAAAAAAAQAgAAAAJgEAAGRycy9lMm9Eb2MueG1s&#10;UEsFBgAAAAAGAAYAWQEAAMcFAAAAAA==&#10;">
                <v:fill on="f" focussize="0,0"/>
                <v:stroke color="#000000" joinstyle="round" endarrow="block"/>
                <v:imagedata o:title=""/>
                <o:lock v:ext="edit" aspectratio="f"/>
              </v:shape>
            </w:pict>
          </mc:Fallback>
        </mc:AlternateContent>
      </w:r>
    </w:p>
    <w:p>
      <w:pPr>
        <w:pStyle w:val="6"/>
        <w:keepNext w:val="0"/>
        <w:keepLines w:val="0"/>
        <w:pageBreakBefore w:val="0"/>
        <w:kinsoku/>
        <w:wordWrap/>
        <w:topLinePunct w:val="0"/>
        <w:bidi w:val="0"/>
        <w:spacing w:line="560" w:lineRule="exact"/>
        <w:rPr>
          <w:rFonts w:hint="eastAsia"/>
          <w:color w:val="auto"/>
          <w:highlight w:val="none"/>
          <w:lang w:val="en-US" w:eastAsia="zh-Hans"/>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2567940</wp:posOffset>
                </wp:positionH>
                <wp:positionV relativeFrom="paragraph">
                  <wp:posOffset>208280</wp:posOffset>
                </wp:positionV>
                <wp:extent cx="426720" cy="6350"/>
                <wp:effectExtent l="0" t="36830" r="11430" b="33020"/>
                <wp:wrapNone/>
                <wp:docPr id="99" name="直接箭头连接符 99"/>
                <wp:cNvGraphicFramePr/>
                <a:graphic xmlns:a="http://schemas.openxmlformats.org/drawingml/2006/main">
                  <a:graphicData uri="http://schemas.microsoft.com/office/word/2010/wordprocessingShape">
                    <wps:wsp>
                      <wps:cNvCnPr/>
                      <wps:spPr>
                        <a:xfrm flipV="1">
                          <a:off x="0" y="0"/>
                          <a:ext cx="426720" cy="63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y;margin-left:202.2pt;margin-top:16.4pt;height:0.5pt;width:33.6pt;z-index:251760640;mso-width-relative:page;mso-height-relative:page;" filled="f" stroked="t" coordsize="21600,21600" o:gfxdata="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AY9odgAAAAJAQAADwAAAAAAAAABACAAAAAiAAAAZHJzL2Rvd25yZXYueG1sUEsBAhQA&#10;FAAAAAgAh07iQP+vKgQrAgAAMQQAAA4AAAAAAAAAAQAgAAAAJwEAAGRycy9lMm9Eb2MueG1sUEsF&#10;BgAAAAAGAAYAWQEAAMQ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1449070</wp:posOffset>
                </wp:positionH>
                <wp:positionV relativeFrom="paragraph">
                  <wp:posOffset>172085</wp:posOffset>
                </wp:positionV>
                <wp:extent cx="433705" cy="3175"/>
                <wp:effectExtent l="0" t="37465" r="4445" b="35560"/>
                <wp:wrapNone/>
                <wp:docPr id="90" name="直接箭头连接符 90"/>
                <wp:cNvGraphicFramePr/>
                <a:graphic xmlns:a="http://schemas.openxmlformats.org/drawingml/2006/main">
                  <a:graphicData uri="http://schemas.microsoft.com/office/word/2010/wordprocessingShape">
                    <wps:wsp>
                      <wps:cNvCnPr/>
                      <wps:spPr>
                        <a:xfrm flipH="1" flipV="1">
                          <a:off x="0" y="0"/>
                          <a:ext cx="433705"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1pt;margin-top:13.55pt;height:0.25pt;width:34.15pt;z-index:251738112;mso-width-relative:page;mso-height-relative:page;" filled="f" stroked="t" coordsize="21600,21600" o:gfxdata="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pWY6NcAAAAJAQAADwAAAAAAAAABACAAAAAiAAAAZHJzL2Rvd25yZXYueG1sUEsB&#10;AhQAFAAAAAgAh07iQG6YEqgvAgAAOwQAAA4AAAAAAAAAAQAgAAAAJgEAAGRycy9lMm9Eb2MueG1s&#10;UEsFBgAAAAAGAAYAWQEAAMcFAAAAAA==&#10;">
                <v:fill on="f" focussize="0,0"/>
                <v:stroke color="#000000" joinstyle="round" endarrow="block"/>
                <v:imagedata o:title=""/>
                <o:lock v:ext="edit" aspectratio="f"/>
              </v:shape>
            </w:pict>
          </mc:Fallback>
        </mc:AlternateContent>
      </w:r>
    </w:p>
    <w:p>
      <w:pPr>
        <w:pStyle w:val="16"/>
        <w:keepNext w:val="0"/>
        <w:keepLines w:val="0"/>
        <w:pageBreakBefore w:val="0"/>
        <w:kinsoku/>
        <w:wordWrap/>
        <w:overflowPunct/>
        <w:topLinePunct w:val="0"/>
        <w:autoSpaceDE/>
        <w:autoSpaceDN/>
        <w:bidi w:val="0"/>
        <w:adjustRightInd/>
        <w:snapToGrid/>
        <w:spacing w:after="0" w:line="560" w:lineRule="exact"/>
        <w:ind w:left="0" w:firstLine="480" w:firstLineChars="200"/>
        <w:textAlignment w:val="auto"/>
        <w:rPr>
          <w:rFonts w:hint="eastAsia" w:ascii="黑体" w:hAnsi="黑体" w:eastAsia="黑体" w:cs="黑体"/>
          <w:b w:val="0"/>
          <w:bCs/>
          <w:color w:val="auto"/>
          <w:sz w:val="32"/>
          <w:szCs w:val="32"/>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1453515</wp:posOffset>
                </wp:positionH>
                <wp:positionV relativeFrom="paragraph">
                  <wp:posOffset>291465</wp:posOffset>
                </wp:positionV>
                <wp:extent cx="433705" cy="3175"/>
                <wp:effectExtent l="0" t="37465" r="4445" b="35560"/>
                <wp:wrapNone/>
                <wp:docPr id="46" name="直接箭头连接符 46"/>
                <wp:cNvGraphicFramePr/>
                <a:graphic xmlns:a="http://schemas.openxmlformats.org/drawingml/2006/main">
                  <a:graphicData uri="http://schemas.microsoft.com/office/word/2010/wordprocessingShape">
                    <wps:wsp>
                      <wps:cNvCnPr/>
                      <wps:spPr>
                        <a:xfrm flipH="1" flipV="1">
                          <a:off x="0" y="0"/>
                          <a:ext cx="433705"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45pt;margin-top:22.95pt;height:0.25pt;width:34.15pt;z-index:251745280;mso-width-relative:page;mso-height-relative:page;" filled="f" stroked="t" coordsize="21600,21600" o:gfxdata="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AK/GdgAAAAJAQAADwAAAAAAAAABACAAAAAiAAAAZHJzL2Rvd25yZXYueG1s&#10;UEsBAhQAFAAAAAgAh07iQMd3ZxExAgAAOwQAAA4AAAAAAAAAAQAgAAAAJwEAAGRycy9lMm9Eb2Mu&#10;eG1sUEsFBgAAAAAGAAYAWQEAAMo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-624840</wp:posOffset>
                </wp:positionH>
                <wp:positionV relativeFrom="paragraph">
                  <wp:posOffset>113030</wp:posOffset>
                </wp:positionV>
                <wp:extent cx="2065655" cy="341630"/>
                <wp:effectExtent l="12700" t="12700" r="17145" b="26670"/>
                <wp:wrapNone/>
                <wp:docPr id="113" name="矩形 113"/>
                <wp:cNvGraphicFramePr/>
                <a:graphic xmlns:a="http://schemas.openxmlformats.org/drawingml/2006/main">
                  <a:graphicData uri="http://schemas.microsoft.com/office/word/2010/wordprocessingShape">
                    <wps:wsp>
                      <wps:cNvSpPr/>
                      <wps:spPr>
                        <a:xfrm>
                          <a:off x="0" y="0"/>
                          <a:ext cx="2065655" cy="34163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rFonts w:hint="eastAsia"/>
                                <w:color w:val="000000"/>
                                <w:sz w:val="24"/>
                                <w:szCs w:val="24"/>
                                <w:lang w:eastAsia="zh-CN"/>
                              </w:rPr>
                            </w:pPr>
                            <w:r>
                              <w:rPr>
                                <w:rFonts w:hint="eastAsia"/>
                                <w:color w:val="000000"/>
                                <w:sz w:val="24"/>
                                <w:szCs w:val="24"/>
                                <w:lang w:eastAsia="zh-CN"/>
                              </w:rPr>
                              <w:t>企业年金管理委员会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pt;margin-top:8.9pt;height:26.9pt;width:162.65pt;z-index:251710464;v-text-anchor:middle;mso-width-relative:page;mso-height-relative:page;" fillcolor="#FFFFFF" filled="t" stroked="t" coordsize="21600,21600" o:gfxdata="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hrsjtcAAAAJAQAADwAAAAAAAAABACAAAAAiAAAAZHJzL2Rv&#10;d25yZXYueG1sUEsBAhQAFAAAAAgAh07iQFPUFu10AgAA+gQAAA4AAAAAAAAAAQAgAAAAJgEAAGRy&#10;cy9lMm9Eb2MueG1sUEsFBgAAAAAGAAYAWQEAAAwGAAAAAA==&#10;">
                <v:fill on="t" focussize="0,0"/>
                <v:stroke weight="2pt" color="#000000" joinstyle="round"/>
                <v:imagedata o:title=""/>
                <o:lock v:ext="edit" aspectratio="f"/>
                <v:textbox>
                  <w:txbxContent>
                    <w:p>
                      <w:pPr>
                        <w:ind w:left="0" w:leftChars="0" w:firstLine="0" w:firstLineChars="0"/>
                        <w:jc w:val="center"/>
                        <w:rPr>
                          <w:rFonts w:hint="eastAsia"/>
                          <w:color w:val="000000"/>
                          <w:sz w:val="24"/>
                          <w:szCs w:val="24"/>
                          <w:lang w:eastAsia="zh-CN"/>
                        </w:rPr>
                      </w:pPr>
                      <w:r>
                        <w:rPr>
                          <w:rFonts w:hint="eastAsia"/>
                          <w:color w:val="000000"/>
                          <w:sz w:val="24"/>
                          <w:szCs w:val="24"/>
                          <w:lang w:eastAsia="zh-CN"/>
                        </w:rPr>
                        <w:t>企业年金管理委员会</w:t>
                      </w:r>
                    </w:p>
                  </w:txbxContent>
                </v:textbox>
              </v:rect>
            </w:pict>
          </mc:Fallback>
        </mc:AlternateContent>
      </w:r>
    </w:p>
    <w:p>
      <w:pPr>
        <w:pStyle w:val="11"/>
        <w:keepNext w:val="0"/>
        <w:keepLines w:val="0"/>
        <w:pageBreakBefore w:val="0"/>
        <w:kinsoku/>
        <w:wordWrap/>
        <w:topLinePunct w:val="0"/>
        <w:bidi w:val="0"/>
        <w:spacing w:line="560" w:lineRule="exact"/>
        <w:ind w:left="0" w:leftChars="0" w:firstLine="0" w:firstLineChars="0"/>
        <w:rPr>
          <w:rFonts w:hint="eastAsia" w:ascii="黑体" w:hAnsi="黑体" w:eastAsia="黑体" w:cs="黑体"/>
          <w:b w:val="0"/>
          <w:bCs/>
          <w:color w:val="auto"/>
          <w:sz w:val="32"/>
          <w:szCs w:val="32"/>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-627380</wp:posOffset>
                </wp:positionH>
                <wp:positionV relativeFrom="paragraph">
                  <wp:posOffset>207645</wp:posOffset>
                </wp:positionV>
                <wp:extent cx="2058670" cy="325120"/>
                <wp:effectExtent l="12700" t="12700" r="24130" b="24130"/>
                <wp:wrapNone/>
                <wp:docPr id="84" name="矩形 84"/>
                <wp:cNvGraphicFramePr/>
                <a:graphic xmlns:a="http://schemas.openxmlformats.org/drawingml/2006/main">
                  <a:graphicData uri="http://schemas.microsoft.com/office/word/2010/wordprocessingShape">
                    <wps:wsp>
                      <wps:cNvSpPr/>
                      <wps:spPr>
                        <a:xfrm>
                          <a:off x="0" y="0"/>
                          <a:ext cx="2058670" cy="325120"/>
                        </a:xfrm>
                        <a:prstGeom prst="rect">
                          <a:avLst/>
                        </a:prstGeom>
                        <a:solidFill>
                          <a:srgbClr val="FFFFFF"/>
                        </a:solidFill>
                        <a:ln w="25400" cap="flat" cmpd="sng" algn="ctr">
                          <a:solidFill>
                            <a:srgbClr val="000000"/>
                          </a:solidFill>
                          <a:prstDash val="solid"/>
                        </a:ln>
                        <a:effectLst/>
                      </wps:spPr>
                      <wps:txbx>
                        <w:txbxContent>
                          <w:p>
                            <w:pPr>
                              <w:ind w:left="0" w:leftChars="0" w:firstLine="0" w:firstLineChars="0"/>
                              <w:jc w:val="center"/>
                              <w:rPr>
                                <w:color w:val="000000"/>
                                <w:sz w:val="24"/>
                                <w:szCs w:val="24"/>
                              </w:rPr>
                            </w:pPr>
                            <w:r>
                              <w:rPr>
                                <w:rFonts w:hint="eastAsia"/>
                                <w:color w:val="000000"/>
                                <w:sz w:val="24"/>
                                <w:szCs w:val="24"/>
                                <w:lang w:eastAsia="zh-CN"/>
                              </w:rPr>
                              <w:t>数据管理</w:t>
                            </w:r>
                            <w:r>
                              <w:rPr>
                                <w:rFonts w:hint="eastAsia"/>
                                <w:color w:val="000000"/>
                                <w:sz w:val="24"/>
                                <w:szCs w:val="24"/>
                              </w:rPr>
                              <w:t>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4pt;margin-top:16.35pt;height:25.6pt;width:162.1pt;z-index:251737088;v-text-anchor:middle;mso-width-relative:page;mso-height-relative:page;" fillcolor="#FFFFFF" filled="t" stroked="t" coordsize="21600,21600" o:gfxdata="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N56pNgAAAAJAQAADwAAAAAAAAABACAAAAAiAAAAZHJzL2Rv&#10;d25yZXYueG1sUEsBAhQAFAAAAAgAh07iQNW6YnlzAgAA+AQAAA4AAAAAAAAAAQAgAAAAJwEAAGRy&#10;cy9lMm9Eb2MueG1sUEsFBgAAAAAGAAYAWQEAAAwGAAAAAA==&#10;">
                <v:fill on="t" focussize="0,0"/>
                <v:stroke weight="2pt" color="#000000" joinstyle="round"/>
                <v:imagedata o:title=""/>
                <o:lock v:ext="edit" aspectratio="f"/>
                <v:textbox>
                  <w:txbxContent>
                    <w:p>
                      <w:pPr>
                        <w:ind w:left="0" w:leftChars="0" w:firstLine="0" w:firstLineChars="0"/>
                        <w:jc w:val="center"/>
                        <w:rPr>
                          <w:color w:val="000000"/>
                          <w:sz w:val="24"/>
                          <w:szCs w:val="24"/>
                        </w:rPr>
                      </w:pPr>
                      <w:r>
                        <w:rPr>
                          <w:rFonts w:hint="eastAsia"/>
                          <w:color w:val="000000"/>
                          <w:sz w:val="24"/>
                          <w:szCs w:val="24"/>
                          <w:lang w:eastAsia="zh-CN"/>
                        </w:rPr>
                        <w:t>数据管理</w:t>
                      </w:r>
                      <w:r>
                        <w:rPr>
                          <w:rFonts w:hint="eastAsia"/>
                          <w:color w:val="000000"/>
                          <w:sz w:val="24"/>
                          <w:szCs w:val="24"/>
                        </w:rPr>
                        <w:t>委员会</w:t>
                      </w:r>
                    </w:p>
                  </w:txbxContent>
                </v:textbox>
              </v:rect>
            </w:pict>
          </mc:Fallback>
        </mc:AlternateContent>
      </w:r>
    </w:p>
    <w:p>
      <w:pPr>
        <w:pStyle w:val="16"/>
        <w:keepNext w:val="0"/>
        <w:keepLines w:val="0"/>
        <w:pageBreakBefore w:val="0"/>
        <w:kinsoku/>
        <w:wordWrap/>
        <w:overflowPunct/>
        <w:topLinePunct w:val="0"/>
        <w:autoSpaceDE/>
        <w:autoSpaceDN/>
        <w:bidi w:val="0"/>
        <w:adjustRightInd/>
        <w:snapToGrid/>
        <w:spacing w:after="0" w:line="560" w:lineRule="exact"/>
        <w:ind w:left="0" w:firstLine="480" w:firstLineChars="200"/>
        <w:textAlignment w:val="auto"/>
        <w:rPr>
          <w:rFonts w:hint="eastAsia" w:ascii="黑体" w:hAnsi="黑体" w:eastAsia="黑体" w:cs="黑体"/>
          <w:b w:val="0"/>
          <w:bCs/>
          <w:color w:val="auto"/>
          <w:sz w:val="32"/>
          <w:szCs w:val="32"/>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1448435</wp:posOffset>
                </wp:positionH>
                <wp:positionV relativeFrom="paragraph">
                  <wp:posOffset>35560</wp:posOffset>
                </wp:positionV>
                <wp:extent cx="433705" cy="3175"/>
                <wp:effectExtent l="0" t="37465" r="4445" b="35560"/>
                <wp:wrapNone/>
                <wp:docPr id="60" name="直接箭头连接符 60"/>
                <wp:cNvGraphicFramePr/>
                <a:graphic xmlns:a="http://schemas.openxmlformats.org/drawingml/2006/main">
                  <a:graphicData uri="http://schemas.microsoft.com/office/word/2010/wordprocessingShape">
                    <wps:wsp>
                      <wps:cNvCnPr/>
                      <wps:spPr>
                        <a:xfrm flipH="1" flipV="1">
                          <a:off x="0" y="0"/>
                          <a:ext cx="433705" cy="317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_x0000_s1026" o:spid="_x0000_s1026" o:spt="32" type="#_x0000_t32" style="position:absolute;left:0pt;flip:x y;margin-left:114.05pt;margin-top:2.8pt;height:0.25pt;width:34.15pt;z-index:251746304;mso-width-relative:page;mso-height-relative:page;" filled="f" stroked="t" coordsize="21600,21600" o:gfxdata="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tVYYNYAAAAHAQAADwAAAAAAAAABACAAAAAiAAAAZHJzL2Rvd25yZXYueG1sUEsB&#10;AhQAFAAAAAgAh07iQJcT8QgwAgAAOwQAAA4AAAAAAAAAAQAgAAAAJQEAAGRycy9lMm9Eb2MueG1s&#10;UEsFBgAAAAAGAAYAWQEAAMcFAAAAAA==&#10;">
                <v:fill on="f" focussize="0,0"/>
                <v:stroke color="#000000" joinstyle="round" endarrow="block"/>
                <v:imagedata o:title=""/>
                <o:lock v:ext="edit" aspectratio="f"/>
              </v:shape>
            </w:pict>
          </mc:Fallback>
        </mc:AlternateContent>
      </w:r>
    </w:p>
    <w:p>
      <w:pPr>
        <w:pStyle w:val="16"/>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二、公司治理概述</w:t>
      </w:r>
    </w:p>
    <w:p>
      <w:pPr>
        <w:keepNext w:val="0"/>
        <w:keepLines w:val="0"/>
        <w:pageBreakBefore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公司治理是指股东大会、董事会、监事会、高级管理层、股东及其他利益相关者之间的相互关系，包括组织架构、职责边界、履职要求等治理制衡机制，以及决策、执行、监督、激励约束等治理运行机制。公司治理遵循各治理主体独立运作、有效制衡、相互合作、协调运转的原则，建立合理的激励、约束机制，科学、高效地决策、执行和监督。</w:t>
      </w:r>
    </w:p>
    <w:p>
      <w:pPr>
        <w:keepNext w:val="0"/>
        <w:keepLines w:val="0"/>
        <w:pageBreakBefore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行公司治理状况良好，建立了以股东大会、董事会、监事会、高级管理层“三会一层”为主体的公司治理架构，各主体职责清晰，独立运作，股东大会、董事会、监事会和高级管理层之间有效制衡，较好地发挥了“三会一层”的运行机制，提高了董事会、监事会的决策水平和运作效率，为安顺农商银行转型发展提供决策保障。</w:t>
      </w:r>
    </w:p>
    <w:p>
      <w:pPr>
        <w:pStyle w:val="16"/>
        <w:keepNext w:val="0"/>
        <w:keepLines w:val="0"/>
        <w:pageBreakBefore w:val="0"/>
        <w:kinsoku/>
        <w:wordWrap/>
        <w:overflowPunct/>
        <w:topLinePunct w:val="0"/>
        <w:autoSpaceDE/>
        <w:autoSpaceDN/>
        <w:bidi w:val="0"/>
        <w:adjustRightInd/>
        <w:snapToGrid/>
        <w:spacing w:after="0" w:line="560" w:lineRule="exact"/>
        <w:ind w:left="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本行董事会、监事会、高级管理层各治理主体职责清晰，符合相关的规定。江弘为董事长，主持股东大会、董事会会议，履行督促股东大会和董事会决议的实施情况等职责；张芹</w:t>
      </w:r>
      <w:r>
        <w:rPr>
          <w:rFonts w:hint="eastAsia" w:ascii="Times New Roman" w:hAnsi="Times New Roman" w:eastAsia="仿宋_GB2312" w:cs="Times New Roman"/>
          <w:color w:val="auto"/>
          <w:sz w:val="32"/>
          <w:szCs w:val="32"/>
          <w:highlight w:val="none"/>
          <w:lang w:eastAsia="zh-CN"/>
        </w:rPr>
        <w:t>为</w:t>
      </w:r>
      <w:r>
        <w:rPr>
          <w:rFonts w:hint="default" w:ascii="Times New Roman" w:hAnsi="Times New Roman" w:eastAsia="仿宋_GB2312" w:cs="Times New Roman"/>
          <w:color w:val="auto"/>
          <w:sz w:val="32"/>
          <w:szCs w:val="32"/>
          <w:highlight w:val="none"/>
          <w:lang w:eastAsia="zh-CN"/>
        </w:rPr>
        <w:t>监事长，主持监事会工作，履行监督职能。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报告期内，本行召开股东大会</w:t>
      </w:r>
      <w:r>
        <w:rPr>
          <w:rFonts w:hint="eastAsia"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次，审议议案</w:t>
      </w:r>
      <w:r>
        <w:rPr>
          <w:rFonts w:hint="eastAsia" w:cs="Times New Roman"/>
          <w:color w:val="auto"/>
          <w:sz w:val="32"/>
          <w:szCs w:val="32"/>
          <w:highlight w:val="none"/>
          <w:lang w:val="en-US" w:eastAsia="zh-CN"/>
        </w:rPr>
        <w:t>25</w:t>
      </w:r>
      <w:r>
        <w:rPr>
          <w:rFonts w:hint="default" w:ascii="Times New Roman" w:hAnsi="Times New Roman" w:eastAsia="仿宋_GB2312" w:cs="Times New Roman"/>
          <w:color w:val="auto"/>
          <w:sz w:val="32"/>
          <w:szCs w:val="32"/>
          <w:highlight w:val="none"/>
          <w:lang w:eastAsia="zh-CN"/>
        </w:rPr>
        <w:t>项，形成决议</w:t>
      </w:r>
      <w:r>
        <w:rPr>
          <w:rFonts w:hint="eastAsia" w:cs="Times New Roman"/>
          <w:color w:val="auto"/>
          <w:sz w:val="32"/>
          <w:szCs w:val="32"/>
          <w:highlight w:val="none"/>
          <w:lang w:val="en-US" w:eastAsia="zh-CN"/>
        </w:rPr>
        <w:t>25</w:t>
      </w:r>
      <w:r>
        <w:rPr>
          <w:rFonts w:hint="default" w:ascii="Times New Roman" w:hAnsi="Times New Roman" w:eastAsia="仿宋_GB2312" w:cs="Times New Roman"/>
          <w:color w:val="auto"/>
          <w:sz w:val="32"/>
          <w:szCs w:val="32"/>
          <w:highlight w:val="none"/>
          <w:lang w:eastAsia="zh-CN"/>
        </w:rPr>
        <w:t>项；召开董事会</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eastAsia="zh-CN"/>
        </w:rPr>
        <w:t>次，审议议案</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项，形成决议</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项，董事会下设1</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个专门委员会召开会议</w:t>
      </w:r>
      <w:r>
        <w:rPr>
          <w:rFonts w:hint="eastAsia" w:cs="Times New Roman"/>
          <w:color w:val="auto"/>
          <w:sz w:val="32"/>
          <w:szCs w:val="32"/>
          <w:highlight w:val="none"/>
          <w:lang w:val="en-US" w:eastAsia="zh-CN"/>
        </w:rPr>
        <w:t>45</w:t>
      </w:r>
      <w:r>
        <w:rPr>
          <w:rFonts w:hint="default" w:ascii="Times New Roman" w:hAnsi="Times New Roman" w:eastAsia="仿宋_GB2312" w:cs="Times New Roman"/>
          <w:color w:val="auto"/>
          <w:sz w:val="32"/>
          <w:szCs w:val="32"/>
          <w:highlight w:val="none"/>
          <w:lang w:eastAsia="zh-CN"/>
        </w:rPr>
        <w:t>次，审议议案</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项，形成决议</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w:t>
      </w:r>
      <w:r>
        <w:rPr>
          <w:rFonts w:hint="default" w:ascii="Times New Roman" w:hAnsi="Times New Roman" w:eastAsia="仿宋_GB2312" w:cs="Times New Roman"/>
          <w:color w:val="auto"/>
          <w:sz w:val="32"/>
          <w:szCs w:val="32"/>
          <w:highlight w:val="none"/>
        </w:rPr>
        <w:t>共召开</w:t>
      </w:r>
      <w:r>
        <w:rPr>
          <w:rFonts w:hint="default" w:ascii="Times New Roman" w:hAnsi="Times New Roman" w:eastAsia="仿宋_GB2312" w:cs="Times New Roman"/>
          <w:color w:val="auto"/>
          <w:sz w:val="32"/>
          <w:szCs w:val="32"/>
          <w:highlight w:val="none"/>
          <w:lang w:val="en-US" w:eastAsia="zh-CN"/>
        </w:rPr>
        <w:t>监事会议</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val="en-US" w:eastAsia="zh-CN"/>
        </w:rPr>
        <w:t>次、监督委员会议</w:t>
      </w:r>
      <w:r>
        <w:rPr>
          <w:rFonts w:hint="eastAsia" w:cs="Times New Roman"/>
          <w:color w:val="auto"/>
          <w:sz w:val="32"/>
          <w:szCs w:val="32"/>
          <w:highlight w:val="none"/>
          <w:lang w:val="en-US" w:eastAsia="zh-CN"/>
        </w:rPr>
        <w:t>14</w:t>
      </w:r>
      <w:r>
        <w:rPr>
          <w:rFonts w:hint="default" w:ascii="Times New Roman" w:hAnsi="Times New Roman" w:eastAsia="仿宋_GB2312" w:cs="Times New Roman"/>
          <w:color w:val="auto"/>
          <w:sz w:val="32"/>
          <w:szCs w:val="32"/>
          <w:highlight w:val="none"/>
          <w:lang w:val="en-US" w:eastAsia="zh-CN"/>
        </w:rPr>
        <w:t>次、提名委员会议5次</w:t>
      </w:r>
      <w:r>
        <w:rPr>
          <w:rFonts w:hint="default" w:ascii="Times New Roman" w:hAnsi="Times New Roman" w:eastAsia="仿宋_GB2312" w:cs="Times New Roman"/>
          <w:color w:val="auto"/>
          <w:sz w:val="32"/>
          <w:szCs w:val="32"/>
          <w:highlight w:val="none"/>
          <w:lang w:eastAsia="zh-CN"/>
        </w:rPr>
        <w:t>。本行股东大会、董事会、监事会会议的召开均符合本行章程规定的程序。</w:t>
      </w:r>
    </w:p>
    <w:p>
      <w:pPr>
        <w:keepNext w:val="0"/>
        <w:keepLines w:val="0"/>
        <w:pageBreakBefore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报告期内本行遵循真实性、准确性、完整性、及时性和公平性原则，编制了《安顺农商银行</w:t>
      </w: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年年报》，对安顺农商银行的相关信息进行披露，及时准确提供银行风险变化信息，增加农商行经营管理的透明度，从而保护广大股东和利益相关者的权益。</w:t>
      </w:r>
    </w:p>
    <w:p>
      <w:pPr>
        <w:pStyle w:val="16"/>
        <w:keepNext w:val="0"/>
        <w:keepLines w:val="0"/>
        <w:pageBreakBefore w:val="0"/>
        <w:kinsoku/>
        <w:wordWrap/>
        <w:overflowPunct/>
        <w:topLinePunct w:val="0"/>
        <w:autoSpaceDE/>
        <w:autoSpaceDN/>
        <w:bidi w:val="0"/>
        <w:adjustRightInd w:val="0"/>
        <w:snapToGrid w:val="0"/>
        <w:spacing w:after="0" w:line="560" w:lineRule="exact"/>
        <w:ind w:left="619" w:right="0" w:rightChars="0" w:firstLine="0" w:firstLineChars="0"/>
        <w:jc w:val="both"/>
        <w:textAlignment w:val="auto"/>
        <w:outlineLvl w:val="9"/>
        <w:rPr>
          <w:rFonts w:hint="default" w:ascii="Times New Roman" w:hAnsi="Times New Roman" w:eastAsia="黑体" w:cs="Times New Roman"/>
          <w:b w:val="0"/>
          <w:bCs/>
          <w:color w:val="auto"/>
          <w:sz w:val="32"/>
          <w:szCs w:val="32"/>
          <w:highlight w:val="none"/>
          <w:lang w:eastAsia="zh-CN"/>
        </w:rPr>
      </w:pPr>
      <w:r>
        <w:rPr>
          <w:rFonts w:hint="default" w:ascii="Times New Roman" w:hAnsi="Times New Roman" w:eastAsia="黑体" w:cs="Times New Roman"/>
          <w:b w:val="0"/>
          <w:bCs/>
          <w:color w:val="auto"/>
          <w:sz w:val="32"/>
          <w:szCs w:val="32"/>
          <w:highlight w:val="none"/>
          <w:lang w:eastAsia="zh-CN"/>
        </w:rPr>
        <w:t>三、股东大会</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本行股东大会由全体股东组成，是本行的最高权力机构，依法行使修改章程，选举和更换董事、监事，审议批准利润分配和弥补亏损方案，决定增加或减少注册资本及证券发行事项，对本行合并、分立、解散、清算等重大事项作出决议等职权。股东大会分为股东年会和临时会议，根据相关法律法规、本行章程和股东大会议事规则的规定召集和召开。</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报告期内，本行召开股东大会</w:t>
      </w:r>
      <w:r>
        <w:rPr>
          <w:rFonts w:hint="eastAsia"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次。会议审议了</w:t>
      </w:r>
      <w:r>
        <w:rPr>
          <w:rFonts w:hint="default" w:ascii="Times New Roman" w:hAnsi="Times New Roman" w:eastAsia="仿宋_GB2312" w:cs="Times New Roman"/>
          <w:color w:val="auto"/>
          <w:sz w:val="32"/>
          <w:szCs w:val="32"/>
          <w:highlight w:val="none"/>
          <w:lang w:val="en-US" w:eastAsia="zh-CN"/>
        </w:rPr>
        <w:t>《安顺农村商业银行股份有限公司202</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年度董事会</w:t>
      </w:r>
      <w:r>
        <w:rPr>
          <w:rFonts w:hint="eastAsia" w:cs="Times New Roman"/>
          <w:color w:val="auto"/>
          <w:sz w:val="32"/>
          <w:szCs w:val="32"/>
          <w:highlight w:val="none"/>
          <w:lang w:val="en-US" w:eastAsia="zh-CN"/>
        </w:rPr>
        <w:t>工作</w:t>
      </w:r>
      <w:r>
        <w:rPr>
          <w:rFonts w:hint="default" w:ascii="Times New Roman" w:hAnsi="Times New Roman" w:eastAsia="仿宋_GB2312" w:cs="Times New Roman"/>
          <w:color w:val="auto"/>
          <w:sz w:val="32"/>
          <w:szCs w:val="32"/>
          <w:highlight w:val="none"/>
          <w:lang w:val="en-US" w:eastAsia="zh-CN"/>
        </w:rPr>
        <w:t>报告的议案》</w:t>
      </w:r>
      <w:r>
        <w:rPr>
          <w:rFonts w:hint="eastAsia" w:cs="Times New Roman"/>
          <w:color w:val="auto"/>
          <w:sz w:val="32"/>
          <w:szCs w:val="32"/>
          <w:highlight w:val="none"/>
          <w:lang w:val="en-US" w:eastAsia="zh-CN"/>
        </w:rPr>
        <w:t>等</w:t>
      </w:r>
      <w:r>
        <w:rPr>
          <w:rFonts w:hint="default" w:ascii="Times New Roman" w:hAnsi="Times New Roman" w:eastAsia="仿宋_GB2312" w:cs="Times New Roman"/>
          <w:color w:val="auto"/>
          <w:sz w:val="32"/>
          <w:szCs w:val="32"/>
          <w:highlight w:val="none"/>
          <w:lang w:val="en-US" w:eastAsia="zh-CN"/>
        </w:rPr>
        <w:t>2</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zh-CN" w:eastAsia="zh-CN"/>
        </w:rPr>
        <w:t>项议案，会议采取记名投票方式进行表决，形成决议</w:t>
      </w:r>
      <w:r>
        <w:rPr>
          <w:rFonts w:hint="default" w:ascii="Times New Roman" w:hAnsi="Times New Roman" w:eastAsia="仿宋_GB2312" w:cs="Times New Roman"/>
          <w:color w:val="auto"/>
          <w:sz w:val="32"/>
          <w:szCs w:val="32"/>
          <w:highlight w:val="none"/>
          <w:lang w:val="en-US" w:eastAsia="zh-CN"/>
        </w:rPr>
        <w:t>2</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eastAsia="zh-CN"/>
        </w:rPr>
        <w:t>项。股东大会的通知、召集、召开和表决程序均符合《公司法》《公司章程》及相关规定，确保股东对公司重大事项的知情权、参与权与表决权，为股东提供充分参与决策、平等行使股东权利的良好环境，贵州联通律师事务所出具了法律意见书，股东大会形成的决议合法、有效。</w:t>
      </w:r>
    </w:p>
    <w:p>
      <w:pPr>
        <w:pStyle w:val="6"/>
        <w:keepNext w:val="0"/>
        <w:keepLines w:val="0"/>
        <w:pageBreakBefore w:val="0"/>
        <w:kinsoku/>
        <w:wordWrap/>
        <w:topLinePunct w:val="0"/>
        <w:bidi w:val="0"/>
        <w:spacing w:line="560" w:lineRule="exact"/>
        <w:ind w:firstLine="640" w:firstLineChars="200"/>
        <w:rPr>
          <w:rFonts w:hint="eastAsia" w:ascii="黑体" w:hAnsi="黑体" w:eastAsia="黑体" w:cs="黑体"/>
          <w:b w:val="0"/>
          <w:bCs/>
          <w:color w:val="auto"/>
          <w:kern w:val="0"/>
          <w:sz w:val="32"/>
          <w:szCs w:val="32"/>
          <w:highlight w:val="none"/>
        </w:rPr>
      </w:pPr>
      <w:r>
        <w:rPr>
          <w:rFonts w:hint="eastAsia" w:ascii="黑体" w:hAnsi="黑体" w:eastAsia="黑体" w:cs="黑体"/>
          <w:b w:val="0"/>
          <w:bCs/>
          <w:color w:val="auto"/>
          <w:kern w:val="0"/>
          <w:sz w:val="32"/>
          <w:szCs w:val="32"/>
          <w:highlight w:val="none"/>
        </w:rPr>
        <w:t>四、董事会</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董事会是本行的决策机构，对股东大会负责，承担本行经营和管理的最终责任。本行董事会按照法定程序召开会议，听取高级管理层工作汇报，审议定期报告，对高管人员聘任、重大关联交易、重大投资及购买、出售、置换资产、资产抵押、损失核销等重大事项作出决策。董事会各专门委员会按照各委员会工作规则召开会议，听取管理层报告，审议定期报告、关联交易等事项，向董事会提供意见，或按照董事会授权审批相关事项。</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报告期内，</w:t>
      </w: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年1月1日—202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年12月31日，</w:t>
      </w:r>
      <w:r>
        <w:rPr>
          <w:rFonts w:hint="default" w:ascii="Times New Roman" w:hAnsi="Times New Roman" w:eastAsia="仿宋_GB2312" w:cs="Times New Roman"/>
          <w:color w:val="auto"/>
          <w:sz w:val="32"/>
          <w:szCs w:val="32"/>
          <w:highlight w:val="none"/>
          <w:lang w:eastAsia="zh-CN"/>
        </w:rPr>
        <w:t>本行董事会由江弘（董事长）、谭振发（副董事长）、陈优凯（执行董事）、张桂华（股东董事）、袁雨芳（股东董事）</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eastAsia="zh-CN"/>
        </w:rPr>
        <w:t>陈健（独立董事）、黄思刚（独立董事）、熊晓炼（独立董事）</w:t>
      </w:r>
      <w:r>
        <w:rPr>
          <w:rFonts w:hint="default"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lang w:eastAsia="zh-CN"/>
        </w:rPr>
        <w:t>名董事组成，</w:t>
      </w:r>
      <w:r>
        <w:rPr>
          <w:rFonts w:hint="eastAsia" w:cs="Times New Roman"/>
          <w:color w:val="auto"/>
          <w:sz w:val="32"/>
          <w:szCs w:val="32"/>
          <w:highlight w:val="none"/>
          <w:lang w:eastAsia="zh-CN"/>
        </w:rPr>
        <w:t>期间</w:t>
      </w:r>
      <w:r>
        <w:rPr>
          <w:rFonts w:hint="default" w:ascii="Times New Roman" w:hAnsi="Times New Roman" w:eastAsia="仿宋_GB2312" w:cs="Times New Roman"/>
          <w:color w:val="auto"/>
          <w:sz w:val="32"/>
          <w:szCs w:val="32"/>
          <w:highlight w:val="none"/>
          <w:lang w:eastAsia="zh-CN"/>
        </w:rPr>
        <w:t>谭振发</w:t>
      </w:r>
      <w:r>
        <w:rPr>
          <w:rFonts w:hint="eastAsia" w:cs="Times New Roman"/>
          <w:color w:val="auto"/>
          <w:sz w:val="32"/>
          <w:szCs w:val="32"/>
          <w:highlight w:val="none"/>
          <w:lang w:eastAsia="zh-CN"/>
        </w:rPr>
        <w:t>因工作调动，不再担任本行副董事长、董事。经省联社推荐，郑小龙拟任本行副董事长、董事，因任职资格暂未获得监管部门核准，报告期末董事会人数为</w:t>
      </w:r>
      <w:r>
        <w:rPr>
          <w:rFonts w:hint="eastAsia" w:cs="Times New Roman"/>
          <w:color w:val="auto"/>
          <w:sz w:val="32"/>
          <w:szCs w:val="32"/>
          <w:highlight w:val="none"/>
          <w:lang w:val="en-US" w:eastAsia="zh-CN"/>
        </w:rPr>
        <w:t>7人，</w:t>
      </w:r>
      <w:r>
        <w:rPr>
          <w:rFonts w:hint="default" w:ascii="Times New Roman" w:hAnsi="Times New Roman" w:eastAsia="仿宋_GB2312" w:cs="Times New Roman"/>
          <w:color w:val="auto"/>
          <w:sz w:val="32"/>
          <w:szCs w:val="32"/>
          <w:highlight w:val="none"/>
          <w:lang w:eastAsia="zh-CN"/>
        </w:rPr>
        <w:t>本行</w:t>
      </w: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月</w:t>
      </w:r>
      <w:r>
        <w:rPr>
          <w:rFonts w:hint="eastAsia"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lang w:val="en-US" w:eastAsia="zh-CN"/>
        </w:rPr>
        <w:t>日修订的</w:t>
      </w:r>
      <w:r>
        <w:rPr>
          <w:rFonts w:hint="default" w:ascii="Times New Roman" w:hAnsi="Times New Roman" w:eastAsia="仿宋_GB2312" w:cs="Times New Roman"/>
          <w:color w:val="auto"/>
          <w:sz w:val="32"/>
          <w:szCs w:val="32"/>
          <w:highlight w:val="none"/>
          <w:lang w:eastAsia="zh-CN"/>
        </w:rPr>
        <w:t>《章程》中董事会人数设立人数为</w:t>
      </w:r>
      <w:r>
        <w:rPr>
          <w:rFonts w:hint="default" w:ascii="Times New Roman" w:hAnsi="Times New Roman" w:eastAsia="仿宋_GB2312" w:cs="Times New Roman"/>
          <w:color w:val="auto"/>
          <w:sz w:val="32"/>
          <w:szCs w:val="32"/>
          <w:highlight w:val="none"/>
          <w:lang w:val="en-US" w:eastAsia="zh-CN"/>
        </w:rPr>
        <w:t>7-9</w:t>
      </w:r>
      <w:r>
        <w:rPr>
          <w:rFonts w:hint="default" w:ascii="Times New Roman" w:hAnsi="Times New Roman" w:eastAsia="仿宋_GB2312" w:cs="Times New Roman"/>
          <w:color w:val="auto"/>
          <w:sz w:val="32"/>
          <w:szCs w:val="32"/>
          <w:highlight w:val="none"/>
          <w:lang w:eastAsia="zh-CN"/>
        </w:rPr>
        <w:t>名，董事人数符合章程规定。</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eastAsia="zh-CN"/>
        </w:rPr>
        <w:t>年本行董事会共召开</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eastAsia="zh-CN"/>
        </w:rPr>
        <w:t>次，审议了20</w:t>
      </w:r>
      <w:r>
        <w:rPr>
          <w:rFonts w:hint="default" w:ascii="Times New Roman" w:hAnsi="Times New Roman" w:eastAsia="仿宋_GB2312" w:cs="Times New Roman"/>
          <w:color w:val="auto"/>
          <w:sz w:val="32"/>
          <w:szCs w:val="32"/>
          <w:highlight w:val="none"/>
          <w:lang w:val="en-US" w:eastAsia="zh-CN"/>
        </w:rPr>
        <w:t>2</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eastAsia="zh-CN"/>
        </w:rPr>
        <w:t>年度利润分配方案、202</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eastAsia="zh-CN"/>
        </w:rPr>
        <w:t>年度财务预算执行情况及</w:t>
      </w: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年度财务预算报告</w:t>
      </w:r>
      <w:r>
        <w:rPr>
          <w:rFonts w:hint="default" w:ascii="Times New Roman" w:hAnsi="Times New Roman" w:eastAsia="仿宋_GB2312" w:cs="Times New Roman"/>
          <w:color w:val="auto"/>
          <w:sz w:val="32"/>
          <w:szCs w:val="32"/>
          <w:highlight w:val="none"/>
          <w:lang w:eastAsia="zh-CN"/>
        </w:rPr>
        <w:t>、章程修订等</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项议案，形成决议</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项。本行董事会认真执行股东大会决议，依法合规运作，科学谨慎决策。</w:t>
      </w:r>
    </w:p>
    <w:p>
      <w:pPr>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本行董事会下设1</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个专门委员会，分别为发展战略研究委员会、审计委员会、风险管理委员会、关联交易控制委员会、提名与薪酬委员会、三农金融服务委员会、消费者权益保护工作委员会、反洗钱工作委员会、信息科技管理委员会、内部控制评价委员会、绿色信贷委员会。共召开</w:t>
      </w:r>
      <w:r>
        <w:rPr>
          <w:rFonts w:hint="eastAsia" w:cs="Times New Roman"/>
          <w:color w:val="auto"/>
          <w:sz w:val="32"/>
          <w:szCs w:val="32"/>
          <w:highlight w:val="none"/>
          <w:lang w:val="en-US" w:eastAsia="zh-CN"/>
        </w:rPr>
        <w:t>45</w:t>
      </w:r>
      <w:r>
        <w:rPr>
          <w:rFonts w:hint="default" w:ascii="Times New Roman" w:hAnsi="Times New Roman" w:eastAsia="仿宋_GB2312" w:cs="Times New Roman"/>
          <w:color w:val="auto"/>
          <w:sz w:val="32"/>
          <w:szCs w:val="32"/>
          <w:highlight w:val="none"/>
          <w:lang w:eastAsia="zh-CN"/>
        </w:rPr>
        <w:t>次</w:t>
      </w:r>
      <w:r>
        <w:rPr>
          <w:rFonts w:hint="eastAsia" w:ascii="仿宋_GB2312" w:hAnsi="仿宋_GB2312" w:eastAsia="仿宋_GB2312" w:cs="仿宋_GB2312"/>
          <w:color w:val="auto"/>
          <w:sz w:val="32"/>
          <w:szCs w:val="32"/>
          <w:highlight w:val="none"/>
          <w:lang w:eastAsia="zh-CN"/>
        </w:rPr>
        <w:t>董事会专门委员会会议，审议议</w:t>
      </w:r>
      <w:r>
        <w:rPr>
          <w:rFonts w:hint="default" w:ascii="Times New Roman" w:hAnsi="Times New Roman" w:eastAsia="仿宋_GB2312" w:cs="Times New Roman"/>
          <w:color w:val="auto"/>
          <w:sz w:val="32"/>
          <w:szCs w:val="32"/>
          <w:highlight w:val="none"/>
          <w:lang w:eastAsia="zh-CN"/>
        </w:rPr>
        <w:t>案</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项，形成决议</w:t>
      </w:r>
      <w:r>
        <w:rPr>
          <w:rFonts w:hint="eastAsia" w:cs="Times New Roman"/>
          <w:color w:val="auto"/>
          <w:sz w:val="32"/>
          <w:szCs w:val="32"/>
          <w:highlight w:val="none"/>
          <w:lang w:val="en-US" w:eastAsia="zh-CN"/>
        </w:rPr>
        <w:t>81</w:t>
      </w:r>
      <w:r>
        <w:rPr>
          <w:rFonts w:hint="default" w:ascii="Times New Roman" w:hAnsi="Times New Roman" w:eastAsia="仿宋_GB2312" w:cs="Times New Roman"/>
          <w:color w:val="auto"/>
          <w:sz w:val="32"/>
          <w:szCs w:val="32"/>
          <w:highlight w:val="none"/>
          <w:lang w:eastAsia="zh-CN"/>
        </w:rPr>
        <w:t>项。</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（一）发展战略研究委员会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kinsoku/>
        <w:wordWrap/>
        <w:topLinePunct w:val="0"/>
        <w:bidi w:val="0"/>
        <w:spacing w:line="560" w:lineRule="exact"/>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eastAsia="zh-CN"/>
        </w:rPr>
        <w:t>委    员：陈优凯</w:t>
      </w:r>
      <w:r>
        <w:rPr>
          <w:rFonts w:hint="eastAsia" w:ascii="仿宋_GB2312" w:hAnsi="仿宋_GB2312" w:eastAsia="仿宋_GB2312" w:cs="仿宋_GB2312"/>
          <w:b w:val="0"/>
          <w:bCs w:val="0"/>
          <w:color w:val="auto"/>
          <w:sz w:val="32"/>
          <w:szCs w:val="32"/>
          <w:highlight w:val="none"/>
          <w:lang w:val="en-US" w:eastAsia="zh-CN"/>
        </w:rPr>
        <w:t xml:space="preserve">  黄思刚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（二）审计委员会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主任委员：黄思刚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 xml:space="preserve">委    员：袁雨芳  熊晓炼 </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（三）关联交易控制委员会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主任委员：陈  健</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员：熊晓炼  袁雨芳</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（四）风险管理委员会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员：陈优凯  陈  健</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（五）提名与薪酬委员会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主任委员：陈  健</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 xml:space="preserve">委    员：陈优凯  熊晓炼  </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（六）三农金融服务委员会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主任委员：陈优凯</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员：袁雨芳  张桂华</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（七）消费者权益保护工作委员会</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 xml:space="preserve">委    员：黄思刚  熊晓炼 </w:t>
      </w:r>
    </w:p>
    <w:p>
      <w:pPr>
        <w:pStyle w:val="11"/>
        <w:keepNext w:val="0"/>
        <w:keepLines w:val="0"/>
        <w:pageBreakBefore w:val="0"/>
        <w:kinsoku/>
        <w:wordWrap/>
        <w:topLinePunct w:val="0"/>
        <w:bidi w:val="0"/>
        <w:spacing w:line="560" w:lineRule="exact"/>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（八）反洗钱工作委员会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员：熊晓炼  陈优凯</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（九）信息科技管理委员会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员：张桂华  陈优凯</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（十）内部控制评价委员会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员：陈优凯  黄思刚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（十一）绿色信贷委员会</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主任委员：江  弘</w:t>
      </w:r>
    </w:p>
    <w:p>
      <w:pPr>
        <w:pStyle w:val="11"/>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委    员：陈优凯  黄思刚</w:t>
      </w:r>
    </w:p>
    <w:tbl>
      <w:tblPr>
        <w:tblStyle w:val="12"/>
        <w:tblW w:w="8145"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9"/>
        <w:gridCol w:w="816"/>
        <w:gridCol w:w="25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3219" w:type="dxa"/>
            <w:noWrap w:val="0"/>
            <w:vAlign w:val="center"/>
          </w:tcPr>
          <w:p>
            <w:pPr>
              <w:keepNext w:val="0"/>
              <w:keepLines w:val="0"/>
              <w:pageBreakBefore w:val="0"/>
              <w:kinsoku/>
              <w:wordWrap/>
              <w:topLinePunct w:val="0"/>
              <w:bidi w:val="0"/>
              <w:spacing w:line="560" w:lineRule="exact"/>
              <w:ind w:firstLine="700" w:firstLineChars="250"/>
              <w:jc w:val="both"/>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委员会名称</w:t>
            </w:r>
          </w:p>
        </w:tc>
        <w:tc>
          <w:tcPr>
            <w:tcW w:w="816" w:type="dxa"/>
            <w:noWrap w:val="0"/>
            <w:vAlign w:val="center"/>
          </w:tcPr>
          <w:p>
            <w:pPr>
              <w:keepNext w:val="0"/>
              <w:keepLines w:val="0"/>
              <w:pageBreakBefore w:val="0"/>
              <w:kinsoku/>
              <w:wordWrap/>
              <w:topLinePunct w:val="0"/>
              <w:bidi w:val="0"/>
              <w:spacing w:line="560" w:lineRule="exact"/>
              <w:jc w:val="center"/>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会议次数</w:t>
            </w:r>
          </w:p>
        </w:tc>
        <w:tc>
          <w:tcPr>
            <w:tcW w:w="2551" w:type="dxa"/>
            <w:noWrap w:val="0"/>
            <w:vAlign w:val="center"/>
          </w:tcPr>
          <w:p>
            <w:pPr>
              <w:keepNext w:val="0"/>
              <w:keepLines w:val="0"/>
              <w:pageBreakBefore w:val="0"/>
              <w:kinsoku/>
              <w:wordWrap/>
              <w:topLinePunct w:val="0"/>
              <w:bidi w:val="0"/>
              <w:spacing w:line="560" w:lineRule="exact"/>
              <w:ind w:left="980" w:hanging="980" w:hangingChars="350"/>
              <w:jc w:val="center"/>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会议审议</w:t>
            </w:r>
          </w:p>
          <w:p>
            <w:pPr>
              <w:keepNext w:val="0"/>
              <w:keepLines w:val="0"/>
              <w:pageBreakBefore w:val="0"/>
              <w:kinsoku/>
              <w:wordWrap/>
              <w:topLinePunct w:val="0"/>
              <w:bidi w:val="0"/>
              <w:spacing w:line="560" w:lineRule="exact"/>
              <w:ind w:left="980" w:hanging="980" w:hangingChars="350"/>
              <w:jc w:val="center"/>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议案和报告数</w:t>
            </w:r>
          </w:p>
        </w:tc>
        <w:tc>
          <w:tcPr>
            <w:tcW w:w="1559" w:type="dxa"/>
            <w:noWrap w:val="0"/>
            <w:vAlign w:val="center"/>
          </w:tcPr>
          <w:p>
            <w:pPr>
              <w:keepNext w:val="0"/>
              <w:keepLines w:val="0"/>
              <w:pageBreakBefore w:val="0"/>
              <w:kinsoku/>
              <w:wordWrap/>
              <w:topLinePunct w:val="0"/>
              <w:bidi w:val="0"/>
              <w:spacing w:line="560" w:lineRule="exact"/>
              <w:jc w:val="center"/>
              <w:rPr>
                <w:rFonts w:hint="eastAsia" w:ascii="仿宋" w:hAnsi="仿宋" w:eastAsia="仿宋"/>
                <w:color w:val="auto"/>
                <w:kern w:val="0"/>
                <w:sz w:val="28"/>
                <w:szCs w:val="28"/>
                <w:highlight w:val="none"/>
              </w:rPr>
            </w:pPr>
            <w:r>
              <w:rPr>
                <w:rFonts w:hint="eastAsia" w:ascii="仿宋" w:hAnsi="仿宋" w:eastAsia="仿宋"/>
                <w:color w:val="auto"/>
                <w:kern w:val="0"/>
                <w:sz w:val="28"/>
                <w:szCs w:val="28"/>
                <w:highlight w:val="none"/>
              </w:rPr>
              <w:t>形成决议的议案数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发展战略研究委员会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10</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29</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风险管理委员会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11</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17</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宋体" w:cs="Times New Roman"/>
                <w:color w:val="auto"/>
                <w:kern w:val="0"/>
                <w:sz w:val="24"/>
                <w:szCs w:val="24"/>
                <w:highlight w:val="none"/>
                <w:lang w:val="en-US" w:eastAsia="zh-CN" w:bidi="ar-SA"/>
              </w:rPr>
            </w:pPr>
            <w:r>
              <w:rPr>
                <w:rFonts w:hint="eastAsia" w:eastAsia="宋体" w:cs="Times New Roman"/>
                <w:color w:val="auto"/>
                <w:kern w:val="0"/>
                <w:sz w:val="24"/>
                <w:szCs w:val="24"/>
                <w:highlight w:val="no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提名与薪酬委员会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6</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16</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关联交易控制委员会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8</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9</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三农金融服务委员会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审计委员会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4</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4</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反洗钱工作委员会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0</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0</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消费者权益保护工作委员会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0</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0</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信息科技管理委员会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21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lang w:bidi="ar"/>
              </w:rPr>
              <w:t>内部控制评价委员会</w:t>
            </w:r>
          </w:p>
        </w:tc>
        <w:tc>
          <w:tcPr>
            <w:tcW w:w="816"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2551"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1</w:t>
            </w:r>
          </w:p>
        </w:tc>
        <w:tc>
          <w:tcPr>
            <w:tcW w:w="1559" w:type="dxa"/>
            <w:noWrap w:val="0"/>
            <w:vAlign w:val="center"/>
          </w:tcPr>
          <w:p>
            <w:pPr>
              <w:keepNext w:val="0"/>
              <w:keepLines w:val="0"/>
              <w:pageBreakBefore w:val="0"/>
              <w:widowControl/>
              <w:kinsoku/>
              <w:wordWrap/>
              <w:topLinePunct w:val="0"/>
              <w:bidi w:val="0"/>
              <w:spacing w:line="560" w:lineRule="exact"/>
              <w:jc w:val="center"/>
              <w:textAlignment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9" w:type="dxa"/>
            <w:noWrap w:val="0"/>
            <w:vAlign w:val="top"/>
          </w:tcPr>
          <w:p>
            <w:pPr>
              <w:keepNext w:val="0"/>
              <w:keepLines w:val="0"/>
              <w:pageBreakBefore w:val="0"/>
              <w:kinsoku/>
              <w:wordWrap/>
              <w:topLinePunct w:val="0"/>
              <w:bidi w:val="0"/>
              <w:spacing w:line="560" w:lineRule="exact"/>
              <w:ind w:firstLine="720" w:firstLineChars="300"/>
              <w:rPr>
                <w:rFonts w:hint="default" w:ascii="Times New Roman" w:hAnsi="Times New Roman" w:eastAsia="仿宋" w:cs="Times New Roman"/>
                <w:color w:val="auto"/>
                <w:kern w:val="0"/>
                <w:sz w:val="28"/>
                <w:szCs w:val="28"/>
                <w:highlight w:val="none"/>
                <w:lang w:eastAsia="zh-CN"/>
              </w:rPr>
            </w:pPr>
            <w:r>
              <w:rPr>
                <w:rFonts w:hint="default" w:ascii="Times New Roman" w:hAnsi="Times New Roman" w:eastAsia="仿宋" w:cs="Times New Roman"/>
                <w:color w:val="auto"/>
                <w:kern w:val="0"/>
                <w:sz w:val="24"/>
                <w:highlight w:val="none"/>
                <w:lang w:eastAsia="zh-CN" w:bidi="ar"/>
              </w:rPr>
              <w:t>绿色信贷委员会</w:t>
            </w:r>
          </w:p>
        </w:tc>
        <w:tc>
          <w:tcPr>
            <w:tcW w:w="816"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3</w:t>
            </w:r>
          </w:p>
        </w:tc>
        <w:tc>
          <w:tcPr>
            <w:tcW w:w="255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highlight w:val="none"/>
                <w:lang w:val="en-US" w:eastAsia="zh-CN"/>
              </w:rPr>
            </w:pPr>
            <w:r>
              <w:rPr>
                <w:rFonts w:hint="eastAsia" w:eastAsia="仿宋" w:cs="Times New Roman"/>
                <w:color w:val="auto"/>
                <w:kern w:val="0"/>
                <w:sz w:val="24"/>
                <w:highlight w:val="none"/>
                <w:lang w:val="en-US" w:eastAsia="zh-CN"/>
              </w:rPr>
              <w:t>3</w:t>
            </w:r>
          </w:p>
        </w:tc>
        <w:tc>
          <w:tcPr>
            <w:tcW w:w="1559"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219" w:type="dxa"/>
            <w:noWrap w:val="0"/>
            <w:vAlign w:val="top"/>
          </w:tcPr>
          <w:p>
            <w:pPr>
              <w:keepNext w:val="0"/>
              <w:keepLines w:val="0"/>
              <w:pageBreakBefore w:val="0"/>
              <w:kinsoku/>
              <w:wordWrap/>
              <w:topLinePunct w:val="0"/>
              <w:bidi w:val="0"/>
              <w:spacing w:line="560" w:lineRule="exact"/>
              <w:rPr>
                <w:rFonts w:hint="default" w:ascii="Times New Roman" w:hAnsi="Times New Roman" w:eastAsia="仿宋" w:cs="Times New Roman"/>
                <w:color w:val="auto"/>
                <w:kern w:val="0"/>
                <w:sz w:val="28"/>
                <w:szCs w:val="28"/>
                <w:highlight w:val="none"/>
                <w:lang w:val="en-US" w:eastAsia="zh-CN" w:bidi="ar-SA"/>
              </w:rPr>
            </w:pPr>
            <w:r>
              <w:rPr>
                <w:rFonts w:hint="default" w:ascii="Times New Roman" w:hAnsi="Times New Roman" w:eastAsia="仿宋" w:cs="Times New Roman"/>
                <w:color w:val="auto"/>
                <w:kern w:val="0"/>
                <w:sz w:val="28"/>
                <w:szCs w:val="28"/>
                <w:highlight w:val="none"/>
              </w:rPr>
              <w:t xml:space="preserve">     合计</w:t>
            </w:r>
          </w:p>
        </w:tc>
        <w:tc>
          <w:tcPr>
            <w:tcW w:w="816"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45</w:t>
            </w:r>
          </w:p>
        </w:tc>
        <w:tc>
          <w:tcPr>
            <w:tcW w:w="2551"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81</w:t>
            </w:r>
          </w:p>
        </w:tc>
        <w:tc>
          <w:tcPr>
            <w:tcW w:w="1559" w:type="dxa"/>
            <w:noWrap w:val="0"/>
            <w:vAlign w:val="center"/>
          </w:tcPr>
          <w:p>
            <w:pPr>
              <w:keepNext w:val="0"/>
              <w:keepLines w:val="0"/>
              <w:pageBreakBefore w:val="0"/>
              <w:kinsoku/>
              <w:wordWrap/>
              <w:topLinePunct w:val="0"/>
              <w:bidi w:val="0"/>
              <w:spacing w:line="560" w:lineRule="exact"/>
              <w:jc w:val="center"/>
              <w:rPr>
                <w:rFonts w:hint="default" w:ascii="Times New Roman" w:hAnsi="Times New Roman"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81</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五、监事会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监事会是本行的监督机构，对股东大会负责，依据法律法规和本行章程的规定行使监督职能。本行监事会依照相关法规及本行章程的规定召开会议，行使检查、监督本行的财务活动，对董事会、高级管理人员履职与尽职情况进行监督，对董事、董事长及高级管理人员进行质询等监督职能。监事会各专门委员会按照各委员会工作规则召开会议，向监事会提供意见，或按照监事会授权审批相关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报告期内，本行监事会由张芹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邓成勇</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宋钦</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吴奂</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陶金</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赵庆峰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姜君</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名监事组成，</w:t>
      </w:r>
      <w:r>
        <w:rPr>
          <w:rFonts w:hint="default" w:ascii="Times New Roman" w:hAnsi="Times New Roman" w:eastAsia="仿宋_GB2312" w:cs="Times New Roman"/>
          <w:color w:val="auto"/>
          <w:sz w:val="32"/>
          <w:szCs w:val="32"/>
          <w:highlight w:val="none"/>
          <w:lang w:val="en-US" w:eastAsia="zh-CN"/>
        </w:rPr>
        <w:t>其中股东监事1名，职工监事3名，外部监事3名</w:t>
      </w:r>
      <w:r>
        <w:rPr>
          <w:rFonts w:hint="default" w:ascii="Times New Roman" w:hAnsi="Times New Roman" w:eastAsia="仿宋_GB2312" w:cs="Times New Roman"/>
          <w:color w:val="auto"/>
          <w:sz w:val="32"/>
          <w:szCs w:val="32"/>
          <w:highlight w:val="none"/>
        </w:rPr>
        <w:t>。</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年共召开</w:t>
      </w:r>
      <w:r>
        <w:rPr>
          <w:rFonts w:hint="default" w:ascii="Times New Roman" w:hAnsi="Times New Roman" w:eastAsia="仿宋_GB2312" w:cs="Times New Roman"/>
          <w:color w:val="auto"/>
          <w:sz w:val="32"/>
          <w:szCs w:val="32"/>
          <w:highlight w:val="none"/>
          <w:lang w:val="en-US" w:eastAsia="zh-CN"/>
        </w:rPr>
        <w:t>监事会议</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val="en-US" w:eastAsia="zh-CN"/>
        </w:rPr>
        <w:t>次、监督委员会议</w:t>
      </w:r>
      <w:r>
        <w:rPr>
          <w:rFonts w:hint="eastAsia" w:cs="Times New Roman"/>
          <w:color w:val="auto"/>
          <w:sz w:val="32"/>
          <w:szCs w:val="32"/>
          <w:highlight w:val="none"/>
          <w:lang w:val="en-US" w:eastAsia="zh-CN"/>
        </w:rPr>
        <w:t>14</w:t>
      </w:r>
      <w:r>
        <w:rPr>
          <w:rFonts w:hint="default" w:ascii="Times New Roman" w:hAnsi="Times New Roman" w:eastAsia="仿宋_GB2312" w:cs="Times New Roman"/>
          <w:color w:val="auto"/>
          <w:sz w:val="32"/>
          <w:szCs w:val="32"/>
          <w:highlight w:val="none"/>
          <w:lang w:val="en-US" w:eastAsia="zh-CN"/>
        </w:rPr>
        <w:t>次、提名委员会议5次</w:t>
      </w:r>
      <w:r>
        <w:rPr>
          <w:rFonts w:hint="default" w:ascii="Times New Roman" w:hAnsi="Times New Roman" w:eastAsia="仿宋_GB2312" w:cs="Times New Roman"/>
          <w:color w:val="auto"/>
          <w:sz w:val="32"/>
          <w:szCs w:val="32"/>
          <w:highlight w:val="none"/>
          <w:lang w:eastAsia="zh-CN"/>
        </w:rPr>
        <w:t>，派员</w:t>
      </w:r>
      <w:r>
        <w:rPr>
          <w:rFonts w:hint="default" w:ascii="Times New Roman" w:hAnsi="Times New Roman" w:eastAsia="仿宋_GB2312" w:cs="Times New Roman"/>
          <w:color w:val="auto"/>
          <w:sz w:val="32"/>
          <w:szCs w:val="32"/>
          <w:highlight w:val="none"/>
          <w:lang w:val="en-US" w:eastAsia="zh-CN"/>
        </w:rPr>
        <w:t>列席</w:t>
      </w:r>
      <w:r>
        <w:rPr>
          <w:rFonts w:hint="default" w:ascii="Times New Roman" w:hAnsi="Times New Roman" w:eastAsia="仿宋_GB2312" w:cs="Times New Roman"/>
          <w:b w:val="0"/>
          <w:bCs w:val="0"/>
          <w:color w:val="auto"/>
          <w:sz w:val="32"/>
          <w:szCs w:val="32"/>
          <w:highlight w:val="none"/>
          <w:lang w:val="en-US" w:eastAsia="zh-CN"/>
        </w:rPr>
        <w:t>董事会、</w:t>
      </w:r>
      <w:r>
        <w:rPr>
          <w:rFonts w:hint="default" w:ascii="Times New Roman" w:hAnsi="Times New Roman" w:eastAsia="仿宋_GB2312" w:cs="Times New Roman"/>
          <w:color w:val="auto"/>
          <w:sz w:val="32"/>
          <w:szCs w:val="32"/>
          <w:highlight w:val="none"/>
          <w:lang w:val="en-US" w:eastAsia="zh-CN"/>
        </w:rPr>
        <w:t>党委会、行办会、</w:t>
      </w:r>
      <w:r>
        <w:rPr>
          <w:rFonts w:hint="default" w:ascii="Times New Roman" w:hAnsi="Times New Roman" w:eastAsia="仿宋_GB2312" w:cs="Times New Roman"/>
          <w:b w:val="0"/>
          <w:bCs w:val="0"/>
          <w:color w:val="auto"/>
          <w:sz w:val="32"/>
          <w:szCs w:val="32"/>
          <w:highlight w:val="none"/>
          <w:lang w:val="en-US" w:eastAsia="zh-CN"/>
        </w:rPr>
        <w:t>股东大会、</w:t>
      </w:r>
      <w:r>
        <w:rPr>
          <w:rFonts w:hint="default" w:ascii="Times New Roman" w:hAnsi="Times New Roman" w:eastAsia="仿宋_GB2312" w:cs="Times New Roman"/>
          <w:color w:val="auto"/>
          <w:sz w:val="32"/>
          <w:szCs w:val="32"/>
          <w:highlight w:val="none"/>
          <w:lang w:val="en-US" w:eastAsia="zh-CN"/>
        </w:rPr>
        <w:t>采购会、邀投标会议等90余次，</w:t>
      </w:r>
      <w:r>
        <w:rPr>
          <w:rFonts w:hint="default" w:ascii="Times New Roman" w:hAnsi="Times New Roman" w:eastAsia="仿宋_GB2312" w:cs="Times New Roman"/>
          <w:b w:val="0"/>
          <w:bCs w:val="0"/>
          <w:color w:val="auto"/>
          <w:sz w:val="32"/>
          <w:szCs w:val="32"/>
          <w:highlight w:val="none"/>
          <w:lang w:val="en-US" w:eastAsia="zh-CN"/>
        </w:rPr>
        <w:t>认真听取议题报告，</w:t>
      </w:r>
      <w:r>
        <w:rPr>
          <w:rFonts w:hint="eastAsia" w:ascii="Times New Roman" w:hAnsi="Times New Roman" w:eastAsia="仿宋_GB2312" w:cs="Times New Roman"/>
          <w:color w:val="auto"/>
          <w:sz w:val="32"/>
          <w:szCs w:val="32"/>
          <w:highlight w:val="none"/>
          <w:lang w:val="en-US" w:eastAsia="zh-CN"/>
        </w:rPr>
        <w:t>加强集体</w:t>
      </w:r>
      <w:r>
        <w:rPr>
          <w:rFonts w:hint="default" w:ascii="Times New Roman" w:hAnsi="Times New Roman" w:eastAsia="仿宋_GB2312" w:cs="Times New Roman"/>
          <w:color w:val="auto"/>
          <w:sz w:val="32"/>
          <w:szCs w:val="32"/>
          <w:highlight w:val="none"/>
          <w:lang w:val="en-US" w:eastAsia="zh-CN"/>
        </w:rPr>
        <w:t>决策</w:t>
      </w:r>
      <w:r>
        <w:rPr>
          <w:rFonts w:hint="eastAsia" w:ascii="Times New Roman" w:hAnsi="Times New Roman" w:eastAsia="仿宋_GB2312" w:cs="Times New Roman"/>
          <w:color w:val="auto"/>
          <w:sz w:val="32"/>
          <w:szCs w:val="32"/>
          <w:highlight w:val="none"/>
          <w:lang w:val="en-US" w:eastAsia="zh-CN"/>
        </w:rPr>
        <w:t>全过程</w:t>
      </w:r>
      <w:r>
        <w:rPr>
          <w:rFonts w:hint="default" w:ascii="Times New Roman" w:hAnsi="Times New Roman" w:eastAsia="仿宋_GB2312" w:cs="Times New Roman"/>
          <w:color w:val="auto"/>
          <w:sz w:val="32"/>
          <w:szCs w:val="32"/>
          <w:highlight w:val="none"/>
          <w:lang w:val="en-US" w:eastAsia="zh-CN"/>
        </w:rPr>
        <w:t>监督，</w:t>
      </w:r>
      <w:r>
        <w:rPr>
          <w:rFonts w:hint="default" w:ascii="Times New Roman" w:hAnsi="Times New Roman" w:eastAsia="仿宋_GB2312" w:cs="Times New Roman"/>
          <w:b w:val="0"/>
          <w:bCs w:val="0"/>
          <w:color w:val="auto"/>
          <w:sz w:val="32"/>
          <w:szCs w:val="32"/>
          <w:highlight w:val="none"/>
          <w:lang w:val="en-US" w:eastAsia="zh-CN"/>
        </w:rPr>
        <w:t>从维护本行、股东</w:t>
      </w:r>
      <w:r>
        <w:rPr>
          <w:rFonts w:hint="default" w:ascii="Times New Roman" w:hAnsi="Times New Roman" w:eastAsia="仿宋_GB2312" w:cs="Times New Roman"/>
          <w:b w:val="0"/>
          <w:bCs w:val="0"/>
          <w:color w:val="auto"/>
          <w:sz w:val="32"/>
          <w:szCs w:val="32"/>
          <w:highlight w:val="none"/>
        </w:rPr>
        <w:t>等利益相关者的合法权益</w:t>
      </w:r>
      <w:r>
        <w:rPr>
          <w:rFonts w:hint="default" w:ascii="Times New Roman" w:hAnsi="Times New Roman" w:eastAsia="仿宋_GB2312" w:cs="Times New Roman"/>
          <w:b w:val="0"/>
          <w:bCs w:val="0"/>
          <w:color w:val="auto"/>
          <w:sz w:val="32"/>
          <w:szCs w:val="32"/>
          <w:highlight w:val="none"/>
          <w:lang w:val="en-US" w:eastAsia="zh-CN"/>
        </w:rPr>
        <w:t>角度提出监督意见或建议，确保各项决策符合法律规定和公司章程规定，公正、客观地履行好监督职责。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本行监事会下设监督委员会和提名委员会</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（一）</w:t>
      </w:r>
      <w:r>
        <w:rPr>
          <w:rFonts w:hint="default" w:ascii="Times New Roman" w:hAnsi="Times New Roman" w:eastAsia="仿宋_GB2312" w:cs="Times New Roman"/>
          <w:color w:val="auto"/>
          <w:sz w:val="32"/>
          <w:szCs w:val="32"/>
          <w:highlight w:val="none"/>
        </w:rPr>
        <w:t>监督委员会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eastAsia="zh-CN"/>
        </w:rPr>
        <w:t>主任委员：</w:t>
      </w:r>
      <w:r>
        <w:rPr>
          <w:rFonts w:hint="default" w:ascii="Times New Roman" w:hAnsi="Times New Roman" w:eastAsia="仿宋_GB2312" w:cs="Times New Roman"/>
          <w:color w:val="auto"/>
          <w:sz w:val="32"/>
          <w:szCs w:val="32"/>
          <w:highlight w:val="none"/>
          <w:lang w:val="en-US" w:eastAsia="zh-CN"/>
        </w:rPr>
        <w:t>赵庆峰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eastAsia="zh-CN"/>
        </w:rPr>
        <w:t>委    员：</w:t>
      </w:r>
      <w:r>
        <w:rPr>
          <w:rFonts w:hint="default" w:ascii="Times New Roman" w:hAnsi="Times New Roman" w:eastAsia="仿宋_GB2312" w:cs="Times New Roman"/>
          <w:color w:val="auto"/>
          <w:sz w:val="32"/>
          <w:szCs w:val="32"/>
          <w:highlight w:val="none"/>
          <w:lang w:val="en-US" w:eastAsia="zh-CN"/>
        </w:rPr>
        <w:t>陶金、姜君</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宋钦、吴奂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（二）</w:t>
      </w:r>
      <w:r>
        <w:rPr>
          <w:rFonts w:hint="eastAsia" w:ascii="仿宋_GB2312" w:hAnsi="仿宋_GB2312" w:eastAsia="仿宋_GB2312" w:cs="仿宋_GB2312"/>
          <w:color w:val="auto"/>
          <w:sz w:val="32"/>
          <w:szCs w:val="32"/>
          <w:highlight w:val="none"/>
        </w:rPr>
        <w:t>提名委员会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eastAsia="zh-CN"/>
        </w:rPr>
        <w:t>主任委员：</w:t>
      </w:r>
      <w:r>
        <w:rPr>
          <w:rFonts w:hint="default" w:ascii="Times New Roman" w:hAnsi="Times New Roman" w:eastAsia="仿宋_GB2312" w:cs="Times New Roman"/>
          <w:color w:val="auto"/>
          <w:sz w:val="32"/>
          <w:szCs w:val="32"/>
          <w:highlight w:val="none"/>
          <w:lang w:val="en-US" w:eastAsia="zh-CN"/>
        </w:rPr>
        <w:t>陶金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lang w:eastAsia="zh-CN"/>
        </w:rPr>
        <w:t>委    员：</w:t>
      </w:r>
      <w:r>
        <w:rPr>
          <w:rFonts w:hint="default" w:ascii="Times New Roman" w:hAnsi="Times New Roman" w:eastAsia="仿宋_GB2312" w:cs="Times New Roman"/>
          <w:color w:val="auto"/>
          <w:sz w:val="32"/>
          <w:szCs w:val="32"/>
          <w:highlight w:val="none"/>
          <w:lang w:val="en-US" w:eastAsia="zh-CN"/>
        </w:rPr>
        <w:t>赵庆峰、姜君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i w:val="0"/>
          <w:iCs w:val="0"/>
          <w:color w:val="auto"/>
          <w:sz w:val="32"/>
          <w:szCs w:val="32"/>
          <w:highlight w:val="none"/>
          <w:lang w:eastAsia="zh-CN"/>
        </w:rPr>
      </w:pPr>
      <w:r>
        <w:rPr>
          <w:rFonts w:hint="eastAsia" w:ascii="黑体" w:hAnsi="黑体" w:eastAsia="黑体" w:cs="黑体"/>
          <w:b w:val="0"/>
          <w:bCs/>
          <w:i w:val="0"/>
          <w:iCs w:val="0"/>
          <w:color w:val="auto"/>
          <w:sz w:val="32"/>
          <w:szCs w:val="32"/>
          <w:highlight w:val="none"/>
        </w:rPr>
        <w:t>六、高级管理层</w:t>
      </w:r>
    </w:p>
    <w:p>
      <w:pPr>
        <w:keepNext w:val="0"/>
        <w:keepLines w:val="0"/>
        <w:pageBreakBefore w:val="0"/>
        <w:kinsoku/>
        <w:wordWrap/>
        <w:topLinePunct w:val="0"/>
        <w:bidi w:val="0"/>
        <w:spacing w:line="560" w:lineRule="exact"/>
        <w:ind w:left="0" w:leftChars="0" w:firstLine="640" w:firstLineChars="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高级管理层是本行的执行机构，对董事会负责，执行董事会的各项决议，负责本行的经营管理工作。本行高级管理层由</w:t>
      </w:r>
      <w:r>
        <w:rPr>
          <w:rFonts w:hint="eastAsia" w:cs="Times New Roman"/>
          <w:color w:val="auto"/>
          <w:sz w:val="32"/>
          <w:szCs w:val="32"/>
          <w:highlight w:val="none"/>
          <w:lang w:eastAsia="zh-CN"/>
        </w:rPr>
        <w:t>郑小龙、</w:t>
      </w:r>
      <w:r>
        <w:rPr>
          <w:rFonts w:hint="default" w:ascii="Times New Roman" w:hAnsi="Times New Roman" w:eastAsia="仿宋_GB2312" w:cs="Times New Roman"/>
          <w:color w:val="auto"/>
          <w:sz w:val="32"/>
          <w:szCs w:val="32"/>
          <w:highlight w:val="none"/>
        </w:rPr>
        <w:t>陈优凯、</w:t>
      </w:r>
      <w:r>
        <w:rPr>
          <w:rFonts w:hint="default" w:ascii="Times New Roman" w:hAnsi="Times New Roman" w:eastAsia="仿宋_GB2312" w:cs="Times New Roman"/>
          <w:color w:val="auto"/>
          <w:sz w:val="32"/>
          <w:szCs w:val="32"/>
          <w:highlight w:val="none"/>
          <w:lang w:val="en-US" w:eastAsia="zh-CN"/>
        </w:rPr>
        <w:t>蔡成</w:t>
      </w:r>
      <w:r>
        <w:rPr>
          <w:rFonts w:hint="default" w:ascii="Times New Roman" w:hAnsi="Times New Roman" w:eastAsia="仿宋_GB2312" w:cs="Times New Roman"/>
          <w:color w:val="auto"/>
          <w:sz w:val="32"/>
          <w:szCs w:val="32"/>
          <w:highlight w:val="none"/>
        </w:rPr>
        <w:t>组成。本行高级管理层职责清晰，报告关系明确，在董事会的领导下，根据相关</w:t>
      </w:r>
      <w:r>
        <w:rPr>
          <w:rFonts w:hint="default" w:ascii="Times New Roman" w:hAnsi="Times New Roman" w:eastAsia="仿宋_GB2312" w:cs="Times New Roman"/>
          <w:color w:val="auto"/>
          <w:sz w:val="32"/>
          <w:szCs w:val="32"/>
          <w:highlight w:val="none"/>
          <w:lang w:eastAsia="zh-CN"/>
        </w:rPr>
        <w:t>法律法规</w:t>
      </w:r>
      <w:r>
        <w:rPr>
          <w:rFonts w:hint="default" w:ascii="Times New Roman" w:hAnsi="Times New Roman" w:eastAsia="仿宋_GB2312" w:cs="Times New Roman"/>
          <w:color w:val="auto"/>
          <w:sz w:val="32"/>
          <w:szCs w:val="32"/>
          <w:highlight w:val="none"/>
        </w:rPr>
        <w:t>、监管要求、本行章程及相关工作规则行使职权。高级管理层下设利率定价委员会</w:t>
      </w:r>
      <w:r>
        <w:rPr>
          <w:rFonts w:hint="eastAsia"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资产与负债管理委员会、财务管理委员会、</w:t>
      </w:r>
      <w:r>
        <w:rPr>
          <w:rFonts w:hint="default" w:ascii="Times New Roman" w:hAnsi="Times New Roman" w:eastAsia="仿宋_GB2312" w:cs="Times New Roman"/>
          <w:color w:val="auto"/>
          <w:sz w:val="32"/>
          <w:szCs w:val="32"/>
          <w:highlight w:val="none"/>
          <w:lang w:eastAsia="zh-CN"/>
        </w:rPr>
        <w:t>数据管理</w:t>
      </w:r>
      <w:r>
        <w:rPr>
          <w:rFonts w:hint="default" w:ascii="Times New Roman" w:hAnsi="Times New Roman" w:eastAsia="仿宋_GB2312" w:cs="Times New Roman"/>
          <w:color w:val="auto"/>
          <w:sz w:val="32"/>
          <w:szCs w:val="32"/>
          <w:highlight w:val="none"/>
        </w:rPr>
        <w:t>委员会</w:t>
      </w:r>
      <w:r>
        <w:rPr>
          <w:rFonts w:hint="default" w:ascii="Times New Roman" w:hAnsi="Times New Roman" w:eastAsia="仿宋_GB2312" w:cs="Times New Roman"/>
          <w:color w:val="auto"/>
          <w:sz w:val="32"/>
          <w:szCs w:val="32"/>
          <w:highlight w:val="none"/>
          <w:lang w:eastAsia="zh-CN"/>
        </w:rPr>
        <w:t>、流动性风险管理</w:t>
      </w:r>
      <w:r>
        <w:rPr>
          <w:rFonts w:hint="default" w:ascii="Times New Roman" w:hAnsi="Times New Roman" w:eastAsia="仿宋_GB2312" w:cs="Times New Roman"/>
          <w:color w:val="auto"/>
          <w:sz w:val="32"/>
          <w:szCs w:val="32"/>
          <w:highlight w:val="none"/>
        </w:rPr>
        <w:t>委员会</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农户贷款管理</w:t>
      </w:r>
      <w:r>
        <w:rPr>
          <w:rFonts w:hint="default" w:ascii="Times New Roman" w:hAnsi="Times New Roman" w:eastAsia="仿宋_GB2312" w:cs="Times New Roman"/>
          <w:color w:val="auto"/>
          <w:sz w:val="32"/>
          <w:szCs w:val="32"/>
          <w:highlight w:val="none"/>
          <w:lang w:val="en-US" w:eastAsia="zh-CN"/>
        </w:rPr>
        <w:t>委员会、</w:t>
      </w:r>
      <w:r>
        <w:rPr>
          <w:rFonts w:hint="default" w:ascii="Times New Roman" w:hAnsi="Times New Roman" w:eastAsia="仿宋_GB2312" w:cs="Times New Roman"/>
          <w:color w:val="auto"/>
          <w:sz w:val="32"/>
          <w:szCs w:val="32"/>
          <w:highlight w:val="none"/>
        </w:rPr>
        <w:t>风险管理委员会、业务连续性管理委员会</w:t>
      </w:r>
      <w:r>
        <w:rPr>
          <w:rFonts w:hint="default" w:ascii="Times New Roman" w:hAnsi="Times New Roman" w:eastAsia="仿宋_GB2312" w:cs="Times New Roman"/>
          <w:color w:val="auto"/>
          <w:sz w:val="32"/>
          <w:szCs w:val="32"/>
          <w:highlight w:val="none"/>
          <w:lang w:eastAsia="zh-CN"/>
        </w:rPr>
        <w:t>、集中采购管理委员会、</w:t>
      </w:r>
      <w:r>
        <w:rPr>
          <w:rFonts w:hint="default" w:ascii="Times New Roman" w:hAnsi="Times New Roman" w:eastAsia="仿宋_GB2312" w:cs="Times New Roman"/>
          <w:color w:val="auto"/>
          <w:sz w:val="32"/>
          <w:szCs w:val="32"/>
          <w:highlight w:val="none"/>
        </w:rPr>
        <w:t>授信审批管理委员会、</w:t>
      </w:r>
      <w:r>
        <w:rPr>
          <w:rFonts w:hint="default" w:ascii="Times New Roman" w:hAnsi="Times New Roman" w:eastAsia="仿宋_GB2312" w:cs="Times New Roman"/>
          <w:color w:val="auto"/>
          <w:sz w:val="32"/>
          <w:szCs w:val="32"/>
          <w:highlight w:val="none"/>
          <w:lang w:eastAsia="zh-CN"/>
        </w:rPr>
        <w:t>科技</w:t>
      </w:r>
      <w:r>
        <w:rPr>
          <w:rFonts w:hint="default" w:ascii="Times New Roman" w:hAnsi="Times New Roman" w:eastAsia="仿宋_GB2312" w:cs="Times New Roman"/>
          <w:color w:val="auto"/>
          <w:sz w:val="32"/>
          <w:szCs w:val="32"/>
          <w:highlight w:val="none"/>
        </w:rPr>
        <w:t>管理委员会、薪酬管理委员会、</w:t>
      </w:r>
      <w:r>
        <w:rPr>
          <w:rFonts w:hint="default" w:ascii="Times New Roman" w:hAnsi="Times New Roman" w:eastAsia="仿宋_GB2312" w:cs="Times New Roman"/>
          <w:color w:val="auto"/>
          <w:sz w:val="32"/>
          <w:szCs w:val="32"/>
          <w:highlight w:val="none"/>
          <w:lang w:eastAsia="zh-CN"/>
        </w:rPr>
        <w:t>补充医疗保险管理</w:t>
      </w:r>
      <w:r>
        <w:rPr>
          <w:rFonts w:hint="default" w:ascii="Times New Roman" w:hAnsi="Times New Roman" w:eastAsia="仿宋_GB2312" w:cs="Times New Roman"/>
          <w:color w:val="auto"/>
          <w:sz w:val="32"/>
          <w:szCs w:val="32"/>
          <w:highlight w:val="none"/>
        </w:rPr>
        <w:t>委员会</w:t>
      </w:r>
      <w:r>
        <w:rPr>
          <w:rFonts w:hint="default" w:ascii="Times New Roman" w:hAnsi="Times New Roman" w:eastAsia="仿宋_GB2312" w:cs="Times New Roman"/>
          <w:color w:val="auto"/>
          <w:sz w:val="32"/>
          <w:szCs w:val="32"/>
          <w:highlight w:val="none"/>
          <w:lang w:eastAsia="zh-CN"/>
        </w:rPr>
        <w:t>、企业年金</w:t>
      </w:r>
      <w:r>
        <w:rPr>
          <w:rFonts w:hint="default" w:ascii="Times New Roman" w:hAnsi="Times New Roman" w:eastAsia="仿宋_GB2312" w:cs="Times New Roman"/>
          <w:color w:val="auto"/>
          <w:sz w:val="32"/>
          <w:szCs w:val="32"/>
          <w:highlight w:val="none"/>
        </w:rPr>
        <w:t>管理委员会</w:t>
      </w:r>
      <w:r>
        <w:rPr>
          <w:rFonts w:hint="default" w:ascii="Times New Roman" w:hAnsi="Times New Roman" w:eastAsia="仿宋_GB2312" w:cs="Times New Roman"/>
          <w:color w:val="auto"/>
          <w:sz w:val="32"/>
          <w:szCs w:val="32"/>
          <w:highlight w:val="none"/>
          <w:lang w:eastAsia="zh-CN"/>
        </w:rPr>
        <w:t>、养老保障计划管理</w:t>
      </w:r>
      <w:r>
        <w:rPr>
          <w:rFonts w:hint="default" w:ascii="Times New Roman" w:hAnsi="Times New Roman" w:eastAsia="仿宋_GB2312" w:cs="Times New Roman"/>
          <w:color w:val="auto"/>
          <w:sz w:val="32"/>
          <w:szCs w:val="32"/>
          <w:highlight w:val="none"/>
        </w:rPr>
        <w:t>委员会</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基建管理委员会</w:t>
      </w:r>
      <w:r>
        <w:rPr>
          <w:rFonts w:hint="default" w:ascii="Times New Roman" w:hAnsi="Times New Roman" w:eastAsia="仿宋_GB2312" w:cs="Times New Roman"/>
          <w:color w:val="auto"/>
          <w:sz w:val="32"/>
          <w:szCs w:val="32"/>
          <w:highlight w:val="none"/>
        </w:rPr>
        <w:t>，各委员会根据高级管理层的授权及委员会工作规则开展工作。</w:t>
      </w:r>
      <w:r>
        <w:rPr>
          <w:rFonts w:hint="default" w:ascii="Times New Roman" w:hAnsi="Times New Roman" w:eastAsia="仿宋_GB2312" w:cs="Times New Roman"/>
          <w:color w:val="auto"/>
          <w:sz w:val="32"/>
          <w:szCs w:val="32"/>
          <w:highlight w:val="none"/>
        </w:rPr>
        <w:br w:type="textWrapping"/>
      </w:r>
      <w:r>
        <w:rPr>
          <w:rFonts w:hint="default" w:ascii="Times New Roman" w:hAnsi="Times New Roman" w:eastAsia="仿宋_GB2312" w:cs="Times New Roman"/>
          <w:color w:val="auto"/>
          <w:sz w:val="32"/>
          <w:szCs w:val="32"/>
          <w:highlight w:val="none"/>
          <w:lang w:val="en-US" w:eastAsia="zh-CN"/>
        </w:rPr>
        <w:t xml:space="preserve">     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年召开行长办公会5</w:t>
      </w:r>
      <w:r>
        <w:rPr>
          <w:rFonts w:hint="eastAsia"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次，产品管理委员会</w:t>
      </w:r>
      <w:r>
        <w:rPr>
          <w:rFonts w:hint="eastAsia"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次，资产与负债管理委员会</w:t>
      </w:r>
      <w:r>
        <w:rPr>
          <w:rFonts w:hint="eastAsia"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lang w:val="en-US" w:eastAsia="zh-CN"/>
        </w:rPr>
        <w:t>次、风险管理委员会</w:t>
      </w:r>
      <w:r>
        <w:rPr>
          <w:rFonts w:hint="eastAsia" w:cs="Times New Roman"/>
          <w:color w:val="auto"/>
          <w:sz w:val="32"/>
          <w:szCs w:val="32"/>
          <w:highlight w:val="none"/>
          <w:lang w:val="en-US" w:eastAsia="zh-CN"/>
        </w:rPr>
        <w:t>56</w:t>
      </w:r>
      <w:r>
        <w:rPr>
          <w:rFonts w:hint="default" w:ascii="Times New Roman" w:hAnsi="Times New Roman" w:eastAsia="仿宋_GB2312" w:cs="Times New Roman"/>
          <w:color w:val="auto"/>
          <w:sz w:val="32"/>
          <w:szCs w:val="32"/>
          <w:highlight w:val="none"/>
          <w:lang w:val="en-US" w:eastAsia="zh-CN"/>
        </w:rPr>
        <w:t>次、财务管理委员会</w:t>
      </w:r>
      <w:r>
        <w:rPr>
          <w:rFonts w:hint="eastAsia" w:cs="Times New Roman"/>
          <w:color w:val="auto"/>
          <w:sz w:val="32"/>
          <w:szCs w:val="32"/>
          <w:highlight w:val="none"/>
          <w:lang w:val="en-US" w:eastAsia="zh-CN"/>
        </w:rPr>
        <w:t>40</w:t>
      </w:r>
      <w:r>
        <w:rPr>
          <w:rFonts w:hint="default" w:ascii="Times New Roman" w:hAnsi="Times New Roman" w:eastAsia="仿宋_GB2312" w:cs="Times New Roman"/>
          <w:color w:val="auto"/>
          <w:sz w:val="32"/>
          <w:szCs w:val="32"/>
          <w:highlight w:val="none"/>
          <w:lang w:val="en-US" w:eastAsia="zh-CN"/>
        </w:rPr>
        <w:t>次、授信审批管理委员会</w:t>
      </w:r>
      <w:r>
        <w:rPr>
          <w:rFonts w:hint="eastAsia" w:cs="Times New Roman"/>
          <w:color w:val="auto"/>
          <w:sz w:val="32"/>
          <w:szCs w:val="32"/>
          <w:highlight w:val="none"/>
          <w:lang w:val="en-US" w:eastAsia="zh-CN"/>
        </w:rPr>
        <w:t>56</w:t>
      </w:r>
      <w:r>
        <w:rPr>
          <w:rFonts w:hint="default" w:ascii="Times New Roman" w:hAnsi="Times New Roman" w:eastAsia="仿宋_GB2312" w:cs="Times New Roman"/>
          <w:color w:val="auto"/>
          <w:sz w:val="32"/>
          <w:szCs w:val="32"/>
          <w:highlight w:val="none"/>
          <w:lang w:val="en-US" w:eastAsia="zh-CN"/>
        </w:rPr>
        <w:t>次、利率定价委员会</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次、薪酬管理委员会</w:t>
      </w:r>
      <w:r>
        <w:rPr>
          <w:rFonts w:hint="eastAsia" w:cs="Times New Roman"/>
          <w:color w:val="auto"/>
          <w:sz w:val="32"/>
          <w:szCs w:val="32"/>
          <w:highlight w:val="none"/>
          <w:lang w:val="en-US" w:eastAsia="zh-CN"/>
        </w:rPr>
        <w:t>13</w:t>
      </w:r>
      <w:r>
        <w:rPr>
          <w:rFonts w:hint="default" w:ascii="Times New Roman" w:hAnsi="Times New Roman" w:eastAsia="仿宋_GB2312" w:cs="Times New Roman"/>
          <w:color w:val="auto"/>
          <w:sz w:val="32"/>
          <w:szCs w:val="32"/>
          <w:highlight w:val="none"/>
          <w:lang w:val="en-US" w:eastAsia="zh-CN"/>
        </w:rPr>
        <w:t>次</w:t>
      </w:r>
      <w:r>
        <w:rPr>
          <w:rFonts w:hint="eastAsia"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农户贷款管理</w:t>
      </w:r>
      <w:r>
        <w:rPr>
          <w:rFonts w:hint="default" w:ascii="Times New Roman" w:hAnsi="Times New Roman" w:eastAsia="仿宋_GB2312" w:cs="Times New Roman"/>
          <w:color w:val="auto"/>
          <w:sz w:val="32"/>
          <w:szCs w:val="32"/>
          <w:highlight w:val="none"/>
          <w:lang w:val="en-US" w:eastAsia="zh-CN"/>
        </w:rPr>
        <w:t>委员会</w:t>
      </w:r>
      <w:r>
        <w:rPr>
          <w:rFonts w:hint="eastAsia" w:cs="Times New Roman"/>
          <w:color w:val="auto"/>
          <w:sz w:val="32"/>
          <w:szCs w:val="32"/>
          <w:highlight w:val="none"/>
          <w:lang w:val="en-US" w:eastAsia="zh-CN"/>
        </w:rPr>
        <w:t>2次、</w:t>
      </w:r>
      <w:r>
        <w:rPr>
          <w:rFonts w:hint="default" w:ascii="Times New Roman" w:hAnsi="Times New Roman" w:eastAsia="仿宋_GB2312" w:cs="Times New Roman"/>
          <w:color w:val="auto"/>
          <w:sz w:val="32"/>
          <w:szCs w:val="32"/>
          <w:highlight w:val="none"/>
          <w:lang w:val="en-US" w:eastAsia="zh-CN"/>
        </w:rPr>
        <w:t>科技管理委员会</w:t>
      </w:r>
      <w:r>
        <w:rPr>
          <w:rFonts w:hint="eastAsia"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次、工会委员会</w:t>
      </w:r>
      <w:r>
        <w:rPr>
          <w:rFonts w:hint="eastAsia"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次、集中采购管理委员会</w:t>
      </w:r>
      <w:r>
        <w:rPr>
          <w:rFonts w:hint="eastAsia" w:cs="Times New Roman"/>
          <w:color w:val="auto"/>
          <w:sz w:val="32"/>
          <w:szCs w:val="32"/>
          <w:highlight w:val="none"/>
          <w:lang w:val="en-US" w:eastAsia="zh-CN"/>
        </w:rPr>
        <w:t>15</w:t>
      </w:r>
      <w:r>
        <w:rPr>
          <w:rFonts w:hint="default" w:ascii="Times New Roman" w:hAnsi="Times New Roman" w:eastAsia="仿宋_GB2312" w:cs="Times New Roman"/>
          <w:color w:val="auto"/>
          <w:sz w:val="32"/>
          <w:szCs w:val="32"/>
          <w:highlight w:val="none"/>
          <w:lang w:val="en-US" w:eastAsia="zh-CN"/>
        </w:rPr>
        <w:t>次、补充医疗保险管理委员会</w:t>
      </w:r>
      <w:r>
        <w:rPr>
          <w:rFonts w:hint="eastAsia"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次</w:t>
      </w:r>
      <w:r>
        <w:rPr>
          <w:rFonts w:hint="eastAsia"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rPr>
        <w:t>基建管理委员会</w:t>
      </w:r>
      <w:r>
        <w:rPr>
          <w:rFonts w:hint="eastAsia" w:cs="Times New Roman"/>
          <w:color w:val="auto"/>
          <w:sz w:val="32"/>
          <w:szCs w:val="32"/>
          <w:highlight w:val="none"/>
          <w:lang w:val="en-US" w:eastAsia="zh-CN"/>
        </w:rPr>
        <w:t>3次</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董事、监事</w:t>
      </w:r>
      <w:r>
        <w:rPr>
          <w:rFonts w:hint="eastAsia" w:ascii="黑体" w:hAnsi="黑体" w:eastAsia="黑体" w:cs="黑体"/>
          <w:b w:val="0"/>
          <w:bCs/>
          <w:color w:val="auto"/>
          <w:sz w:val="32"/>
          <w:szCs w:val="32"/>
          <w:highlight w:val="none"/>
          <w:lang w:eastAsia="zh-CN"/>
        </w:rPr>
        <w:t>、高级管理人员</w:t>
      </w:r>
      <w:r>
        <w:rPr>
          <w:rFonts w:hint="eastAsia" w:ascii="黑体" w:hAnsi="黑体" w:eastAsia="黑体" w:cs="黑体"/>
          <w:b w:val="0"/>
          <w:bCs/>
          <w:color w:val="auto"/>
          <w:sz w:val="32"/>
          <w:szCs w:val="32"/>
          <w:highlight w:val="none"/>
        </w:rPr>
        <w:t>的履职情况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rPr>
      </w:pPr>
      <w:r>
        <w:rPr>
          <w:rFonts w:hint="eastAsia" w:ascii="仿宋_GB2312" w:hAnsi="仿宋_GB2312" w:eastAsia="仿宋_GB2312" w:cs="仿宋_GB2312"/>
          <w:bCs/>
          <w:color w:val="auto"/>
          <w:sz w:val="32"/>
          <w:szCs w:val="32"/>
          <w:highlight w:val="none"/>
        </w:rPr>
        <w:t>为维护安顺农商银行及全体股东、利益相关者的合法权益，规范董事、监事履职行为，安顺农商银行监事会坚持和加强党的领导，认真贯彻落实党的二十大精神，根据《银行保</w:t>
      </w:r>
      <w:r>
        <w:rPr>
          <w:rFonts w:hint="default" w:ascii="Times New Roman" w:hAnsi="Times New Roman" w:eastAsia="仿宋_GB2312" w:cs="Times New Roman"/>
          <w:bCs/>
          <w:color w:val="auto"/>
          <w:sz w:val="32"/>
          <w:szCs w:val="32"/>
          <w:highlight w:val="none"/>
        </w:rPr>
        <w:t>险机构董事监事履职评价办法（试行）》《安顺农村商业银行股份有限公司章程》等有关规定认真履行监督职责，遵循依法合规、客观公正、标准统一、科学有效、问责严格的原则，对2023年度董事、监事</w:t>
      </w:r>
      <w:r>
        <w:rPr>
          <w:rFonts w:hint="eastAsia" w:cs="Times New Roman"/>
          <w:bCs/>
          <w:color w:val="auto"/>
          <w:sz w:val="32"/>
          <w:szCs w:val="32"/>
          <w:highlight w:val="none"/>
          <w:lang w:eastAsia="zh-CN"/>
        </w:rPr>
        <w:t>、高级管理人员</w:t>
      </w:r>
      <w:r>
        <w:rPr>
          <w:rFonts w:hint="default" w:ascii="Times New Roman" w:hAnsi="Times New Roman" w:eastAsia="仿宋_GB2312" w:cs="Times New Roman"/>
          <w:bCs/>
          <w:color w:val="auto"/>
          <w:sz w:val="32"/>
          <w:szCs w:val="32"/>
          <w:highlight w:val="none"/>
        </w:rPr>
        <w:t>的履职情况进行评价。</w:t>
      </w:r>
    </w:p>
    <w:p>
      <w:pPr>
        <w:keepNext w:val="0"/>
        <w:keepLines w:val="0"/>
        <w:pageBreakBefore w:val="0"/>
        <w:kinsoku/>
        <w:wordWrap/>
        <w:topLinePunct w:val="0"/>
        <w:bidi w:val="0"/>
        <w:spacing w:line="560" w:lineRule="exact"/>
        <w:ind w:firstLine="640" w:firstLineChars="200"/>
        <w:rPr>
          <w:rFonts w:hint="default" w:ascii="Times New Roman" w:hAnsi="Times New Roman" w:eastAsia="楷体" w:cs="Times New Roman"/>
          <w:bCs/>
          <w:color w:val="auto"/>
          <w:sz w:val="32"/>
          <w:szCs w:val="32"/>
          <w:highlight w:val="none"/>
          <w:lang w:eastAsia="zh-CN"/>
        </w:rPr>
      </w:pPr>
      <w:r>
        <w:rPr>
          <w:rFonts w:hint="default" w:ascii="Times New Roman" w:hAnsi="Times New Roman" w:eastAsia="楷体" w:cs="Times New Roman"/>
          <w:bCs/>
          <w:color w:val="auto"/>
          <w:sz w:val="32"/>
          <w:szCs w:val="32"/>
          <w:highlight w:val="none"/>
          <w:lang w:eastAsia="zh-CN"/>
        </w:rPr>
        <w:t>（一）董事履职评价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right="300" w:firstLine="640" w:firstLineChars="200"/>
        <w:jc w:val="both"/>
        <w:textAlignment w:val="auto"/>
        <w:rPr>
          <w:rFonts w:hint="eastAsia" w:ascii="仿宋_GB2312" w:hAnsi="仿宋_GB2312" w:eastAsia="仿宋_GB2312" w:cs="仿宋_GB2312"/>
          <w:bCs/>
          <w:color w:val="auto"/>
          <w:sz w:val="32"/>
          <w:szCs w:val="32"/>
          <w:highlight w:val="none"/>
          <w:lang w:eastAsia="zh-CN"/>
        </w:rPr>
      </w:pPr>
      <w:r>
        <w:rPr>
          <w:rFonts w:hint="default" w:ascii="Times New Roman" w:hAnsi="Times New Roman" w:eastAsia="仿宋_GB2312" w:cs="Times New Roman"/>
          <w:bCs/>
          <w:color w:val="auto"/>
          <w:sz w:val="32"/>
          <w:szCs w:val="32"/>
          <w:highlight w:val="none"/>
        </w:rPr>
        <w:t>安顺农商银行第二届董事会履职时间超过半年的董事有</w:t>
      </w:r>
      <w:r>
        <w:rPr>
          <w:rFonts w:hint="eastAsia" w:cs="Times New Roman"/>
          <w:bCs/>
          <w:color w:val="auto"/>
          <w:sz w:val="32"/>
          <w:szCs w:val="32"/>
          <w:highlight w:val="none"/>
          <w:lang w:val="en-US" w:eastAsia="zh-CN"/>
        </w:rPr>
        <w:t>8</w:t>
      </w:r>
      <w:r>
        <w:rPr>
          <w:rFonts w:hint="default" w:ascii="Times New Roman" w:hAnsi="Times New Roman" w:eastAsia="仿宋_GB2312" w:cs="Times New Roman"/>
          <w:bCs/>
          <w:color w:val="auto"/>
          <w:sz w:val="32"/>
          <w:szCs w:val="32"/>
          <w:highlight w:val="none"/>
        </w:rPr>
        <w:t>名，</w:t>
      </w:r>
      <w:r>
        <w:rPr>
          <w:rFonts w:hint="eastAsia" w:ascii="Times New Roman" w:hAnsi="Times New Roman" w:eastAsia="仿宋_GB2312" w:cs="Times New Roman"/>
          <w:color w:val="auto"/>
          <w:kern w:val="2"/>
          <w:sz w:val="32"/>
          <w:szCs w:val="32"/>
          <w:highlight w:val="none"/>
          <w:lang w:val="en-US" w:eastAsia="zh-CN" w:bidi="ar-SA"/>
        </w:rPr>
        <w:t>分别为：江弘、谭振发、陈优凯、张桂华、袁雨芳、陈健、黄思刚、熊晓炼</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根据</w:t>
      </w:r>
      <w:r>
        <w:rPr>
          <w:rFonts w:hint="eastAsia" w:ascii="仿宋_GB2312" w:hAnsi="仿宋_GB2312" w:eastAsia="仿宋_GB2312" w:cs="仿宋_GB2312"/>
          <w:color w:val="auto"/>
          <w:kern w:val="2"/>
          <w:sz w:val="32"/>
          <w:szCs w:val="32"/>
          <w:highlight w:val="none"/>
          <w:lang w:val="en-US" w:eastAsia="zh-CN" w:bidi="ar-SA"/>
        </w:rPr>
        <w:t>《安顺农村商业银行股份有限公司董事、监事履职评价办法》《安顺农村商业银行股份有限公司董事会议事规则》《安顺农村商业银行股份有限公司监事会议事规则》等相关制度</w:t>
      </w:r>
      <w:r>
        <w:rPr>
          <w:rFonts w:hint="eastAsia" w:ascii="仿宋_GB2312" w:hAnsi="仿宋_GB2312" w:cs="仿宋_GB2312"/>
          <w:color w:val="auto"/>
          <w:kern w:val="2"/>
          <w:sz w:val="32"/>
          <w:szCs w:val="32"/>
          <w:highlight w:val="none"/>
          <w:lang w:val="en-US" w:eastAsia="zh-CN" w:bidi="ar-SA"/>
        </w:rPr>
        <w:t>，</w:t>
      </w:r>
      <w:r>
        <w:rPr>
          <w:rFonts w:hint="eastAsia" w:cs="Times New Roman"/>
          <w:bCs/>
          <w:color w:val="auto"/>
          <w:sz w:val="32"/>
          <w:szCs w:val="32"/>
          <w:highlight w:val="none"/>
          <w:lang w:val="en-US" w:eastAsia="zh-CN"/>
        </w:rPr>
        <w:t>2024年度，对</w:t>
      </w:r>
      <w:r>
        <w:rPr>
          <w:rFonts w:hint="eastAsia" w:ascii="Times New Roman" w:hAnsi="Times New Roman" w:eastAsia="仿宋_GB2312" w:cs="Times New Roman"/>
          <w:color w:val="auto"/>
          <w:kern w:val="2"/>
          <w:sz w:val="32"/>
          <w:szCs w:val="32"/>
          <w:highlight w:val="none"/>
          <w:lang w:val="en-US" w:eastAsia="zh-CN" w:bidi="ar-SA"/>
        </w:rPr>
        <w:t>江弘、谭振发、陈优凯、张桂华、袁雨芳、陈健、黄思刚、熊晓炼</w:t>
      </w:r>
      <w:r>
        <w:rPr>
          <w:rFonts w:hint="eastAsia" w:ascii="仿宋_GB2312" w:hAnsi="仿宋_GB2312" w:eastAsia="仿宋_GB2312" w:cs="仿宋_GB2312"/>
          <w:bCs/>
          <w:color w:val="auto"/>
          <w:sz w:val="32"/>
          <w:szCs w:val="32"/>
          <w:highlight w:val="none"/>
          <w:lang w:eastAsia="zh-CN"/>
        </w:rPr>
        <w:t>的履职评价为称职。</w:t>
      </w:r>
    </w:p>
    <w:p>
      <w:pPr>
        <w:keepNext w:val="0"/>
        <w:keepLines w:val="0"/>
        <w:pageBreakBefore w:val="0"/>
        <w:kinsoku/>
        <w:wordWrap/>
        <w:topLinePunct w:val="0"/>
        <w:bidi w:val="0"/>
        <w:spacing w:line="560" w:lineRule="exact"/>
        <w:ind w:firstLine="640" w:firstLineChars="200"/>
        <w:rPr>
          <w:rFonts w:hint="eastAsia" w:ascii="楷体" w:hAnsi="楷体" w:eastAsia="楷体" w:cs="楷体"/>
          <w:bCs/>
          <w:color w:val="auto"/>
          <w:sz w:val="32"/>
          <w:szCs w:val="32"/>
          <w:highlight w:val="none"/>
          <w:lang w:eastAsia="zh-CN"/>
        </w:rPr>
      </w:pPr>
      <w:r>
        <w:rPr>
          <w:rFonts w:hint="eastAsia" w:ascii="楷体" w:hAnsi="楷体" w:eastAsia="楷体" w:cs="楷体"/>
          <w:bCs/>
          <w:color w:val="auto"/>
          <w:sz w:val="32"/>
          <w:szCs w:val="32"/>
          <w:highlight w:val="none"/>
          <w:lang w:eastAsia="zh-CN"/>
        </w:rPr>
        <w:t>（二）监事履职评价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right="300" w:firstLine="640" w:firstLineChars="200"/>
        <w:jc w:val="both"/>
        <w:textAlignment w:val="auto"/>
        <w:rPr>
          <w:rFonts w:hint="default" w:ascii="Times New Roman" w:hAnsi="Times New Roman" w:eastAsia="仿宋_GB2312" w:cs="Times New Roman"/>
          <w:bCs/>
          <w:color w:val="auto"/>
          <w:sz w:val="32"/>
          <w:szCs w:val="32"/>
          <w:highlight w:val="none"/>
          <w:lang w:eastAsia="zh-CN"/>
        </w:rPr>
      </w:pPr>
      <w:r>
        <w:rPr>
          <w:rFonts w:hint="default" w:ascii="Times New Roman" w:hAnsi="Times New Roman" w:eastAsia="仿宋_GB2312" w:cs="Times New Roman"/>
          <w:bCs/>
          <w:color w:val="auto"/>
          <w:sz w:val="32"/>
          <w:szCs w:val="32"/>
          <w:highlight w:val="none"/>
        </w:rPr>
        <w:t>第二届监事会履职时间超过半年的监事7名，分别是张芹、宋钦、吴奂、邓成勇、赵庆峰、陶金、姜君</w:t>
      </w:r>
      <w:r>
        <w:rPr>
          <w:rFonts w:hint="default" w:ascii="Times New Roman" w:hAnsi="Times New Roman" w:eastAsia="仿宋_GB2312" w:cs="Times New Roman"/>
          <w:bCs/>
          <w:color w:val="auto"/>
          <w:sz w:val="32"/>
          <w:szCs w:val="32"/>
          <w:highlight w:val="none"/>
          <w:lang w:eastAsia="zh-CN"/>
        </w:rPr>
        <w:t>，</w:t>
      </w:r>
      <w:r>
        <w:rPr>
          <w:rFonts w:hint="default" w:ascii="Times New Roman" w:hAnsi="Times New Roman" w:eastAsia="仿宋_GB2312" w:cs="Times New Roman"/>
          <w:bCs/>
          <w:color w:val="auto"/>
          <w:sz w:val="32"/>
          <w:szCs w:val="32"/>
          <w:highlight w:val="none"/>
        </w:rPr>
        <w:t>根据《安顺农村商业银行股份有限公司董事、监事履职评价办法》《安顺农村商业银行股份有限公司董事会议事规则》《安顺农村商业银行股份有限公司监事会议事规则》等相关制度</w:t>
      </w:r>
      <w:r>
        <w:rPr>
          <w:rFonts w:hint="eastAsia" w:cs="Times New Roman"/>
          <w:bCs/>
          <w:color w:val="auto"/>
          <w:sz w:val="32"/>
          <w:szCs w:val="32"/>
          <w:highlight w:val="none"/>
          <w:lang w:eastAsia="zh-CN"/>
        </w:rPr>
        <w:t>，</w:t>
      </w:r>
      <w:r>
        <w:rPr>
          <w:rFonts w:hint="eastAsia" w:cs="Times New Roman"/>
          <w:bCs/>
          <w:color w:val="auto"/>
          <w:sz w:val="32"/>
          <w:szCs w:val="32"/>
          <w:highlight w:val="none"/>
          <w:lang w:val="en-US" w:eastAsia="zh-CN"/>
        </w:rPr>
        <w:t>2024年度，</w:t>
      </w:r>
      <w:r>
        <w:rPr>
          <w:rFonts w:hint="default" w:ascii="Times New Roman" w:hAnsi="Times New Roman" w:eastAsia="仿宋_GB2312" w:cs="Times New Roman"/>
          <w:bCs/>
          <w:color w:val="auto"/>
          <w:sz w:val="32"/>
          <w:szCs w:val="32"/>
          <w:highlight w:val="none"/>
          <w:lang w:eastAsia="zh-CN"/>
        </w:rPr>
        <w:t>对张芹、邓成勇、赵庆峰、陶金、姜君、宋钦、吴奂</w:t>
      </w:r>
      <w:r>
        <w:rPr>
          <w:rFonts w:hint="eastAsia" w:cs="Times New Roman"/>
          <w:bCs/>
          <w:color w:val="auto"/>
          <w:sz w:val="32"/>
          <w:szCs w:val="32"/>
          <w:highlight w:val="none"/>
          <w:lang w:eastAsia="zh-CN"/>
        </w:rPr>
        <w:t>的</w:t>
      </w:r>
      <w:r>
        <w:rPr>
          <w:rFonts w:hint="default" w:ascii="Times New Roman" w:hAnsi="Times New Roman" w:eastAsia="仿宋_GB2312" w:cs="Times New Roman"/>
          <w:bCs/>
          <w:color w:val="auto"/>
          <w:sz w:val="32"/>
          <w:szCs w:val="32"/>
          <w:highlight w:val="none"/>
          <w:lang w:eastAsia="zh-CN"/>
        </w:rPr>
        <w:t>履职评价为称职。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 w:cs="Times New Roman"/>
          <w:bCs/>
          <w:color w:val="auto"/>
          <w:sz w:val="32"/>
          <w:szCs w:val="32"/>
          <w:highlight w:val="none"/>
          <w:lang w:eastAsia="zh-CN"/>
        </w:rPr>
      </w:pPr>
      <w:r>
        <w:rPr>
          <w:rFonts w:hint="default" w:ascii="Times New Roman" w:hAnsi="Times New Roman" w:eastAsia="楷体" w:cs="Times New Roman"/>
          <w:bCs/>
          <w:color w:val="auto"/>
          <w:sz w:val="32"/>
          <w:szCs w:val="32"/>
          <w:highlight w:val="none"/>
          <w:lang w:eastAsia="zh-CN"/>
        </w:rPr>
        <w:t>（</w:t>
      </w:r>
      <w:r>
        <w:rPr>
          <w:rFonts w:hint="default" w:ascii="Times New Roman" w:hAnsi="Times New Roman" w:eastAsia="楷体" w:cs="Times New Roman"/>
          <w:bCs/>
          <w:color w:val="auto"/>
          <w:sz w:val="32"/>
          <w:szCs w:val="32"/>
          <w:highlight w:val="none"/>
          <w:lang w:val="en-US" w:eastAsia="zh-CN"/>
        </w:rPr>
        <w:t>三</w:t>
      </w:r>
      <w:r>
        <w:rPr>
          <w:rFonts w:hint="default" w:ascii="Times New Roman" w:hAnsi="Times New Roman" w:eastAsia="楷体" w:cs="Times New Roman"/>
          <w:bCs/>
          <w:color w:val="auto"/>
          <w:sz w:val="32"/>
          <w:szCs w:val="32"/>
          <w:highlight w:val="none"/>
          <w:lang w:eastAsia="zh-CN"/>
        </w:rPr>
        <w:t xml:space="preserve">）高级管理人员履职情况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lang w:eastAsia="zh-CN"/>
        </w:rPr>
      </w:pPr>
      <w:r>
        <w:rPr>
          <w:rFonts w:hint="default" w:ascii="Times New Roman" w:hAnsi="Times New Roman" w:eastAsia="仿宋_GB2312" w:cs="Times New Roman"/>
          <w:bCs/>
          <w:color w:val="auto"/>
          <w:sz w:val="32"/>
          <w:szCs w:val="32"/>
          <w:highlight w:val="none"/>
          <w:lang w:eastAsia="zh-CN"/>
        </w:rPr>
        <w:t>报告期内，高级管理层</w:t>
      </w:r>
      <w:r>
        <w:rPr>
          <w:rFonts w:hint="default" w:ascii="Times New Roman" w:hAnsi="Times New Roman" w:eastAsia="仿宋_GB2312" w:cs="Times New Roman"/>
          <w:bCs/>
          <w:color w:val="auto"/>
          <w:sz w:val="32"/>
          <w:szCs w:val="32"/>
          <w:highlight w:val="none"/>
          <w:lang w:val="en-US" w:eastAsia="zh-CN"/>
        </w:rPr>
        <w:t>积极</w:t>
      </w:r>
      <w:r>
        <w:rPr>
          <w:rFonts w:hint="default" w:ascii="Times New Roman" w:hAnsi="Times New Roman" w:eastAsia="仿宋_GB2312" w:cs="Times New Roman"/>
          <w:bCs/>
          <w:color w:val="auto"/>
          <w:sz w:val="32"/>
          <w:szCs w:val="32"/>
          <w:highlight w:val="none"/>
          <w:lang w:eastAsia="zh-CN"/>
        </w:rPr>
        <w:t>履职，思想统一、团结合作，认真按照董事会确定的各项经营目标运行，攻坚克难，真抓实干，奋力拼搏，为支持“三农”和地方经济发展做出了</w:t>
      </w:r>
      <w:r>
        <w:rPr>
          <w:rFonts w:hint="default" w:ascii="Times New Roman" w:hAnsi="Times New Roman" w:eastAsia="仿宋_GB2312" w:cs="Times New Roman"/>
          <w:bCs/>
          <w:color w:val="auto"/>
          <w:sz w:val="32"/>
          <w:szCs w:val="32"/>
          <w:highlight w:val="none"/>
          <w:lang w:val="en-US" w:eastAsia="zh-CN"/>
        </w:rPr>
        <w:t>一定</w:t>
      </w:r>
      <w:r>
        <w:rPr>
          <w:rFonts w:hint="default" w:ascii="Times New Roman" w:hAnsi="Times New Roman" w:eastAsia="仿宋_GB2312" w:cs="Times New Roman"/>
          <w:bCs/>
          <w:color w:val="auto"/>
          <w:sz w:val="32"/>
          <w:szCs w:val="32"/>
          <w:highlight w:val="none"/>
          <w:lang w:eastAsia="zh-CN"/>
        </w:rPr>
        <w:t>的贡献。</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630" w:leftChars="0"/>
        <w:textAlignment w:val="auto"/>
        <w:rPr>
          <w:rFonts w:hint="eastAsia" w:ascii="Times New Roman" w:hAnsi="Times New Roman" w:eastAsia="黑体" w:cs="Times New Roman"/>
          <w:b w:val="0"/>
          <w:bCs w:val="0"/>
          <w:color w:val="auto"/>
          <w:sz w:val="32"/>
          <w:szCs w:val="32"/>
          <w:highlight w:val="none"/>
          <w:lang w:eastAsia="zh-CN"/>
        </w:rPr>
      </w:pPr>
      <w:r>
        <w:rPr>
          <w:rFonts w:hint="default" w:ascii="Times New Roman" w:hAnsi="Times New Roman" w:eastAsia="黑体" w:cs="Times New Roman"/>
          <w:b w:val="0"/>
          <w:bCs w:val="0"/>
          <w:color w:val="auto"/>
          <w:sz w:val="32"/>
          <w:szCs w:val="32"/>
          <w:highlight w:val="none"/>
          <w:lang w:eastAsia="zh-CN"/>
        </w:rPr>
        <w:t>八、</w:t>
      </w:r>
      <w:r>
        <w:rPr>
          <w:rFonts w:hint="default" w:ascii="Times New Roman" w:hAnsi="Times New Roman" w:eastAsia="黑体" w:cs="Times New Roman"/>
          <w:b w:val="0"/>
          <w:bCs w:val="0"/>
          <w:color w:val="auto"/>
          <w:sz w:val="32"/>
          <w:szCs w:val="32"/>
          <w:highlight w:val="none"/>
        </w:rPr>
        <w:t>薪酬管理</w:t>
      </w:r>
    </w:p>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根据《商业银行稳健薪酬监管指引》等文件精神，本行制定了《安顺农村商业银行股份有限公司薪酬管理办法》</w:t>
      </w:r>
      <w:r>
        <w:rPr>
          <w:rFonts w:hint="eastAsia" w:eastAsia="仿宋_GB2312" w:cs="Times New Roman"/>
          <w:color w:val="auto"/>
          <w:kern w:val="0"/>
          <w:sz w:val="32"/>
          <w:szCs w:val="32"/>
          <w:highlight w:val="none"/>
          <w:lang w:val="en-US" w:eastAsia="zh-CN" w:bidi="ar-SA"/>
        </w:rPr>
        <w:t>《安顺农村商业银行股份有限公司绩效薪酬延期支付及追索扣回实施细则》</w:t>
      </w:r>
      <w:r>
        <w:rPr>
          <w:rFonts w:hint="default" w:ascii="Times New Roman" w:hAnsi="Times New Roman" w:eastAsia="仿宋_GB2312" w:cs="Times New Roman"/>
          <w:color w:val="auto"/>
          <w:kern w:val="0"/>
          <w:sz w:val="32"/>
          <w:szCs w:val="32"/>
          <w:highlight w:val="none"/>
          <w:lang w:val="en-US" w:eastAsia="zh-CN" w:bidi="ar-SA"/>
        </w:rPr>
        <w:t>。</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580" w:leftChars="0" w:right="0" w:rightChars="0"/>
        <w:textAlignment w:val="auto"/>
        <w:rPr>
          <w:rFonts w:hint="default" w:ascii="Times New Roman" w:hAnsi="Times New Roman" w:eastAsia="仿宋_GB2312" w:cs="Times New Roman"/>
          <w:color w:val="auto"/>
          <w:sz w:val="32"/>
          <w:szCs w:val="32"/>
          <w:highlight w:val="none"/>
          <w:shd w:val="clear" w:color="auto" w:fill="FFFFFF"/>
          <w:lang w:bidi="ar"/>
        </w:rPr>
      </w:pPr>
      <w:r>
        <w:rPr>
          <w:rFonts w:hint="eastAsia" w:ascii="楷体_GB2312" w:hAnsi="楷体_GB2312" w:eastAsia="楷体_GB2312" w:cs="楷体_GB2312"/>
          <w:color w:val="auto"/>
          <w:kern w:val="0"/>
          <w:sz w:val="32"/>
          <w:szCs w:val="32"/>
          <w:highlight w:val="none"/>
          <w:lang w:val="en-US" w:eastAsia="zh-CN" w:bidi="ar-SA"/>
        </w:rPr>
        <w:t>（一）薪酬情况</w:t>
      </w:r>
    </w:p>
    <w:p>
      <w:pPr>
        <w:spacing w:line="600" w:lineRule="exact"/>
        <w:ind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eastAsia" w:cs="Times New Roman"/>
          <w:color w:val="auto"/>
          <w:kern w:val="0"/>
          <w:sz w:val="32"/>
          <w:szCs w:val="32"/>
          <w:highlight w:val="none"/>
          <w:lang w:val="en-US" w:eastAsia="zh-CN" w:bidi="ar-SA"/>
        </w:rPr>
        <w:t>职工薪酬由基本薪酬、绩效薪酬等工资性收入以及福利保障组成。其中，基本薪酬由岗位薪酬和津贴补贴组成，绩效薪酬按照业绩贡献和绩效考核结果挂钩。</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580" w:leftChars="0" w:right="0" w:rightChars="0"/>
        <w:textAlignment w:val="auto"/>
        <w:rPr>
          <w:rFonts w:hint="default" w:ascii="楷体_GB2312" w:hAnsi="楷体_GB2312" w:eastAsia="楷体_GB2312" w:cs="楷体_GB2312"/>
          <w:color w:val="auto"/>
          <w:kern w:val="0"/>
          <w:sz w:val="32"/>
          <w:szCs w:val="32"/>
          <w:highlight w:val="none"/>
          <w:lang w:val="en-US" w:eastAsia="zh-CN" w:bidi="ar-SA"/>
        </w:rPr>
      </w:pPr>
      <w:r>
        <w:rPr>
          <w:rFonts w:hint="eastAsia" w:ascii="楷体_GB2312" w:hAnsi="楷体_GB2312" w:eastAsia="楷体_GB2312" w:cs="楷体_GB2312"/>
          <w:color w:val="auto"/>
          <w:kern w:val="0"/>
          <w:sz w:val="32"/>
          <w:szCs w:val="32"/>
          <w:highlight w:val="none"/>
          <w:lang w:val="en-US" w:eastAsia="zh-CN" w:bidi="ar-SA"/>
        </w:rPr>
        <w:t>（二）延期支付情况</w:t>
      </w:r>
    </w:p>
    <w:p>
      <w:pPr>
        <w:spacing w:line="600" w:lineRule="exact"/>
        <w:ind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eastAsia" w:cs="Times New Roman"/>
          <w:color w:val="auto"/>
          <w:kern w:val="0"/>
          <w:sz w:val="32"/>
          <w:szCs w:val="32"/>
          <w:highlight w:val="none"/>
          <w:lang w:val="en-US" w:eastAsia="zh-CN" w:bidi="ar-SA"/>
        </w:rPr>
        <w:t>根据监管机构和上级机构的相关制度，对高级管理人员及对风险有重要影响岗位的员工实行40%的延期支付比例，且延期支付期限为3年，其中主要高级管理人员延期支付比例为50%。</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auto"/>
          <w:kern w:val="0"/>
          <w:sz w:val="32"/>
          <w:szCs w:val="32"/>
          <w:highlight w:val="none"/>
          <w:lang w:val="en-US" w:eastAsia="zh-CN" w:bidi="ar-SA"/>
        </w:rPr>
      </w:pPr>
      <w:r>
        <w:rPr>
          <w:rFonts w:hint="eastAsia" w:eastAsia="仿宋_GB2312" w:cs="Times New Roman"/>
          <w:color w:val="auto"/>
          <w:kern w:val="0"/>
          <w:sz w:val="32"/>
          <w:szCs w:val="32"/>
          <w:highlight w:val="none"/>
          <w:lang w:val="en-US" w:eastAsia="zh-CN" w:bidi="ar-SA"/>
        </w:rPr>
        <w:t>2024年执行扣划延期支付金额为681.57万元，追索扣回延期支付11.13万元。</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Times New Roman" w:hAnsi="Times New Roman" w:eastAsia="仿宋_GB2312" w:cs="Times New Roman"/>
          <w:color w:val="auto"/>
          <w:kern w:val="0"/>
          <w:sz w:val="32"/>
          <w:szCs w:val="32"/>
          <w:highlight w:val="none"/>
          <w:lang w:val="en-US" w:eastAsia="zh-CN" w:bidi="ar-SA"/>
        </w:rPr>
      </w:pPr>
    </w:p>
    <w:p>
      <w:pPr>
        <w:keepNext w:val="0"/>
        <w:keepLines w:val="0"/>
        <w:pageBreakBefore w:val="0"/>
        <w:numPr>
          <w:ilvl w:val="0"/>
          <w:numId w:val="0"/>
        </w:numPr>
        <w:kinsoku/>
        <w:wordWrap/>
        <w:topLinePunct w:val="0"/>
        <w:bidi w:val="0"/>
        <w:adjustRightInd w:val="0"/>
        <w:snapToGrid w:val="0"/>
        <w:spacing w:line="560" w:lineRule="exact"/>
        <w:ind w:leftChars="0"/>
        <w:jc w:val="center"/>
        <w:rPr>
          <w:rFonts w:hint="eastAsia" w:ascii="黑体" w:hAnsi="黑体" w:eastAsia="黑体" w:cs="黑体"/>
          <w:b w:val="0"/>
          <w:bCs/>
          <w:color w:val="auto"/>
          <w:sz w:val="36"/>
          <w:szCs w:val="36"/>
          <w:highlight w:val="none"/>
          <w:lang w:val="en-US" w:eastAsia="zh-CN"/>
        </w:rPr>
      </w:pPr>
      <w:r>
        <w:rPr>
          <w:rFonts w:hint="eastAsia" w:ascii="黑体" w:hAnsi="黑体" w:eastAsia="黑体" w:cs="黑体"/>
          <w:b w:val="0"/>
          <w:bCs/>
          <w:color w:val="auto"/>
          <w:sz w:val="36"/>
          <w:szCs w:val="36"/>
          <w:highlight w:val="none"/>
          <w:lang w:val="en-US" w:eastAsia="zh-CN"/>
        </w:rPr>
        <w:t>第五章 董事会报告</w:t>
      </w:r>
    </w:p>
    <w:p>
      <w:pPr>
        <w:pStyle w:val="10"/>
        <w:rPr>
          <w:rFonts w:hint="eastAsia"/>
          <w:color w:val="auto"/>
          <w:highlight w:val="none"/>
          <w:lang w:val="en-US" w:eastAsia="zh-CN"/>
        </w:rPr>
      </w:pPr>
    </w:p>
    <w:p>
      <w:pPr>
        <w:pStyle w:val="4"/>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一、2024年工作回顾</w:t>
      </w:r>
    </w:p>
    <w:p>
      <w:pPr>
        <w:pStyle w:val="8"/>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2024年是全面贯彻党的二十大精神的关键之年，在人民银行和监管部门的关心和指导下，在省联社的坚强领导下，本届董事会以高质量发展为统领，</w:t>
      </w:r>
      <w:r>
        <w:rPr>
          <w:rFonts w:hint="eastAsia" w:eastAsia="仿宋_GB2312" w:cs="Times New Roman"/>
          <w:kern w:val="2"/>
          <w:sz w:val="32"/>
          <w:szCs w:val="32"/>
          <w:lang w:val="en-US" w:eastAsia="zh-CN" w:bidi="ar-SA"/>
        </w:rPr>
        <w:t>认真</w:t>
      </w:r>
      <w:r>
        <w:rPr>
          <w:rFonts w:hint="default" w:ascii="Times New Roman" w:hAnsi="Times New Roman" w:eastAsia="仿宋_GB2312" w:cs="Times New Roman"/>
          <w:kern w:val="2"/>
          <w:sz w:val="32"/>
          <w:szCs w:val="32"/>
          <w:lang w:val="en-US" w:eastAsia="zh-CN" w:bidi="ar-SA"/>
        </w:rPr>
        <w:t>履行股东大会赋予的各项职责，紧紧围绕年初董事会确定的“务实、系统、可持续”战略要求，扎实推进各项决议的有效实施，持续提升公司治理效能</w:t>
      </w:r>
      <w:r>
        <w:rPr>
          <w:rFonts w:hint="eastAsia" w:eastAsia="仿宋_GB2312" w:cs="Times New Roman"/>
          <w:kern w:val="2"/>
          <w:sz w:val="32"/>
          <w:szCs w:val="32"/>
          <w:lang w:val="en-US" w:eastAsia="zh-CN" w:bidi="ar-SA"/>
        </w:rPr>
        <w:t>，主要做了以下工作：</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textAlignment w:val="auto"/>
        <w:rPr>
          <w:rFonts w:hint="default" w:ascii="Times New Roman" w:hAnsi="Times New Roman" w:eastAsia="楷体_GB2312" w:cs="Times New Roman"/>
          <w:b/>
          <w:bCs/>
          <w:color w:val="0000FF"/>
          <w:sz w:val="32"/>
          <w:szCs w:val="32"/>
          <w:lang w:eastAsia="zh-CN"/>
        </w:rPr>
      </w:pPr>
      <w:r>
        <w:rPr>
          <w:rFonts w:hint="default" w:ascii="Times New Roman" w:hAnsi="Times New Roman" w:eastAsia="楷体_GB2312" w:cs="Times New Roman"/>
          <w:b/>
          <w:bCs/>
          <w:sz w:val="32"/>
          <w:szCs w:val="32"/>
          <w:lang w:val="en-US" w:eastAsia="zh-CN"/>
        </w:rPr>
        <w:t>一年来，我们保持战略定力，聚焦主责主业。一是</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业务总体保持增长。</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截至2024年末，</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各项存款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余额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138.76</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亿元，较年初上升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7.11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亿元，市场份额占比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18.39</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%，位列全市第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。各项贷款余额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116.17</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亿元，</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返算核销和批转后，</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较年初上升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2.53</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亿元，市</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场份额占比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23.81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%，位列全市第二</w:t>
      </w:r>
      <w:r>
        <w:rPr>
          <w:rFonts w:hint="eastAsia"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楷体_GB2312" w:cs="Times New Roman"/>
          <w:b/>
          <w:bCs/>
          <w:sz w:val="32"/>
          <w:szCs w:val="32"/>
          <w:lang w:val="en-US" w:eastAsia="zh-CN"/>
        </w:rPr>
        <w:t>二是监管指标</w:t>
      </w:r>
      <w:r>
        <w:rPr>
          <w:rFonts w:hint="eastAsia" w:eastAsia="楷体_GB2312" w:cs="Times New Roman"/>
          <w:b/>
          <w:bCs/>
          <w:sz w:val="32"/>
          <w:szCs w:val="32"/>
          <w:lang w:val="en-US" w:eastAsia="zh-CN"/>
        </w:rPr>
        <w:t>持续优化</w:t>
      </w: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截至2024年末，</w:t>
      </w:r>
      <w:r>
        <w:rPr>
          <w:rFonts w:hint="default" w:ascii="Times New Roman" w:hAnsi="Times New Roman" w:eastAsia="仿宋_GB2312" w:cs="Times New Roman"/>
          <w:b w:val="0"/>
          <w:bCs w:val="0"/>
          <w:color w:val="000000" w:themeColor="text1"/>
          <w:sz w:val="32"/>
          <w:szCs w:val="32"/>
          <w:highlight w:val="none"/>
          <w14:textFill>
            <w14:solidFill>
              <w14:schemeClr w14:val="tx1"/>
            </w14:solidFill>
          </w14:textFill>
        </w:rPr>
        <w:t>不良</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贷款余额4.</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76</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亿元，较年初减少0.13亿元</w:t>
      </w:r>
      <w:r>
        <w:rPr>
          <w:rFonts w:hint="eastAsia"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账面不良率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4.1</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b w:val="0"/>
          <w:bCs w:val="0"/>
          <w:color w:val="auto"/>
          <w:sz w:val="32"/>
          <w:szCs w:val="32"/>
          <w:highlight w:val="none"/>
          <w:lang w:val="en-US" w:eastAsia="zh-CN"/>
        </w:rPr>
        <w:t>较年初下降0.0</w:t>
      </w:r>
      <w:r>
        <w:rPr>
          <w:rFonts w:hint="eastAsia" w:eastAsia="仿宋_GB2312" w:cs="仿宋_GB2312"/>
          <w:b w:val="0"/>
          <w:bCs w:val="0"/>
          <w:color w:val="auto"/>
          <w:sz w:val="32"/>
          <w:szCs w:val="32"/>
          <w:highlight w:val="none"/>
          <w:lang w:val="en-US" w:eastAsia="zh-CN"/>
        </w:rPr>
        <w:t>2</w:t>
      </w:r>
      <w:r>
        <w:rPr>
          <w:rFonts w:hint="eastAsia" w:ascii="Times New Roman" w:hAnsi="Times New Roman" w:eastAsia="仿宋_GB2312" w:cs="仿宋_GB2312"/>
          <w:b w:val="0"/>
          <w:bCs w:val="0"/>
          <w:color w:val="auto"/>
          <w:sz w:val="32"/>
          <w:szCs w:val="32"/>
          <w:highlight w:val="none"/>
          <w:lang w:val="en-US" w:eastAsia="zh-CN"/>
        </w:rPr>
        <w:t>个百分点，</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实现</w:t>
      </w:r>
      <w:r>
        <w:rPr>
          <w:rFonts w:hint="eastAsia"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双降</w:t>
      </w:r>
      <w:r>
        <w:rPr>
          <w:rFonts w:hint="eastAsia"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auto"/>
          <w:sz w:val="32"/>
          <w:szCs w:val="32"/>
          <w:highlight w:val="none"/>
        </w:rPr>
        <w:t>；资本充足率</w:t>
      </w:r>
      <w:r>
        <w:rPr>
          <w:rFonts w:hint="default" w:ascii="Times New Roman" w:hAnsi="Times New Roman" w:eastAsia="仿宋_GB2312" w:cs="Times New Roman"/>
          <w:color w:val="auto"/>
          <w:sz w:val="32"/>
          <w:szCs w:val="32"/>
          <w:highlight w:val="none"/>
          <w:lang w:val="en-US" w:eastAsia="zh-CN"/>
        </w:rPr>
        <w:t>12.3</w:t>
      </w:r>
      <w:r>
        <w:rPr>
          <w:rFonts w:hint="default" w:ascii="Times New Roman" w:hAnsi="Times New Roman" w:eastAsia="仿宋_GB2312" w:cs="Times New Roman"/>
          <w:color w:val="auto"/>
          <w:sz w:val="32"/>
          <w:szCs w:val="32"/>
          <w:highlight w:val="none"/>
        </w:rPr>
        <w:t>%，较年初上升0.92个百分点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拨备覆盖率</w:t>
      </w:r>
      <w:r>
        <w:rPr>
          <w:rFonts w:hint="default" w:ascii="Times New Roman" w:hAnsi="Times New Roman" w:eastAsia="仿宋_GB2312" w:cs="Times New Roman"/>
          <w:color w:val="auto"/>
          <w:sz w:val="32"/>
          <w:szCs w:val="32"/>
          <w:highlight w:val="none"/>
          <w:lang w:val="en-US" w:eastAsia="zh-CN"/>
        </w:rPr>
        <w:t>167.04</w:t>
      </w:r>
      <w:r>
        <w:rPr>
          <w:rFonts w:hint="default" w:ascii="Times New Roman" w:hAnsi="Times New Roman" w:eastAsia="仿宋_GB2312" w:cs="Times New Roman"/>
          <w:color w:val="auto"/>
          <w:sz w:val="32"/>
          <w:szCs w:val="32"/>
          <w:highlight w:val="none"/>
        </w:rPr>
        <w:t>%，较年初上升</w:t>
      </w:r>
      <w:r>
        <w:rPr>
          <w:rFonts w:hint="default" w:ascii="Times New Roman" w:hAnsi="Times New Roman" w:eastAsia="仿宋_GB2312" w:cs="Times New Roman"/>
          <w:color w:val="auto"/>
          <w:sz w:val="32"/>
          <w:szCs w:val="32"/>
          <w:highlight w:val="none"/>
          <w:lang w:val="en-US" w:eastAsia="zh-CN"/>
        </w:rPr>
        <w:t>0.18</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流动性比例</w:t>
      </w:r>
      <w:r>
        <w:rPr>
          <w:rFonts w:hint="default" w:ascii="Times New Roman" w:hAnsi="Times New Roman" w:eastAsia="仿宋_GB2312" w:cs="Times New Roman"/>
          <w:color w:val="auto"/>
          <w:sz w:val="32"/>
          <w:szCs w:val="32"/>
          <w:highlight w:val="none"/>
          <w:lang w:val="en-US" w:eastAsia="zh-CN"/>
        </w:rPr>
        <w:t>44.75</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较年初上升0.47个百分点；</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资本利润率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4.78</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auto"/>
          <w:sz w:val="32"/>
          <w:szCs w:val="32"/>
          <w:highlight w:val="none"/>
          <w:lang w:val="en-US" w:eastAsia="zh-CN"/>
        </w:rPr>
        <w:t>较上年同期上升0.29个百分点；</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资产利润率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0.4</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auto"/>
          <w:sz w:val="32"/>
          <w:szCs w:val="32"/>
          <w:highlight w:val="none"/>
          <w:lang w:val="en-US" w:eastAsia="zh-CN"/>
        </w:rPr>
        <w:t>较上年同期上升0.02个百分点；</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成本收入比</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44.94</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auto"/>
          <w:sz w:val="32"/>
          <w:szCs w:val="32"/>
          <w:highlight w:val="none"/>
          <w:lang w:val="en-US" w:eastAsia="zh-CN"/>
        </w:rPr>
        <w:t>较上年同期下降6.76个百分点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lang w:val="en-US" w:eastAsia="zh-CN"/>
        </w:rPr>
        <w:t>三是支农支小</w:t>
      </w:r>
      <w:r>
        <w:rPr>
          <w:rFonts w:hint="eastAsia" w:eastAsia="仿宋_GB2312" w:cs="Times New Roman"/>
          <w:b/>
          <w:bCs/>
          <w:color w:val="auto"/>
          <w:sz w:val="32"/>
          <w:szCs w:val="32"/>
          <w:lang w:val="en-US" w:eastAsia="zh-CN"/>
        </w:rPr>
        <w:t>不断推进</w:t>
      </w:r>
      <w:r>
        <w:rPr>
          <w:rFonts w:hint="default"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截至2024年末，</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农户贷款有余额户数4</w:t>
      </w:r>
      <w:r>
        <w:rPr>
          <w:rFonts w:hint="eastAsia" w:eastAsia="仿宋_GB2312" w:cs="Times New Roman"/>
          <w:b w:val="0"/>
          <w:bCs w:val="0"/>
          <w:color w:val="000000" w:themeColor="text1"/>
          <w:sz w:val="32"/>
          <w:szCs w:val="32"/>
          <w:lang w:val="en-US" w:eastAsia="zh-CN"/>
          <w14:textFill>
            <w14:solidFill>
              <w14:schemeClr w14:val="tx1"/>
            </w14:solidFill>
          </w14:textFill>
        </w:rPr>
        <w:t>.86万</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户，较年初增加487户，农户贷款面34.18%，较年初增加0.34%；涉农贷款余额77.61亿元，较年初增加1.14亿元，增速1.</w:t>
      </w:r>
      <w:r>
        <w:rPr>
          <w:rFonts w:hint="default" w:ascii="Times New Roman" w:hAnsi="Times New Roman" w:eastAsia="仿宋_GB2312" w:cs="Times New Roman"/>
          <w:b w:val="0"/>
          <w:bCs w:val="0"/>
          <w:color w:val="auto"/>
          <w:sz w:val="32"/>
          <w:szCs w:val="32"/>
          <w:lang w:val="en-US" w:eastAsia="zh-CN"/>
        </w:rPr>
        <w:t>48%；普惠小微贷款余额34.61亿元，较年初增加123.43万元。15项坚守定位指标全部达标。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bCs/>
          <w:sz w:val="32"/>
          <w:szCs w:val="32"/>
          <w:lang w:val="en-US" w:eastAsia="zh-CN"/>
        </w:rPr>
        <w:t>一年来，我们坚持守正创新，提升公司治理效能。</w:t>
      </w:r>
      <w:r>
        <w:rPr>
          <w:rFonts w:hint="default" w:ascii="Times New Roman" w:hAnsi="Times New Roman" w:eastAsia="仿宋_GB2312" w:cs="Times New Roman"/>
          <w:b/>
          <w:bCs/>
          <w:sz w:val="32"/>
          <w:szCs w:val="32"/>
          <w:lang w:val="en-US" w:eastAsia="zh-CN"/>
        </w:rPr>
        <w:t>一是机制建设不断完善。</w:t>
      </w:r>
      <w:r>
        <w:rPr>
          <w:rFonts w:hint="default" w:ascii="Times New Roman" w:hAnsi="Times New Roman" w:eastAsia="仿宋_GB2312" w:cs="Times New Roman"/>
          <w:sz w:val="32"/>
          <w:szCs w:val="32"/>
          <w:lang w:val="en-US" w:eastAsia="zh-CN"/>
        </w:rPr>
        <w:t>2024年以来，</w:t>
      </w:r>
      <w:r>
        <w:rPr>
          <w:rFonts w:hint="eastAsia" w:eastAsia="仿宋_GB2312" w:cs="Times New Roman"/>
          <w:sz w:val="32"/>
          <w:szCs w:val="32"/>
          <w:lang w:val="en-US" w:eastAsia="zh-CN"/>
        </w:rPr>
        <w:t>不断完善</w:t>
      </w:r>
      <w:r>
        <w:rPr>
          <w:rFonts w:hint="default" w:ascii="Times New Roman" w:hAnsi="Times New Roman" w:eastAsia="仿宋_GB2312" w:cs="Times New Roman"/>
          <w:sz w:val="32"/>
          <w:szCs w:val="32"/>
          <w:lang w:val="en-US" w:eastAsia="zh-CN"/>
        </w:rPr>
        <w:t>《安顺农村商业银行股份有限公司</w:t>
      </w:r>
      <w:r>
        <w:rPr>
          <w:rFonts w:hint="eastAsia" w:eastAsia="仿宋_GB2312" w:cs="Times New Roman"/>
          <w:sz w:val="32"/>
          <w:szCs w:val="32"/>
          <w:lang w:val="en-US" w:eastAsia="zh-CN"/>
        </w:rPr>
        <w:t>“三重一大”决策事项清单</w:t>
      </w:r>
      <w:r>
        <w:rPr>
          <w:rFonts w:hint="default" w:ascii="Times New Roman" w:hAnsi="Times New Roman" w:eastAsia="仿宋_GB2312" w:cs="Times New Roman"/>
          <w:sz w:val="32"/>
          <w:szCs w:val="32"/>
          <w:lang w:val="en-US" w:eastAsia="zh-CN"/>
        </w:rPr>
        <w:t>》及董事会下设专门委员会议事规则等20余项相关制度，为公司治理有效、合规运作，建立有力的制度保障；</w:t>
      </w:r>
      <w:r>
        <w:rPr>
          <w:rFonts w:hint="default" w:ascii="Times New Roman" w:hAnsi="Times New Roman" w:eastAsia="仿宋_GB2312" w:cs="Times New Roman"/>
          <w:b/>
          <w:bCs/>
          <w:sz w:val="32"/>
          <w:szCs w:val="32"/>
          <w:lang w:val="en-US" w:eastAsia="zh-CN"/>
        </w:rPr>
        <w:t>二是决策运作不断优化。</w:t>
      </w:r>
      <w:r>
        <w:rPr>
          <w:rFonts w:hint="default" w:ascii="Times New Roman" w:hAnsi="Times New Roman" w:eastAsia="仿宋_GB2312" w:cs="Times New Roman"/>
          <w:sz w:val="32"/>
          <w:szCs w:val="32"/>
        </w:rPr>
        <w:t>严格按照股东大会授权，</w:t>
      </w:r>
      <w:r>
        <w:rPr>
          <w:rFonts w:hint="default" w:ascii="Times New Roman" w:hAnsi="Times New Roman" w:eastAsia="仿宋_GB2312" w:cs="Times New Roman"/>
          <w:sz w:val="32"/>
          <w:szCs w:val="32"/>
          <w:lang w:val="en-US" w:eastAsia="zh-CN"/>
        </w:rPr>
        <w:t>坚持党建引领与公司治理</w:t>
      </w:r>
      <w:r>
        <w:rPr>
          <w:rFonts w:hint="eastAsia" w:ascii="Times New Roman" w:hAnsi="Times New Roman" w:eastAsia="仿宋_GB2312" w:cs="Times New Roman"/>
          <w:sz w:val="32"/>
          <w:szCs w:val="32"/>
          <w:lang w:val="en-US" w:eastAsia="zh-CN"/>
        </w:rPr>
        <w:t>相互</w:t>
      </w:r>
      <w:r>
        <w:rPr>
          <w:rFonts w:hint="default" w:ascii="Times New Roman" w:hAnsi="Times New Roman" w:eastAsia="仿宋_GB2312" w:cs="Times New Roman"/>
          <w:sz w:val="32"/>
          <w:szCs w:val="32"/>
          <w:lang w:val="en-US" w:eastAsia="zh-CN"/>
        </w:rPr>
        <w:t>融合，</w:t>
      </w:r>
      <w:r>
        <w:rPr>
          <w:rFonts w:hint="eastAsia" w:eastAsia="仿宋_GB2312" w:cs="Times New Roman"/>
          <w:bCs/>
          <w:spacing w:val="0"/>
          <w:sz w:val="32"/>
          <w:szCs w:val="32"/>
          <w:lang w:val="en-US" w:eastAsia="zh-CN"/>
        </w:rPr>
        <w:t>按照年初既定的</w:t>
      </w:r>
      <w:r>
        <w:rPr>
          <w:rFonts w:hint="default" w:ascii="Times New Roman" w:hAnsi="Times New Roman" w:eastAsia="仿宋_GB2312" w:cs="Times New Roman"/>
          <w:bCs/>
          <w:spacing w:val="0"/>
          <w:sz w:val="32"/>
          <w:szCs w:val="32"/>
        </w:rPr>
        <w:t>目标计划，督促高级管理层认真履职，</w:t>
      </w:r>
      <w:r>
        <w:rPr>
          <w:rFonts w:hint="eastAsia" w:ascii="Times New Roman" w:hAnsi="Times New Roman" w:eastAsia="仿宋_GB2312" w:cs="Times New Roman"/>
          <w:sz w:val="32"/>
          <w:szCs w:val="32"/>
          <w:lang w:val="en-US" w:eastAsia="zh-CN"/>
        </w:rPr>
        <w:t>2024年以来，</w:t>
      </w:r>
      <w:r>
        <w:rPr>
          <w:rFonts w:hint="default" w:ascii="Times New Roman" w:hAnsi="Times New Roman" w:eastAsia="仿宋_GB2312" w:cs="Times New Roman"/>
          <w:sz w:val="32"/>
          <w:szCs w:val="32"/>
        </w:rPr>
        <w:t>共组织召开</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次股东</w:t>
      </w:r>
      <w:r>
        <w:rPr>
          <w:rFonts w:hint="default" w:ascii="Times New Roman" w:hAnsi="Times New Roman" w:eastAsia="仿宋_GB2312" w:cs="Times New Roman"/>
          <w:sz w:val="32"/>
          <w:szCs w:val="32"/>
          <w:lang w:eastAsia="zh-CN"/>
        </w:rPr>
        <w:t>大会，</w:t>
      </w:r>
      <w:r>
        <w:rPr>
          <w:rFonts w:hint="default" w:ascii="Times New Roman" w:hAnsi="Times New Roman" w:eastAsia="仿宋_GB2312" w:cs="Times New Roman"/>
          <w:sz w:val="32"/>
          <w:szCs w:val="32"/>
          <w:lang w:val="en-US" w:eastAsia="zh-CN"/>
        </w:rPr>
        <w:t>审议通过</w:t>
      </w:r>
      <w:r>
        <w:rPr>
          <w:rFonts w:hint="eastAsia"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5</w:t>
      </w:r>
      <w:r>
        <w:rPr>
          <w:rFonts w:hint="default" w:ascii="Times New Roman" w:hAnsi="Times New Roman" w:eastAsia="仿宋_GB2312" w:cs="Times New Roman"/>
          <w:sz w:val="32"/>
          <w:szCs w:val="32"/>
          <w:lang w:val="en-US" w:eastAsia="zh-CN"/>
        </w:rPr>
        <w:t>项议案；组织1次临时股东大会，审议通过6项议案；组织</w:t>
      </w:r>
      <w:r>
        <w:rPr>
          <w:rFonts w:hint="default" w:ascii="Times New Roman" w:hAnsi="Times New Roman" w:eastAsia="仿宋_GB2312" w:cs="Times New Roman"/>
          <w:sz w:val="32"/>
          <w:szCs w:val="32"/>
        </w:rPr>
        <w:t>董事会会议</w:t>
      </w:r>
      <w:r>
        <w:rPr>
          <w:rFonts w:hint="default" w:ascii="Times New Roman" w:hAnsi="Times New Roman" w:eastAsia="仿宋_GB2312" w:cs="Times New Roman"/>
          <w:sz w:val="32"/>
          <w:szCs w:val="32"/>
          <w:lang w:val="en-US" w:eastAsia="zh-CN"/>
        </w:rPr>
        <w:t>15</w:t>
      </w:r>
      <w:r>
        <w:rPr>
          <w:rFonts w:hint="default" w:ascii="Times New Roman" w:hAnsi="Times New Roman" w:eastAsia="仿宋_GB2312" w:cs="Times New Roman"/>
          <w:sz w:val="32"/>
          <w:szCs w:val="32"/>
        </w:rPr>
        <w:t>次，</w:t>
      </w:r>
      <w:r>
        <w:rPr>
          <w:rFonts w:hint="default" w:ascii="Times New Roman" w:hAnsi="Times New Roman" w:eastAsia="仿宋_GB2312" w:cs="Times New Roman"/>
          <w:sz w:val="32"/>
          <w:szCs w:val="32"/>
          <w:lang w:eastAsia="zh-CN"/>
        </w:rPr>
        <w:t>审议通过</w:t>
      </w:r>
      <w:r>
        <w:rPr>
          <w:rFonts w:hint="default" w:ascii="Times New Roman" w:hAnsi="Times New Roman" w:eastAsia="仿宋_GB2312" w:cs="Times New Roman"/>
          <w:sz w:val="32"/>
          <w:szCs w:val="32"/>
          <w:lang w:val="en-US" w:eastAsia="zh-CN"/>
        </w:rPr>
        <w:t>81</w:t>
      </w:r>
      <w:r>
        <w:rPr>
          <w:rFonts w:hint="default" w:ascii="Times New Roman" w:hAnsi="Times New Roman" w:eastAsia="仿宋_GB2312" w:cs="Times New Roman"/>
          <w:sz w:val="32"/>
          <w:szCs w:val="32"/>
          <w:lang w:eastAsia="zh-CN"/>
        </w:rPr>
        <w:t>项议案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圆满</w:t>
      </w:r>
      <w:r>
        <w:rPr>
          <w:rFonts w:hint="default" w:ascii="Times New Roman" w:hAnsi="Times New Roman" w:eastAsia="仿宋_GB2312" w:cs="Times New Roman"/>
          <w:sz w:val="32"/>
          <w:szCs w:val="32"/>
        </w:rPr>
        <w:t>完成股</w:t>
      </w:r>
      <w:r>
        <w:rPr>
          <w:rFonts w:hint="default" w:ascii="Times New Roman" w:hAnsi="Times New Roman" w:eastAsia="仿宋_GB2312" w:cs="Times New Roman"/>
          <w:sz w:val="32"/>
          <w:szCs w:val="32"/>
          <w:lang w:eastAsia="zh-CN"/>
        </w:rPr>
        <w:t>东大</w:t>
      </w:r>
      <w:r>
        <w:rPr>
          <w:rFonts w:hint="default" w:ascii="Times New Roman" w:hAnsi="Times New Roman" w:eastAsia="仿宋_GB2312" w:cs="Times New Roman"/>
          <w:sz w:val="32"/>
          <w:szCs w:val="32"/>
        </w:rPr>
        <w:t>会交付的各项任务</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三是董事履职勤勉尽责。</w:t>
      </w:r>
      <w:r>
        <w:rPr>
          <w:rFonts w:hint="default" w:ascii="Times New Roman" w:hAnsi="Times New Roman" w:eastAsia="仿宋_GB2312" w:cs="Times New Roman"/>
          <w:sz w:val="32"/>
          <w:szCs w:val="32"/>
          <w:lang w:val="en-US" w:eastAsia="zh-CN"/>
        </w:rPr>
        <w:t>本届董事会</w:t>
      </w:r>
      <w:r>
        <w:rPr>
          <w:rFonts w:hint="eastAsia" w:eastAsia="仿宋_GB2312" w:cs="Times New Roman"/>
          <w:sz w:val="32"/>
          <w:szCs w:val="32"/>
          <w:lang w:val="en-US" w:eastAsia="zh-CN"/>
        </w:rPr>
        <w:t>董事</w:t>
      </w:r>
      <w:r>
        <w:rPr>
          <w:rFonts w:hint="default" w:ascii="Times New Roman" w:hAnsi="Times New Roman" w:eastAsia="仿宋_GB2312" w:cs="Times New Roman"/>
          <w:sz w:val="32"/>
          <w:szCs w:val="32"/>
          <w:lang w:val="en-US" w:eastAsia="zh-CN"/>
        </w:rPr>
        <w:t>以高度的责任意识和使命担当，</w:t>
      </w:r>
      <w:r>
        <w:rPr>
          <w:rFonts w:hint="eastAsia"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lang w:val="en-US" w:eastAsia="zh-CN"/>
        </w:rPr>
        <w:t>参与重大事项研讨、风险防控决策及经营管理</w:t>
      </w:r>
      <w:r>
        <w:rPr>
          <w:rFonts w:hint="eastAsia" w:ascii="Times New Roman" w:hAnsi="Times New Roman" w:eastAsia="仿宋_GB2312" w:cs="Times New Roman"/>
          <w:sz w:val="32"/>
          <w:szCs w:val="32"/>
          <w:lang w:val="en-US" w:eastAsia="zh-CN"/>
        </w:rPr>
        <w:t>中认真</w:t>
      </w:r>
      <w:r>
        <w:rPr>
          <w:rFonts w:hint="eastAsia" w:eastAsia="仿宋_GB2312" w:cs="Times New Roman"/>
          <w:sz w:val="32"/>
          <w:szCs w:val="32"/>
          <w:lang w:val="en-US" w:eastAsia="zh-CN"/>
        </w:rPr>
        <w:t>履职</w:t>
      </w:r>
      <w:r>
        <w:rPr>
          <w:rFonts w:hint="default" w:ascii="Times New Roman" w:hAnsi="Times New Roman" w:eastAsia="仿宋_GB2312" w:cs="Times New Roman"/>
          <w:sz w:val="32"/>
          <w:szCs w:val="32"/>
          <w:lang w:val="en-US" w:eastAsia="zh-CN"/>
        </w:rPr>
        <w:t>，在</w:t>
      </w:r>
      <w:r>
        <w:rPr>
          <w:rFonts w:hint="eastAsia" w:eastAsia="仿宋_GB2312" w:cs="Times New Roman"/>
          <w:sz w:val="32"/>
          <w:szCs w:val="32"/>
          <w:lang w:val="en-US" w:eastAsia="zh-CN"/>
        </w:rPr>
        <w:t>审议</w:t>
      </w:r>
      <w:r>
        <w:rPr>
          <w:rFonts w:hint="default" w:ascii="Times New Roman" w:hAnsi="Times New Roman" w:eastAsia="仿宋_GB2312" w:cs="Times New Roman"/>
          <w:sz w:val="32"/>
          <w:szCs w:val="32"/>
          <w:lang w:val="en-US" w:eastAsia="zh-CN"/>
        </w:rPr>
        <w:t>战略规划、公司治理、关联交易管理等</w:t>
      </w:r>
      <w:r>
        <w:rPr>
          <w:rFonts w:hint="eastAsia" w:eastAsia="仿宋_GB2312" w:cs="Times New Roman"/>
          <w:sz w:val="32"/>
          <w:szCs w:val="32"/>
          <w:lang w:val="en-US" w:eastAsia="zh-CN"/>
        </w:rPr>
        <w:t>议题中</w:t>
      </w:r>
      <w:r>
        <w:rPr>
          <w:rFonts w:hint="default" w:ascii="Times New Roman" w:hAnsi="Times New Roman" w:eastAsia="仿宋_GB2312" w:cs="Times New Roman"/>
          <w:sz w:val="32"/>
          <w:szCs w:val="32"/>
          <w:lang w:val="en-US" w:eastAsia="zh-CN"/>
        </w:rPr>
        <w:t>建言献策，</w:t>
      </w:r>
      <w:r>
        <w:rPr>
          <w:rFonts w:hint="eastAsia" w:eastAsia="仿宋_GB2312" w:cs="Times New Roman"/>
          <w:sz w:val="32"/>
          <w:szCs w:val="32"/>
          <w:lang w:val="en-US" w:eastAsia="zh-CN"/>
        </w:rPr>
        <w:t>严格按照职责边界要求</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发挥专业优势，确保董事会决策的科学性、前瞻性和</w:t>
      </w:r>
      <w:r>
        <w:rPr>
          <w:rFonts w:hint="eastAsia" w:eastAsia="仿宋_GB2312" w:cs="Times New Roman"/>
          <w:sz w:val="32"/>
          <w:szCs w:val="32"/>
          <w:lang w:val="en-US" w:eastAsia="zh-CN"/>
        </w:rPr>
        <w:t>有效性</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楷体_GB2312" w:cs="Times New Roman"/>
          <w:b/>
          <w:bCs/>
          <w:sz w:val="32"/>
          <w:szCs w:val="32"/>
          <w:lang w:val="en-US" w:eastAsia="zh-CN"/>
        </w:rPr>
        <w:t>一年来，我们聚焦管理提升，基础工作成效显著。</w:t>
      </w:r>
      <w:r>
        <w:rPr>
          <w:rFonts w:hint="default" w:ascii="Times New Roman" w:hAnsi="Times New Roman" w:eastAsia="仿宋_GB2312" w:cs="Times New Roman"/>
          <w:b/>
          <w:bCs/>
          <w:kern w:val="2"/>
          <w:sz w:val="32"/>
          <w:szCs w:val="32"/>
          <w:lang w:val="en-US" w:eastAsia="zh-CN" w:bidi="ar-SA"/>
        </w:rPr>
        <w:t>一是机关效能显著提升。</w:t>
      </w:r>
      <w:r>
        <w:rPr>
          <w:rFonts w:hint="default" w:ascii="Times New Roman" w:hAnsi="Times New Roman" w:eastAsia="仿宋_GB2312" w:cs="Times New Roman"/>
          <w:b w:val="0"/>
          <w:bCs w:val="0"/>
          <w:kern w:val="2"/>
          <w:sz w:val="32"/>
          <w:szCs w:val="32"/>
          <w:lang w:val="en-US" w:eastAsia="zh-CN" w:bidi="ar-SA"/>
        </w:rPr>
        <w:t>深化</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强机关——向管理要效益</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主线，</w:t>
      </w:r>
      <w:r>
        <w:rPr>
          <w:rFonts w:hint="eastAsia" w:eastAsia="仿宋_GB2312" w:cs="Times New Roman"/>
          <w:b w:val="0"/>
          <w:bCs w:val="0"/>
          <w:kern w:val="2"/>
          <w:sz w:val="32"/>
          <w:szCs w:val="32"/>
          <w:lang w:val="en-US" w:eastAsia="zh-CN" w:bidi="ar-SA"/>
        </w:rPr>
        <w:t>通过制定基层网点减负清单，精简网点</w:t>
      </w:r>
      <w:r>
        <w:rPr>
          <w:rFonts w:hint="default" w:ascii="Times New Roman" w:hAnsi="Times New Roman" w:eastAsia="仿宋_GB2312" w:cs="Times New Roman"/>
          <w:b w:val="0"/>
          <w:bCs w:val="0"/>
          <w:kern w:val="2"/>
          <w:sz w:val="32"/>
          <w:szCs w:val="32"/>
          <w:lang w:val="en-US" w:eastAsia="zh-CN" w:bidi="ar-SA"/>
        </w:rPr>
        <w:t>不必要、不合理的</w:t>
      </w:r>
      <w:r>
        <w:rPr>
          <w:rFonts w:hint="eastAsia" w:eastAsia="仿宋_GB2312" w:cs="Times New Roman"/>
          <w:b w:val="0"/>
          <w:bCs w:val="0"/>
          <w:kern w:val="2"/>
          <w:sz w:val="32"/>
          <w:szCs w:val="32"/>
          <w:lang w:val="en-US" w:eastAsia="zh-CN" w:bidi="ar-SA"/>
        </w:rPr>
        <w:t>会议及工作，强化网点营销队伍的培训及科技赋能，切实发挥机关“管理、指导、服务、协调”的职能</w:t>
      </w:r>
      <w:r>
        <w:rPr>
          <w:rFonts w:hint="default"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b/>
          <w:bCs/>
          <w:kern w:val="2"/>
          <w:sz w:val="32"/>
          <w:szCs w:val="32"/>
          <w:lang w:val="en-US" w:eastAsia="zh-CN" w:bidi="ar-SA"/>
        </w:rPr>
        <w:t>二是评级评优取得</w:t>
      </w:r>
      <w:r>
        <w:rPr>
          <w:rFonts w:hint="eastAsia" w:eastAsia="仿宋_GB2312" w:cs="Times New Roman"/>
          <w:b/>
          <w:bCs/>
          <w:kern w:val="2"/>
          <w:sz w:val="32"/>
          <w:szCs w:val="32"/>
          <w:lang w:val="en-US" w:eastAsia="zh-CN" w:bidi="ar-SA"/>
        </w:rPr>
        <w:t>进步</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中国人民银行安顺市分行对我行</w:t>
      </w:r>
      <w:r>
        <w:rPr>
          <w:rFonts w:hint="eastAsia" w:eastAsia="仿宋_GB2312" w:cs="Times New Roman"/>
          <w:b w:val="0"/>
          <w:bCs w:val="0"/>
          <w:kern w:val="2"/>
          <w:sz w:val="32"/>
          <w:szCs w:val="32"/>
          <w:lang w:val="en-US" w:eastAsia="zh-CN" w:bidi="ar-SA"/>
        </w:rPr>
        <w:t>2024年度</w:t>
      </w:r>
      <w:r>
        <w:rPr>
          <w:rFonts w:hint="default" w:ascii="Times New Roman" w:hAnsi="Times New Roman" w:eastAsia="仿宋_GB2312" w:cs="Times New Roman"/>
          <w:b w:val="0"/>
          <w:bCs w:val="0"/>
          <w:kern w:val="2"/>
          <w:sz w:val="32"/>
          <w:szCs w:val="32"/>
          <w:lang w:val="en-US" w:eastAsia="zh-CN" w:bidi="ar-SA"/>
        </w:rPr>
        <w:t>综合评定A级，</w:t>
      </w:r>
      <w:r>
        <w:rPr>
          <w:rFonts w:hint="eastAsia" w:eastAsia="仿宋_GB2312" w:cs="Times New Roman"/>
          <w:b w:val="0"/>
          <w:bCs w:val="0"/>
          <w:kern w:val="2"/>
          <w:sz w:val="32"/>
          <w:szCs w:val="32"/>
          <w:lang w:val="en-US" w:eastAsia="zh-CN" w:bidi="ar-SA"/>
        </w:rPr>
        <w:t>位居</w:t>
      </w:r>
      <w:r>
        <w:rPr>
          <w:rFonts w:hint="default" w:ascii="Times New Roman" w:hAnsi="Times New Roman" w:eastAsia="仿宋_GB2312" w:cs="Times New Roman"/>
          <w:b w:val="0"/>
          <w:bCs w:val="0"/>
          <w:kern w:val="2"/>
          <w:sz w:val="32"/>
          <w:szCs w:val="32"/>
          <w:lang w:val="en-US" w:eastAsia="zh-CN" w:bidi="ar-SA"/>
        </w:rPr>
        <w:t>全市第一</w:t>
      </w:r>
      <w:r>
        <w:rPr>
          <w:rFonts w:hint="eastAsia" w:eastAsia="仿宋_GB2312" w:cs="Times New Roman"/>
          <w:b w:val="0"/>
          <w:bCs w:val="0"/>
          <w:kern w:val="2"/>
          <w:sz w:val="32"/>
          <w:szCs w:val="32"/>
          <w:lang w:val="en-US" w:eastAsia="zh-CN" w:bidi="ar-SA"/>
        </w:rPr>
        <w:t>；我行“</w:t>
      </w:r>
      <w:r>
        <w:rPr>
          <w:rFonts w:hint="default" w:ascii="Times New Roman" w:hAnsi="Times New Roman" w:eastAsia="仿宋_GB2312" w:cs="Times New Roman"/>
          <w:b w:val="0"/>
          <w:bCs w:val="0"/>
          <w:kern w:val="2"/>
          <w:sz w:val="32"/>
          <w:szCs w:val="32"/>
          <w:lang w:val="en-US" w:eastAsia="zh-CN" w:bidi="ar-SA"/>
        </w:rPr>
        <w:t>全面预算管理</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荣获贵州农信第三届金融产品与服务创新评选第三名；</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四有</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稽核审计队伍成为省联社典范案例</w:t>
      </w:r>
      <w:r>
        <w:rPr>
          <w:rFonts w:hint="eastAsia" w:eastAsia="仿宋_GB2312" w:cs="Times New Roman"/>
          <w:b w:val="0"/>
          <w:bCs w:val="0"/>
          <w:kern w:val="2"/>
          <w:sz w:val="32"/>
          <w:szCs w:val="32"/>
          <w:lang w:val="en-US" w:eastAsia="zh-CN" w:bidi="ar-SA"/>
        </w:rPr>
        <w:t>并</w:t>
      </w:r>
      <w:r>
        <w:rPr>
          <w:rFonts w:hint="default" w:ascii="Times New Roman" w:hAnsi="Times New Roman" w:eastAsia="仿宋_GB2312" w:cs="Times New Roman"/>
          <w:b w:val="0"/>
          <w:bCs w:val="0"/>
          <w:kern w:val="2"/>
          <w:sz w:val="32"/>
          <w:szCs w:val="32"/>
          <w:lang w:val="en-US" w:eastAsia="zh-CN" w:bidi="ar-SA"/>
        </w:rPr>
        <w:t>全省推广，稽核审计部年度考核位列贵州农信第一；小微监管评价从4级提升至2A，跻身全省前列。</w:t>
      </w:r>
      <w:r>
        <w:rPr>
          <w:rFonts w:hint="default" w:ascii="Times New Roman" w:hAnsi="Times New Roman" w:eastAsia="仿宋_GB2312" w:cs="Times New Roman"/>
          <w:b/>
          <w:bCs/>
          <w:kern w:val="2"/>
          <w:sz w:val="32"/>
          <w:szCs w:val="32"/>
          <w:lang w:val="en-US" w:eastAsia="zh-CN" w:bidi="ar-SA"/>
        </w:rPr>
        <w:t>三是专项工作领跑安顺农信。</w:t>
      </w:r>
      <w:r>
        <w:rPr>
          <w:rFonts w:hint="default" w:ascii="Times New Roman" w:hAnsi="Times New Roman" w:eastAsia="仿宋_GB2312" w:cs="Times New Roman"/>
          <w:b w:val="0"/>
          <w:bCs w:val="0"/>
          <w:kern w:val="2"/>
          <w:sz w:val="32"/>
          <w:szCs w:val="32"/>
          <w:lang w:val="en-US" w:eastAsia="zh-CN" w:bidi="ar-SA"/>
        </w:rPr>
        <w:t>反洗钱、公司治理、网点文明规范服务年度考核等专项工作</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位居安顺农信首位。</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left"/>
        <w:textAlignment w:val="auto"/>
        <w:rPr>
          <w:rFonts w:hint="default" w:ascii="Times New Roman" w:hAnsi="Times New Roman" w:eastAsia="仿宋_GB2312" w:cs="Times New Roman"/>
          <w:b/>
          <w:bCs w:val="0"/>
          <w:sz w:val="32"/>
          <w:szCs w:val="32"/>
          <w:lang w:val="en-US" w:eastAsia="zh-CN"/>
        </w:rPr>
      </w:pPr>
      <w:r>
        <w:rPr>
          <w:rFonts w:hint="default" w:ascii="Times New Roman" w:hAnsi="Times New Roman" w:eastAsia="楷体_GB2312" w:cs="Times New Roman"/>
          <w:b/>
          <w:bCs/>
          <w:sz w:val="32"/>
          <w:szCs w:val="32"/>
          <w:lang w:val="en-US" w:eastAsia="zh-CN"/>
        </w:rPr>
        <w:t>一年来，我们践行使命担当，夯实发展根基。</w:t>
      </w:r>
      <w:r>
        <w:rPr>
          <w:rFonts w:hint="default" w:ascii="Times New Roman" w:hAnsi="Times New Roman" w:eastAsia="仿宋_GB2312" w:cs="Times New Roman"/>
          <w:b/>
          <w:bCs/>
          <w:kern w:val="2"/>
          <w:sz w:val="32"/>
          <w:szCs w:val="32"/>
          <w:lang w:val="en-US" w:eastAsia="zh-CN" w:bidi="ar-SA"/>
        </w:rPr>
        <w:t>一是深耕普惠金融。</w:t>
      </w:r>
      <w:r>
        <w:rPr>
          <w:rFonts w:hint="default" w:ascii="Times New Roman" w:hAnsi="Times New Roman" w:eastAsia="仿宋_GB2312" w:cs="Times New Roman"/>
          <w:b w:val="0"/>
          <w:bCs w:val="0"/>
          <w:kern w:val="2"/>
          <w:sz w:val="32"/>
          <w:szCs w:val="32"/>
          <w:lang w:val="en-US" w:eastAsia="zh-CN" w:bidi="ar-SA"/>
        </w:rPr>
        <w:t>坚守</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三农</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小微</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定位，</w:t>
      </w:r>
      <w:r>
        <w:rPr>
          <w:rFonts w:hint="eastAsia" w:eastAsia="仿宋_GB2312" w:cs="Times New Roman"/>
          <w:b w:val="0"/>
          <w:bCs w:val="0"/>
          <w:kern w:val="2"/>
          <w:sz w:val="32"/>
          <w:szCs w:val="32"/>
          <w:lang w:val="en-US" w:eastAsia="zh-CN" w:bidi="ar-SA"/>
        </w:rPr>
        <w:t>认真</w:t>
      </w:r>
      <w:r>
        <w:rPr>
          <w:rFonts w:hint="default" w:ascii="Times New Roman" w:hAnsi="Times New Roman" w:eastAsia="仿宋_GB2312" w:cs="Times New Roman"/>
          <w:b w:val="0"/>
          <w:bCs w:val="0"/>
          <w:kern w:val="2"/>
          <w:sz w:val="32"/>
          <w:szCs w:val="32"/>
          <w:lang w:val="en-US" w:eastAsia="zh-CN" w:bidi="ar-SA"/>
        </w:rPr>
        <w:t>落实</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五篇大文章</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金融政策，</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聚焦</w:t>
      </w:r>
      <w:r>
        <w:rPr>
          <w:rFonts w:hint="eastAsia" w:eastAsia="仿宋_GB2312" w:cs="Times New Roman"/>
          <w:b w:val="0"/>
          <w:bCs w:val="0"/>
          <w:i w:val="0"/>
          <w:iCs w:val="0"/>
          <w:caps w:val="0"/>
          <w:color w:val="auto"/>
          <w:spacing w:val="0"/>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四新四化</w:t>
      </w:r>
      <w:r>
        <w:rPr>
          <w:rFonts w:hint="eastAsia" w:eastAsia="仿宋_GB2312" w:cs="Times New Roman"/>
          <w:b w:val="0"/>
          <w:bCs w:val="0"/>
          <w:i w:val="0"/>
          <w:iCs w:val="0"/>
          <w:caps w:val="0"/>
          <w:color w:val="auto"/>
          <w:spacing w:val="0"/>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专精特</w:t>
      </w:r>
      <w:r>
        <w:rPr>
          <w:rFonts w:hint="eastAsia" w:eastAsia="仿宋_GB2312" w:cs="Times New Roman"/>
          <w:b w:val="0"/>
          <w:bCs w:val="0"/>
          <w:i w:val="0"/>
          <w:iCs w:val="0"/>
          <w:caps w:val="0"/>
          <w:color w:val="auto"/>
          <w:spacing w:val="0"/>
          <w:sz w:val="32"/>
          <w:szCs w:val="32"/>
          <w:highlight w:val="none"/>
          <w:lang w:val="en-US" w:eastAsia="zh-CN"/>
        </w:rPr>
        <w:t>新”等</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领域，出台</w:t>
      </w:r>
      <w:r>
        <w:rPr>
          <w:rFonts w:hint="default" w:ascii="Times New Roman" w:hAnsi="Times New Roman" w:eastAsia="仿宋_GB2312" w:cs="Times New Roman"/>
          <w:b w:val="0"/>
          <w:bCs w:val="0"/>
          <w:kern w:val="2"/>
          <w:sz w:val="32"/>
          <w:szCs w:val="32"/>
          <w:lang w:val="en-US" w:eastAsia="zh-CN" w:bidi="ar-SA"/>
        </w:rPr>
        <w:t>10余</w:t>
      </w:r>
      <w:r>
        <w:rPr>
          <w:rFonts w:hint="eastAsia" w:eastAsia="仿宋_GB2312" w:cs="Times New Roman"/>
          <w:b w:val="0"/>
          <w:bCs w:val="0"/>
          <w:kern w:val="2"/>
          <w:sz w:val="32"/>
          <w:szCs w:val="32"/>
          <w:lang w:val="en-US" w:eastAsia="zh-CN" w:bidi="ar-SA"/>
        </w:rPr>
        <w:t>个</w:t>
      </w:r>
      <w:r>
        <w:rPr>
          <w:rFonts w:hint="default" w:ascii="Times New Roman" w:hAnsi="Times New Roman" w:eastAsia="仿宋_GB2312" w:cs="Times New Roman"/>
          <w:b w:val="0"/>
          <w:bCs w:val="0"/>
          <w:kern w:val="2"/>
          <w:sz w:val="32"/>
          <w:szCs w:val="32"/>
          <w:lang w:val="en-US" w:eastAsia="zh-CN" w:bidi="ar-SA"/>
        </w:rPr>
        <w:t>金融服务系列方案，支持地方产业做特做优，支持小微</w:t>
      </w:r>
      <w:r>
        <w:rPr>
          <w:rFonts w:hint="eastAsia" w:eastAsia="仿宋_GB2312" w:cs="Times New Roman"/>
          <w:b w:val="0"/>
          <w:bCs w:val="0"/>
          <w:kern w:val="2"/>
          <w:sz w:val="32"/>
          <w:szCs w:val="32"/>
          <w:lang w:val="en-US" w:eastAsia="zh-CN" w:bidi="ar-SA"/>
        </w:rPr>
        <w:t>企业</w:t>
      </w:r>
      <w:r>
        <w:rPr>
          <w:rFonts w:hint="default" w:ascii="Times New Roman" w:hAnsi="Times New Roman" w:eastAsia="仿宋_GB2312" w:cs="Times New Roman"/>
          <w:b w:val="0"/>
          <w:bCs w:val="0"/>
          <w:kern w:val="2"/>
          <w:sz w:val="32"/>
          <w:szCs w:val="32"/>
          <w:lang w:val="en-US" w:eastAsia="zh-CN" w:bidi="ar-SA"/>
        </w:rPr>
        <w:t>做大做强</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依托</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百名行长大调研</w:t>
      </w:r>
      <w:r>
        <w:rPr>
          <w:rFonts w:hint="eastAsia" w:eastAsia="仿宋_GB2312" w:cs="Times New Roman"/>
          <w:b w:val="0"/>
          <w:bCs w:val="0"/>
          <w:kern w:val="2"/>
          <w:sz w:val="32"/>
          <w:szCs w:val="32"/>
          <w:lang w:val="en-US" w:eastAsia="zh-CN" w:bidi="ar-SA"/>
        </w:rPr>
        <w:t>”开展</w:t>
      </w:r>
      <w:r>
        <w:rPr>
          <w:rFonts w:hint="default" w:ascii="Times New Roman" w:hAnsi="Times New Roman" w:eastAsia="仿宋_GB2312" w:cs="Times New Roman"/>
          <w:b w:val="0"/>
          <w:bCs w:val="0"/>
          <w:kern w:val="2"/>
          <w:sz w:val="32"/>
          <w:szCs w:val="32"/>
          <w:lang w:val="en-US" w:eastAsia="zh-CN" w:bidi="ar-SA"/>
        </w:rPr>
        <w:t>联动走访，发挥支持小微企业融资协调机制效能，</w:t>
      </w:r>
      <w:r>
        <w:rPr>
          <w:rFonts w:hint="eastAsia" w:eastAsia="仿宋_GB2312" w:cs="Times New Roman"/>
          <w:b w:val="0"/>
          <w:bCs w:val="0"/>
          <w:kern w:val="2"/>
          <w:sz w:val="32"/>
          <w:szCs w:val="32"/>
          <w:lang w:val="en-US" w:eastAsia="zh-CN" w:bidi="ar-SA"/>
        </w:rPr>
        <w:t>自活动开展以来，</w:t>
      </w:r>
      <w:r>
        <w:rPr>
          <w:rFonts w:hint="default" w:ascii="Times New Roman" w:hAnsi="Times New Roman" w:eastAsia="仿宋_GB2312" w:cs="Times New Roman"/>
          <w:b w:val="0"/>
          <w:bCs w:val="0"/>
          <w:kern w:val="2"/>
          <w:sz w:val="32"/>
          <w:szCs w:val="32"/>
          <w:lang w:val="en-US" w:eastAsia="zh-CN" w:bidi="ar-SA"/>
        </w:rPr>
        <w:t>累计走访6.8万户，投放各项贷款6.55亿元。</w:t>
      </w:r>
      <w:r>
        <w:rPr>
          <w:rFonts w:hint="default" w:ascii="Times New Roman" w:hAnsi="Times New Roman" w:eastAsia="仿宋_GB2312" w:cs="Times New Roman"/>
          <w:b/>
          <w:bCs/>
          <w:kern w:val="2"/>
          <w:sz w:val="32"/>
          <w:szCs w:val="32"/>
          <w:lang w:val="en-US" w:eastAsia="zh-CN" w:bidi="ar-SA"/>
        </w:rPr>
        <w:t>二是深化业财融合。</w:t>
      </w:r>
      <w:r>
        <w:rPr>
          <w:rFonts w:hint="default" w:ascii="Times New Roman" w:hAnsi="Times New Roman" w:eastAsia="仿宋_GB2312" w:cs="Times New Roman"/>
          <w:b w:val="0"/>
          <w:bCs w:val="0"/>
          <w:kern w:val="2"/>
          <w:sz w:val="32"/>
          <w:szCs w:val="32"/>
          <w:lang w:val="en-US" w:eastAsia="zh-CN" w:bidi="ar-SA"/>
        </w:rPr>
        <w:t>制定《全面预算管理办法》《党建+全面预算推进业财融合方案》，将党支部、机关部室、营业网点纳入全流程考核，推动业务与财务深度协同。围绕</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5+15</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项核心经营目标，探索推广FTP定价工具，引导管理层强化成本效益意识，科学平衡</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量、价、险</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关系，实现13家营业网点扭亏为盈。同时，有序关停2家低效网点，推动网点布局更趋合理</w:t>
      </w:r>
      <w:r>
        <w:rPr>
          <w:rFonts w:hint="default" w:ascii="Times New Roman" w:hAnsi="Times New Roman" w:eastAsia="仿宋_GB2312" w:cs="Times New Roman"/>
          <w:b w:val="0"/>
          <w:bCs w:val="0"/>
          <w:color w:val="auto"/>
          <w:kern w:val="2"/>
          <w:sz w:val="32"/>
          <w:szCs w:val="32"/>
          <w:lang w:val="en-US" w:eastAsia="zh-CN" w:bidi="ar-SA"/>
        </w:rPr>
        <w:t>；</w:t>
      </w:r>
      <w:r>
        <w:rPr>
          <w:rFonts w:hint="default" w:ascii="Times New Roman" w:hAnsi="Times New Roman" w:eastAsia="仿宋_GB2312" w:cs="Times New Roman"/>
          <w:b/>
          <w:bCs w:val="0"/>
          <w:sz w:val="32"/>
          <w:szCs w:val="32"/>
          <w:lang w:val="en-US" w:eastAsia="zh-CN"/>
        </w:rPr>
        <w:t>三是创新清收模式。</w:t>
      </w:r>
      <w:r>
        <w:rPr>
          <w:rFonts w:hint="default" w:ascii="Times New Roman" w:hAnsi="Times New Roman" w:eastAsia="仿宋_GB2312" w:cs="Times New Roman"/>
          <w:b w:val="0"/>
          <w:bCs/>
          <w:sz w:val="32"/>
          <w:szCs w:val="32"/>
          <w:lang w:val="en-US" w:eastAsia="zh-CN"/>
        </w:rPr>
        <w:t>持续加强与长城资管公司合作，2024年通过结构化批量转让，成功处置存量大额贷款2.84亿元；现金收回2023年已核销贷款1406.95万元，反委托收回率达35.51%。</w:t>
      </w:r>
      <w:r>
        <w:rPr>
          <w:rFonts w:hint="default" w:ascii="Times New Roman" w:hAnsi="Times New Roman" w:eastAsia="仿宋_GB2312" w:cs="Times New Roman"/>
          <w:bCs/>
          <w:sz w:val="32"/>
          <w:szCs w:val="32"/>
          <w:lang w:val="en-US" w:eastAsia="zh-CN"/>
        </w:rPr>
        <w:t>同时，</w:t>
      </w:r>
      <w:r>
        <w:rPr>
          <w:rFonts w:hint="eastAsia" w:eastAsia="仿宋_GB2312" w:cs="Times New Roman"/>
          <w:bCs/>
          <w:sz w:val="32"/>
          <w:szCs w:val="32"/>
          <w:lang w:val="en-US" w:eastAsia="zh-CN"/>
        </w:rPr>
        <w:t>我行</w:t>
      </w:r>
      <w:r>
        <w:rPr>
          <w:rFonts w:hint="default" w:ascii="Times New Roman" w:hAnsi="Times New Roman" w:eastAsia="仿宋_GB2312" w:cs="Times New Roman"/>
          <w:bCs/>
          <w:sz w:val="32"/>
          <w:szCs w:val="32"/>
          <w:lang w:val="en-US" w:eastAsia="zh-CN"/>
        </w:rPr>
        <w:t>以非批量转让市场化</w:t>
      </w:r>
      <w:r>
        <w:rPr>
          <w:rFonts w:hint="eastAsia" w:eastAsia="仿宋_GB2312" w:cs="Times New Roman"/>
          <w:bCs/>
          <w:sz w:val="32"/>
          <w:szCs w:val="32"/>
          <w:lang w:val="en-US" w:eastAsia="zh-CN"/>
        </w:rPr>
        <w:t>成功</w:t>
      </w:r>
      <w:r>
        <w:rPr>
          <w:rFonts w:hint="default" w:ascii="Times New Roman" w:hAnsi="Times New Roman" w:eastAsia="仿宋_GB2312" w:cs="Times New Roman"/>
          <w:bCs/>
          <w:sz w:val="32"/>
          <w:szCs w:val="32"/>
          <w:lang w:val="en-US" w:eastAsia="zh-CN"/>
        </w:rPr>
        <w:t>处置清收账面不良现金599万元</w:t>
      </w:r>
      <w:r>
        <w:rPr>
          <w:rFonts w:hint="eastAsia" w:eastAsia="仿宋_GB2312" w:cs="Times New Roman"/>
          <w:bCs/>
          <w:sz w:val="32"/>
          <w:szCs w:val="32"/>
          <w:lang w:val="en-US" w:eastAsia="zh-CN"/>
        </w:rPr>
        <w:t>，成为安顺农信首家</w:t>
      </w:r>
      <w:r>
        <w:rPr>
          <w:rFonts w:hint="default" w:ascii="Times New Roman" w:hAnsi="Times New Roman" w:eastAsia="仿宋_GB2312" w:cs="Times New Roman"/>
          <w:bCs/>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Cs/>
          <w:sz w:val="32"/>
          <w:szCs w:val="32"/>
          <w:lang w:val="en-US" w:eastAsia="zh-CN"/>
        </w:rPr>
      </w:pPr>
      <w:r>
        <w:rPr>
          <w:rFonts w:hint="default" w:ascii="Times New Roman" w:hAnsi="Times New Roman" w:eastAsia="楷体_GB2312" w:cs="Times New Roman"/>
          <w:b/>
          <w:bCs/>
          <w:color w:val="000000"/>
          <w:sz w:val="32"/>
          <w:szCs w:val="32"/>
          <w:lang w:val="en-US" w:eastAsia="zh-CN"/>
        </w:rPr>
        <w:t>这一年我们坚定依法合规，</w:t>
      </w:r>
      <w:r>
        <w:rPr>
          <w:rFonts w:hint="eastAsia" w:eastAsia="楷体_GB2312" w:cs="Times New Roman"/>
          <w:b/>
          <w:bCs/>
          <w:color w:val="000000"/>
          <w:sz w:val="32"/>
          <w:szCs w:val="32"/>
          <w:lang w:val="en-US" w:eastAsia="zh-CN"/>
        </w:rPr>
        <w:t>优化</w:t>
      </w:r>
      <w:r>
        <w:rPr>
          <w:rFonts w:hint="default" w:ascii="Times New Roman" w:hAnsi="Times New Roman" w:eastAsia="楷体_GB2312" w:cs="Times New Roman"/>
          <w:b/>
          <w:bCs/>
          <w:color w:val="000000"/>
          <w:sz w:val="32"/>
          <w:szCs w:val="32"/>
          <w:lang w:val="en-US" w:eastAsia="zh-CN"/>
        </w:rPr>
        <w:t>员工队伍建设。</w:t>
      </w:r>
      <w:r>
        <w:rPr>
          <w:rFonts w:hint="default" w:ascii="Times New Roman" w:hAnsi="Times New Roman" w:eastAsia="仿宋_GB2312" w:cs="Times New Roman"/>
          <w:b/>
          <w:bCs w:val="0"/>
          <w:sz w:val="32"/>
          <w:szCs w:val="32"/>
          <w:lang w:eastAsia="zh-CN"/>
        </w:rPr>
        <w:t>一</w:t>
      </w:r>
      <w:r>
        <w:rPr>
          <w:rFonts w:hint="default" w:ascii="Times New Roman" w:hAnsi="Times New Roman" w:eastAsia="仿宋_GB2312" w:cs="Times New Roman"/>
          <w:b/>
          <w:bCs w:val="0"/>
          <w:sz w:val="32"/>
          <w:szCs w:val="32"/>
        </w:rPr>
        <w:t>是</w:t>
      </w:r>
      <w:r>
        <w:rPr>
          <w:rFonts w:hint="default" w:ascii="Times New Roman" w:hAnsi="Times New Roman" w:eastAsia="仿宋_GB2312" w:cs="Times New Roman"/>
          <w:b/>
          <w:bCs w:val="0"/>
          <w:sz w:val="32"/>
          <w:szCs w:val="32"/>
          <w:lang w:val="en-US" w:eastAsia="zh-CN"/>
        </w:rPr>
        <w:t>健全合规文化体系</w:t>
      </w:r>
      <w:r>
        <w:rPr>
          <w:rFonts w:hint="default" w:ascii="Times New Roman" w:hAnsi="Times New Roman" w:eastAsia="仿宋_GB2312" w:cs="Times New Roman"/>
          <w:b/>
          <w:bCs w:val="0"/>
          <w:sz w:val="32"/>
          <w:szCs w:val="32"/>
          <w:lang w:eastAsia="zh-CN"/>
        </w:rPr>
        <w:t>。</w:t>
      </w:r>
      <w:r>
        <w:rPr>
          <w:rFonts w:hint="eastAsia" w:eastAsia="仿宋_GB2312" w:cs="Times New Roman"/>
          <w:b w:val="0"/>
          <w:bCs/>
          <w:sz w:val="32"/>
          <w:szCs w:val="32"/>
          <w:lang w:val="en-US" w:eastAsia="zh-CN"/>
        </w:rPr>
        <w:t>印发</w:t>
      </w:r>
      <w:r>
        <w:rPr>
          <w:rFonts w:hint="default" w:ascii="Times New Roman" w:hAnsi="Times New Roman" w:eastAsia="仿宋_GB2312" w:cs="Times New Roman"/>
          <w:bCs/>
          <w:sz w:val="32"/>
          <w:szCs w:val="32"/>
          <w:lang w:val="en-US" w:eastAsia="zh-CN"/>
        </w:rPr>
        <w:t>《安顺农村商业银行股份有限公司合规教育活动实施方案》，全员签署《合规承诺书》，强化重点领域监督检查</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针对</w:t>
      </w:r>
      <w:r>
        <w:rPr>
          <w:rFonts w:hint="eastAsia" w:eastAsia="仿宋_GB2312" w:cs="Times New Roman"/>
          <w:bCs/>
          <w:sz w:val="32"/>
          <w:szCs w:val="32"/>
          <w:lang w:val="en-US" w:eastAsia="zh-CN"/>
        </w:rPr>
        <w:t>违纪</w:t>
      </w:r>
      <w:r>
        <w:rPr>
          <w:rFonts w:hint="default" w:ascii="Times New Roman" w:hAnsi="Times New Roman" w:eastAsia="仿宋_GB2312" w:cs="Times New Roman"/>
          <w:bCs/>
          <w:sz w:val="32"/>
          <w:szCs w:val="32"/>
          <w:lang w:val="en-US" w:eastAsia="zh-CN"/>
        </w:rPr>
        <w:t>违</w:t>
      </w:r>
      <w:r>
        <w:rPr>
          <w:rFonts w:hint="eastAsia" w:eastAsia="仿宋_GB2312" w:cs="Times New Roman"/>
          <w:bCs/>
          <w:sz w:val="32"/>
          <w:szCs w:val="32"/>
          <w:lang w:val="en-US" w:eastAsia="zh-CN"/>
        </w:rPr>
        <w:t>法</w:t>
      </w:r>
      <w:r>
        <w:rPr>
          <w:rFonts w:hint="default" w:ascii="Times New Roman" w:hAnsi="Times New Roman" w:eastAsia="仿宋_GB2312" w:cs="Times New Roman"/>
          <w:bCs/>
          <w:sz w:val="32"/>
          <w:szCs w:val="32"/>
          <w:lang w:val="en-US" w:eastAsia="zh-CN"/>
        </w:rPr>
        <w:t>、酒驾醉驾等问题，严肃追责问责，2024年累计出具83份问责决定书，处理530人次。</w:t>
      </w:r>
      <w:r>
        <w:rPr>
          <w:rFonts w:hint="default" w:ascii="Times New Roman" w:hAnsi="Times New Roman" w:eastAsia="仿宋_GB2312" w:cs="Times New Roman"/>
          <w:b/>
          <w:bCs w:val="0"/>
          <w:sz w:val="32"/>
          <w:szCs w:val="32"/>
          <w:lang w:val="en-US" w:eastAsia="zh-CN"/>
        </w:rPr>
        <w:t>二是加强内外部审计监督</w:t>
      </w:r>
      <w:r>
        <w:rPr>
          <w:rFonts w:hint="default" w:ascii="Times New Roman" w:hAnsi="Times New Roman" w:eastAsia="仿宋_GB2312" w:cs="Times New Roman"/>
          <w:b/>
          <w:bCs/>
          <w:sz w:val="32"/>
          <w:szCs w:val="32"/>
          <w:lang w:val="en-US" w:eastAsia="zh-CN"/>
        </w:rPr>
        <w:t>。</w:t>
      </w:r>
      <w:r>
        <w:rPr>
          <w:rFonts w:hint="eastAsia" w:eastAsia="仿宋_GB2312" w:cs="Times New Roman"/>
          <w:b w:val="0"/>
          <w:bCs w:val="0"/>
          <w:sz w:val="32"/>
          <w:szCs w:val="32"/>
          <w:lang w:val="en-US" w:eastAsia="zh-CN"/>
        </w:rPr>
        <w:t>董事会</w:t>
      </w:r>
      <w:r>
        <w:rPr>
          <w:rFonts w:hint="eastAsia" w:eastAsia="仿宋_GB2312" w:cs="Times New Roman"/>
          <w:sz w:val="32"/>
          <w:szCs w:val="32"/>
          <w:lang w:val="en-US" w:eastAsia="zh-CN"/>
        </w:rPr>
        <w:t>定期听取监管机构的监管意见及我行整改落实情况，</w:t>
      </w:r>
      <w:r>
        <w:rPr>
          <w:rFonts w:hint="default" w:ascii="Times New Roman" w:hAnsi="Times New Roman" w:eastAsia="仿宋_GB2312" w:cs="Times New Roman"/>
          <w:bCs/>
          <w:sz w:val="32"/>
          <w:szCs w:val="32"/>
          <w:lang w:val="en-US" w:eastAsia="zh-CN"/>
        </w:rPr>
        <w:t>聚焦问题整改进展和成效评估，</w:t>
      </w:r>
      <w:r>
        <w:rPr>
          <w:rFonts w:hint="eastAsia" w:eastAsia="仿宋_GB2312" w:cs="Times New Roman"/>
          <w:bCs/>
          <w:sz w:val="32"/>
          <w:szCs w:val="32"/>
          <w:lang w:val="en-US" w:eastAsia="zh-CN"/>
        </w:rPr>
        <w:t>持续优化</w:t>
      </w:r>
      <w:r>
        <w:rPr>
          <w:rFonts w:hint="default" w:ascii="Times New Roman" w:hAnsi="Times New Roman" w:eastAsia="仿宋_GB2312" w:cs="Times New Roman"/>
          <w:bCs/>
          <w:sz w:val="32"/>
          <w:szCs w:val="32"/>
          <w:lang w:val="en-US" w:eastAsia="zh-CN"/>
        </w:rPr>
        <w:t>内控机制流程，压实</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三道防线</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责任，打造</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四有</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稽核审计队伍，构建垂直统一、全面覆盖的审计监督体系</w:t>
      </w:r>
      <w:r>
        <w:rPr>
          <w:rFonts w:hint="eastAsia" w:eastAsia="仿宋_GB2312" w:cs="Times New Roman"/>
          <w:bCs/>
          <w:sz w:val="32"/>
          <w:szCs w:val="32"/>
          <w:lang w:val="en-US" w:eastAsia="zh-CN"/>
        </w:rPr>
        <w:t>。</w:t>
      </w:r>
      <w:r>
        <w:rPr>
          <w:rFonts w:hint="default" w:ascii="Times New Roman" w:hAnsi="Times New Roman" w:eastAsia="仿宋_GB2312" w:cs="Times New Roman"/>
          <w:b/>
          <w:bCs w:val="0"/>
          <w:sz w:val="32"/>
          <w:szCs w:val="32"/>
          <w:lang w:val="en-US" w:eastAsia="zh-CN"/>
        </w:rPr>
        <w:t>三是抓好人才队伍建设。</w:t>
      </w:r>
      <w:r>
        <w:rPr>
          <w:rFonts w:hint="eastAsia" w:ascii="Times New Roman" w:hAnsi="Times New Roman" w:eastAsia="仿宋_GB2312" w:cs="仿宋_GB2312"/>
          <w:b w:val="0"/>
          <w:bCs w:val="0"/>
          <w:color w:val="auto"/>
          <w:kern w:val="0"/>
          <w:sz w:val="32"/>
          <w:szCs w:val="32"/>
          <w:highlight w:val="none"/>
          <w:u w:val="none"/>
          <w:lang w:val="en-US" w:eastAsia="zh-CN" w:bidi="ar-SA"/>
        </w:rPr>
        <w:t>以“干部战斗力提升工程”为导向，</w:t>
      </w:r>
      <w:r>
        <w:rPr>
          <w:rFonts w:hint="default" w:ascii="Times New Roman" w:hAnsi="Times New Roman" w:eastAsia="仿宋_GB2312" w:cs="Times New Roman"/>
          <w:bCs/>
          <w:sz w:val="32"/>
          <w:szCs w:val="32"/>
          <w:lang w:val="en-US" w:eastAsia="zh-CN"/>
        </w:rPr>
        <w:t>固化周一</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学习日</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制度，提升全员综合素养</w:t>
      </w:r>
      <w:r>
        <w:rPr>
          <w:rFonts w:hint="eastAsia" w:eastAsia="仿宋_GB2312" w:cs="Times New Roman"/>
          <w:bCs/>
          <w:sz w:val="32"/>
          <w:szCs w:val="32"/>
          <w:lang w:val="en-US" w:eastAsia="zh-CN"/>
        </w:rPr>
        <w:t>。</w:t>
      </w:r>
      <w:r>
        <w:rPr>
          <w:rFonts w:hint="default" w:ascii="Times New Roman" w:hAnsi="Times New Roman" w:eastAsia="仿宋_GB2312" w:cs="Times New Roman"/>
          <w:bCs/>
          <w:sz w:val="32"/>
          <w:szCs w:val="32"/>
          <w:lang w:val="en-US" w:eastAsia="zh-CN"/>
        </w:rPr>
        <w:t>2024年以来，招聘新员工6</w:t>
      </w:r>
      <w:r>
        <w:rPr>
          <w:rFonts w:hint="eastAsia" w:eastAsia="仿宋_GB2312" w:cs="Times New Roman"/>
          <w:bCs/>
          <w:sz w:val="32"/>
          <w:szCs w:val="32"/>
          <w:lang w:val="en-US" w:eastAsia="zh-CN"/>
        </w:rPr>
        <w:t>人；</w:t>
      </w:r>
      <w:r>
        <w:rPr>
          <w:rFonts w:hint="default" w:ascii="Times New Roman" w:hAnsi="Times New Roman" w:eastAsia="仿宋_GB2312" w:cs="Times New Roman"/>
          <w:bCs/>
          <w:sz w:val="32"/>
          <w:szCs w:val="32"/>
          <w:lang w:val="en-US" w:eastAsia="zh-CN"/>
        </w:rPr>
        <w:t>新提拔中层干部10人，免职8人，降职1人，撤职3人</w:t>
      </w:r>
      <w:r>
        <w:rPr>
          <w:rFonts w:hint="eastAsia" w:eastAsia="仿宋_GB2312" w:cs="Times New Roman"/>
          <w:bCs/>
          <w:sz w:val="32"/>
          <w:szCs w:val="32"/>
          <w:lang w:val="en-US" w:eastAsia="zh-CN"/>
        </w:rPr>
        <w:t>；形成</w:t>
      </w:r>
      <w:r>
        <w:rPr>
          <w:rFonts w:hint="default" w:ascii="Times New Roman" w:hAnsi="Times New Roman" w:eastAsia="仿宋_GB2312" w:cs="Times New Roman"/>
          <w:bCs/>
          <w:sz w:val="32"/>
          <w:szCs w:val="32"/>
          <w:lang w:val="en-US" w:eastAsia="zh-CN"/>
        </w:rPr>
        <w:t>高级职称3人、中级28人、初级39人的人才梯队。</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b/>
          <w:bCs/>
          <w:color w:val="000000"/>
          <w:sz w:val="32"/>
          <w:szCs w:val="32"/>
          <w:highlight w:val="none"/>
          <w:lang w:val="en-US" w:eastAsia="zh-CN"/>
        </w:rPr>
        <w:t>这一年，我们履行社会责任，塑造良好社会形象。</w:t>
      </w:r>
      <w:r>
        <w:rPr>
          <w:rFonts w:hint="eastAsia" w:ascii="仿宋_GB2312" w:hAnsi="仿宋_GB2312" w:eastAsia="仿宋_GB2312" w:cs="仿宋_GB2312"/>
          <w:b/>
          <w:bCs/>
          <w:color w:val="000000"/>
          <w:sz w:val="32"/>
          <w:szCs w:val="32"/>
          <w:highlight w:val="none"/>
          <w:lang w:val="en-US" w:eastAsia="zh-CN"/>
        </w:rPr>
        <w:t>一是</w:t>
      </w:r>
      <w:r>
        <w:rPr>
          <w:rFonts w:hint="eastAsia" w:ascii="仿宋_GB2312" w:hAnsi="仿宋_GB2312" w:eastAsia="仿宋_GB2312" w:cs="仿宋_GB2312"/>
          <w:b/>
          <w:bCs/>
          <w:sz w:val="32"/>
          <w:szCs w:val="32"/>
          <w:lang w:val="en-US" w:eastAsia="zh-CN"/>
        </w:rPr>
        <w:t>认真履行社会责任。</w:t>
      </w:r>
      <w:r>
        <w:rPr>
          <w:rFonts w:hint="default" w:ascii="Times New Roman" w:hAnsi="Times New Roman" w:eastAsia="仿宋_GB2312" w:cs="Times New Roman"/>
          <w:sz w:val="32"/>
          <w:szCs w:val="32"/>
          <w:lang w:val="en-US" w:eastAsia="zh-CN"/>
        </w:rPr>
        <w:t>紧扣中央、省、市重大战略部署，深入贯彻落实国家经济政策，持续加大对乡村振兴、绿色产业、普惠行业、民生事业等领域的金融支持，彰显我行责任担当；</w:t>
      </w:r>
      <w:r>
        <w:rPr>
          <w:rFonts w:hint="default" w:ascii="仿宋_GB2312" w:hAnsi="仿宋_GB2312" w:eastAsia="仿宋_GB2312" w:cs="仿宋_GB2312"/>
          <w:b/>
          <w:bCs/>
          <w:color w:val="000000"/>
          <w:sz w:val="32"/>
          <w:szCs w:val="32"/>
          <w:highlight w:val="none"/>
          <w:lang w:val="en-US" w:eastAsia="zh-CN"/>
        </w:rPr>
        <w:t>二是</w:t>
      </w:r>
      <w:r>
        <w:rPr>
          <w:rFonts w:hint="eastAsia" w:ascii="仿宋_GB2312" w:hAnsi="仿宋_GB2312" w:eastAsia="仿宋_GB2312" w:cs="仿宋_GB2312"/>
          <w:b/>
          <w:bCs/>
          <w:color w:val="000000"/>
          <w:sz w:val="32"/>
          <w:szCs w:val="32"/>
          <w:highlight w:val="none"/>
          <w:lang w:val="en-US" w:eastAsia="zh-CN"/>
        </w:rPr>
        <w:t>及时</w:t>
      </w:r>
      <w:r>
        <w:rPr>
          <w:rFonts w:hint="default" w:ascii="仿宋_GB2312" w:hAnsi="仿宋_GB2312" w:eastAsia="仿宋_GB2312" w:cs="仿宋_GB2312"/>
          <w:b/>
          <w:bCs/>
          <w:color w:val="000000"/>
          <w:sz w:val="32"/>
          <w:szCs w:val="32"/>
          <w:highlight w:val="none"/>
          <w:lang w:val="en-US" w:eastAsia="zh-CN"/>
        </w:rPr>
        <w:t>披露信息报告。</w:t>
      </w:r>
      <w:r>
        <w:rPr>
          <w:rFonts w:hint="eastAsia" w:ascii="仿宋_GB2312" w:hAnsi="仿宋_GB2312" w:eastAsia="仿宋_GB2312" w:cs="仿宋_GB2312"/>
          <w:b w:val="0"/>
          <w:bCs w:val="0"/>
          <w:color w:val="000000"/>
          <w:sz w:val="32"/>
          <w:szCs w:val="32"/>
          <w:highlight w:val="none"/>
          <w:lang w:val="en-US" w:eastAsia="zh-CN"/>
        </w:rPr>
        <w:t>认真</w:t>
      </w:r>
      <w:r>
        <w:rPr>
          <w:rFonts w:hint="default" w:ascii="Times New Roman" w:hAnsi="Times New Roman" w:eastAsia="仿宋_GB2312" w:cs="Times New Roman"/>
          <w:sz w:val="32"/>
          <w:szCs w:val="32"/>
          <w:highlight w:val="none"/>
          <w:lang w:val="en-US" w:eastAsia="zh-CN"/>
        </w:rPr>
        <w:t>履行信息披露义务，及时、准确地披露我行财务、经营、所有权、公司治理状况，</w:t>
      </w:r>
      <w:r>
        <w:rPr>
          <w:rFonts w:hint="eastAsia" w:eastAsia="仿宋_GB2312" w:cs="Times New Roman"/>
          <w:sz w:val="32"/>
          <w:szCs w:val="32"/>
          <w:highlight w:val="none"/>
          <w:lang w:val="en-US" w:eastAsia="zh-CN"/>
        </w:rPr>
        <w:t>让</w:t>
      </w:r>
      <w:r>
        <w:rPr>
          <w:rFonts w:hint="default" w:ascii="Times New Roman" w:hAnsi="Times New Roman" w:eastAsia="仿宋_GB2312" w:cs="Times New Roman"/>
          <w:sz w:val="32"/>
          <w:szCs w:val="32"/>
          <w:highlight w:val="none"/>
          <w:lang w:val="en-US" w:eastAsia="zh-CN"/>
        </w:rPr>
        <w:t>广大股东和利益相关者的权益</w:t>
      </w:r>
      <w:r>
        <w:rPr>
          <w:rFonts w:hint="eastAsia" w:eastAsia="仿宋_GB2312" w:cs="Times New Roman"/>
          <w:sz w:val="32"/>
          <w:szCs w:val="32"/>
          <w:highlight w:val="none"/>
          <w:lang w:val="en-US" w:eastAsia="zh-CN"/>
        </w:rPr>
        <w:t>得到有效保障</w:t>
      </w:r>
      <w:r>
        <w:rPr>
          <w:rFonts w:hint="default" w:ascii="Times New Roman" w:hAnsi="Times New Roman" w:eastAsia="仿宋_GB2312" w:cs="Times New Roman"/>
          <w:sz w:val="32"/>
          <w:szCs w:val="32"/>
          <w:highlight w:val="none"/>
          <w:lang w:val="en-US" w:eastAsia="zh-CN"/>
        </w:rPr>
        <w:t>；三</w:t>
      </w:r>
      <w:r>
        <w:rPr>
          <w:rFonts w:hint="default" w:ascii="Times New Roman" w:hAnsi="Times New Roman" w:eastAsia="仿宋_GB2312" w:cs="Times New Roman"/>
          <w:b/>
          <w:bCs/>
          <w:sz w:val="32"/>
          <w:szCs w:val="32"/>
          <w:highlight w:val="none"/>
          <w:lang w:val="en-US" w:eastAsia="zh-CN"/>
        </w:rPr>
        <w:t>是</w:t>
      </w:r>
      <w:r>
        <w:rPr>
          <w:rFonts w:hint="eastAsia" w:eastAsia="仿宋_GB2312" w:cs="Times New Roman"/>
          <w:b/>
          <w:bCs/>
          <w:sz w:val="32"/>
          <w:szCs w:val="32"/>
          <w:highlight w:val="none"/>
          <w:lang w:val="en-US" w:eastAsia="zh-CN"/>
        </w:rPr>
        <w:t>充分发挥</w:t>
      </w:r>
      <w:r>
        <w:rPr>
          <w:rFonts w:hint="default" w:ascii="Times New Roman" w:hAnsi="Times New Roman" w:eastAsia="仿宋_GB2312" w:cs="Times New Roman"/>
          <w:b/>
          <w:bCs/>
          <w:sz w:val="32"/>
          <w:szCs w:val="32"/>
          <w:highlight w:val="none"/>
          <w:lang w:val="en-US" w:eastAsia="zh-CN"/>
        </w:rPr>
        <w:t>战略引领职能</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将2025年省联社“6+14”项经营计划作为战略目标，落实稳健发展风险偏好，执行“坚守底线、审慎经营”风险管理文化，坚持目标导向，发挥预算管控的战略规划作用，实现“资债规模稳健增长、营业收支总体稳定、风险防控能力逐步提升、财务效益略有增长”的发展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u w:val="none"/>
          <w:lang w:val="en-US" w:eastAsia="zh-CN" w:bidi="ar-SA"/>
        </w:rPr>
      </w:pPr>
      <w:r>
        <w:rPr>
          <w:rFonts w:hint="default" w:ascii="Times New Roman" w:hAnsi="Times New Roman" w:eastAsia="仿宋_GB2312" w:cs="Times New Roman"/>
          <w:b w:val="0"/>
          <w:bCs w:val="0"/>
          <w:color w:val="auto"/>
          <w:kern w:val="0"/>
          <w:sz w:val="32"/>
          <w:szCs w:val="32"/>
          <w:highlight w:val="none"/>
          <w:u w:val="none"/>
          <w:lang w:val="en-US" w:eastAsia="zh-CN" w:bidi="ar-SA"/>
        </w:rPr>
        <w:t>各位代表，</w:t>
      </w:r>
      <w:r>
        <w:rPr>
          <w:rFonts w:hint="eastAsia" w:eastAsia="仿宋_GB2312" w:cs="Times New Roman"/>
          <w:b w:val="0"/>
          <w:bCs w:val="0"/>
          <w:color w:val="auto"/>
          <w:kern w:val="0"/>
          <w:sz w:val="32"/>
          <w:szCs w:val="32"/>
          <w:highlight w:val="none"/>
          <w:u w:val="none"/>
          <w:lang w:val="en-US" w:eastAsia="zh-CN" w:bidi="ar-SA"/>
        </w:rPr>
        <w:t>过去一年，</w:t>
      </w:r>
      <w:r>
        <w:rPr>
          <w:rFonts w:hint="default" w:ascii="Times New Roman" w:hAnsi="Times New Roman" w:eastAsia="仿宋_GB2312" w:cs="Times New Roman"/>
          <w:color w:val="auto"/>
          <w:sz w:val="32"/>
          <w:szCs w:val="32"/>
          <w:highlight w:val="none"/>
          <w:lang w:val="en-US" w:eastAsia="zh-CN"/>
        </w:rPr>
        <w:t>面对严峻复杂的外部环境与内部治理压力，我们凝聚共识，握指成拳，</w:t>
      </w:r>
      <w:r>
        <w:rPr>
          <w:rFonts w:hint="eastAsia" w:eastAsia="仿宋_GB2312" w:cs="Times New Roman"/>
          <w:color w:val="auto"/>
          <w:sz w:val="32"/>
          <w:szCs w:val="32"/>
          <w:highlight w:val="none"/>
          <w:lang w:val="en-US" w:eastAsia="zh-CN"/>
        </w:rPr>
        <w:t>努力</w:t>
      </w:r>
      <w:r>
        <w:rPr>
          <w:rFonts w:hint="default" w:ascii="Times New Roman" w:hAnsi="Times New Roman" w:eastAsia="仿宋_GB2312" w:cs="Times New Roman"/>
          <w:b w:val="0"/>
          <w:bCs w:val="0"/>
          <w:color w:val="auto"/>
          <w:sz w:val="32"/>
          <w:szCs w:val="32"/>
          <w:highlight w:val="none"/>
          <w:lang w:val="en-US" w:eastAsia="zh-CN"/>
        </w:rPr>
        <w:t>推动机制更加健全、基础更加坚实、队伍更加精干。这些成绩的</w:t>
      </w:r>
      <w:r>
        <w:rPr>
          <w:rFonts w:hint="default" w:ascii="Times New Roman" w:hAnsi="Times New Roman" w:eastAsia="仿宋_GB2312" w:cs="Times New Roman"/>
          <w:b w:val="0"/>
          <w:bCs w:val="0"/>
          <w:color w:val="auto"/>
          <w:kern w:val="0"/>
          <w:sz w:val="32"/>
          <w:szCs w:val="32"/>
          <w:highlight w:val="none"/>
          <w:u w:val="none"/>
          <w:lang w:val="en-US" w:eastAsia="zh-CN" w:bidi="ar-SA"/>
        </w:rPr>
        <w:t>取得，得益于</w:t>
      </w:r>
      <w:r>
        <w:rPr>
          <w:rFonts w:hint="eastAsia" w:eastAsia="仿宋_GB2312" w:cs="Times New Roman"/>
          <w:b w:val="0"/>
          <w:bCs w:val="0"/>
          <w:color w:val="auto"/>
          <w:kern w:val="0"/>
          <w:sz w:val="32"/>
          <w:szCs w:val="32"/>
          <w:highlight w:val="none"/>
          <w:u w:val="none"/>
          <w:lang w:val="en-US" w:eastAsia="zh-CN" w:bidi="ar-SA"/>
        </w:rPr>
        <w:t>各级单位精心指导、各位股东和广大客户</w:t>
      </w:r>
      <w:r>
        <w:rPr>
          <w:rFonts w:hint="default" w:ascii="Times New Roman" w:hAnsi="Times New Roman" w:eastAsia="仿宋_GB2312" w:cs="Times New Roman"/>
          <w:b w:val="0"/>
          <w:bCs w:val="0"/>
          <w:color w:val="auto"/>
          <w:kern w:val="0"/>
          <w:sz w:val="32"/>
          <w:szCs w:val="32"/>
          <w:highlight w:val="none"/>
          <w:u w:val="none"/>
          <w:lang w:val="en-US" w:eastAsia="zh-CN" w:bidi="ar-SA"/>
        </w:rPr>
        <w:t>的</w:t>
      </w:r>
      <w:r>
        <w:rPr>
          <w:rFonts w:hint="eastAsia" w:eastAsia="仿宋_GB2312" w:cs="Times New Roman"/>
          <w:b w:val="0"/>
          <w:bCs w:val="0"/>
          <w:color w:val="auto"/>
          <w:kern w:val="0"/>
          <w:sz w:val="32"/>
          <w:szCs w:val="32"/>
          <w:highlight w:val="none"/>
          <w:u w:val="none"/>
          <w:lang w:val="en-US" w:eastAsia="zh-CN" w:bidi="ar-SA"/>
        </w:rPr>
        <w:t>关心和支持</w:t>
      </w:r>
      <w:r>
        <w:rPr>
          <w:rFonts w:hint="default" w:ascii="Times New Roman" w:hAnsi="Times New Roman" w:eastAsia="仿宋_GB2312" w:cs="Times New Roman"/>
          <w:b w:val="0"/>
          <w:bCs w:val="0"/>
          <w:color w:val="auto"/>
          <w:kern w:val="0"/>
          <w:sz w:val="32"/>
          <w:szCs w:val="32"/>
          <w:highlight w:val="none"/>
          <w:u w:val="none"/>
          <w:lang w:val="en-US" w:eastAsia="zh-CN" w:bidi="ar-SA"/>
        </w:rPr>
        <w:t>以及全行干部员工的艰苦奋斗。在此</w:t>
      </w:r>
      <w:r>
        <w:rPr>
          <w:rFonts w:hint="eastAsia" w:eastAsia="仿宋_GB2312" w:cs="Times New Roman"/>
          <w:b w:val="0"/>
          <w:bCs w:val="0"/>
          <w:color w:val="auto"/>
          <w:kern w:val="0"/>
          <w:sz w:val="32"/>
          <w:szCs w:val="32"/>
          <w:highlight w:val="none"/>
          <w:u w:val="none"/>
          <w:lang w:val="en-US" w:eastAsia="zh-CN" w:bidi="ar-SA"/>
        </w:rPr>
        <w:t>，</w:t>
      </w:r>
      <w:r>
        <w:rPr>
          <w:rFonts w:hint="default" w:ascii="Times New Roman" w:hAnsi="Times New Roman" w:eastAsia="仿宋_GB2312" w:cs="Times New Roman"/>
          <w:b w:val="0"/>
          <w:bCs w:val="0"/>
          <w:color w:val="auto"/>
          <w:kern w:val="0"/>
          <w:sz w:val="32"/>
          <w:szCs w:val="32"/>
          <w:highlight w:val="none"/>
          <w:u w:val="none"/>
          <w:lang w:val="en-US" w:eastAsia="zh-CN" w:bidi="ar-SA"/>
        </w:rPr>
        <w:t>我谨代表安顺农商银行党委、董事会向长期以来关心和支持</w:t>
      </w:r>
      <w:r>
        <w:rPr>
          <w:rFonts w:hint="eastAsia" w:eastAsia="仿宋_GB2312" w:cs="Times New Roman"/>
          <w:b w:val="0"/>
          <w:bCs w:val="0"/>
          <w:color w:val="auto"/>
          <w:kern w:val="0"/>
          <w:sz w:val="32"/>
          <w:szCs w:val="32"/>
          <w:highlight w:val="none"/>
          <w:u w:val="none"/>
          <w:lang w:val="en-US" w:eastAsia="zh-CN" w:bidi="ar-SA"/>
        </w:rPr>
        <w:t>我</w:t>
      </w:r>
      <w:r>
        <w:rPr>
          <w:rFonts w:hint="default" w:ascii="Times New Roman" w:hAnsi="Times New Roman" w:eastAsia="仿宋_GB2312" w:cs="Times New Roman"/>
          <w:b w:val="0"/>
          <w:bCs w:val="0"/>
          <w:color w:val="auto"/>
          <w:kern w:val="0"/>
          <w:sz w:val="32"/>
          <w:szCs w:val="32"/>
          <w:highlight w:val="none"/>
          <w:u w:val="none"/>
          <w:lang w:val="en-US" w:eastAsia="zh-CN" w:bidi="ar-SA"/>
        </w:rPr>
        <w:t>行转型发展的各级各部门</w:t>
      </w:r>
      <w:r>
        <w:rPr>
          <w:rFonts w:hint="eastAsia" w:eastAsia="仿宋_GB2312" w:cs="Times New Roman"/>
          <w:b w:val="0"/>
          <w:bCs w:val="0"/>
          <w:color w:val="auto"/>
          <w:kern w:val="0"/>
          <w:sz w:val="32"/>
          <w:szCs w:val="32"/>
          <w:highlight w:val="none"/>
          <w:u w:val="none"/>
          <w:lang w:val="en-US" w:eastAsia="zh-CN" w:bidi="ar-SA"/>
        </w:rPr>
        <w:t>、在座的股东及</w:t>
      </w:r>
      <w:r>
        <w:rPr>
          <w:rFonts w:hint="default" w:ascii="Times New Roman" w:hAnsi="Times New Roman" w:eastAsia="仿宋_GB2312" w:cs="Times New Roman"/>
          <w:b w:val="0"/>
          <w:bCs w:val="0"/>
          <w:color w:val="auto"/>
          <w:kern w:val="0"/>
          <w:sz w:val="32"/>
          <w:szCs w:val="32"/>
          <w:highlight w:val="none"/>
          <w:u w:val="none"/>
          <w:lang w:val="en-US" w:eastAsia="zh-CN" w:bidi="ar-SA"/>
        </w:rPr>
        <w:t>广大客户表示衷心感谢！</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二</w:t>
      </w:r>
      <w:r>
        <w:rPr>
          <w:rFonts w:hint="default" w:ascii="Times New Roman" w:hAnsi="Times New Roman" w:eastAsia="黑体" w:cs="Times New Roman"/>
          <w:color w:val="auto"/>
          <w:sz w:val="32"/>
          <w:szCs w:val="32"/>
          <w:highlight w:val="none"/>
          <w:lang w:val="en-US" w:eastAsia="zh-CN"/>
        </w:rPr>
        <w:t>、当前的形势分析</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一年来，我们认真组织党纪学习教育、合规文化教育，接受省联社党委第七巡察组巡察。以巡视、巡察整改</w:t>
      </w:r>
      <w:r>
        <w:rPr>
          <w:rFonts w:hint="eastAsia" w:eastAsia="仿宋_GB2312" w:cs="Times New Roman"/>
          <w:b w:val="0"/>
          <w:bCs w:val="0"/>
          <w:color w:val="auto"/>
          <w:sz w:val="32"/>
          <w:szCs w:val="32"/>
          <w:lang w:val="en-US" w:eastAsia="zh-CN"/>
        </w:rPr>
        <w:t>问题</w:t>
      </w:r>
      <w:r>
        <w:rPr>
          <w:rFonts w:hint="default" w:ascii="Times New Roman" w:hAnsi="Times New Roman" w:eastAsia="仿宋_GB2312" w:cs="Times New Roman"/>
          <w:b w:val="0"/>
          <w:bCs w:val="0"/>
          <w:color w:val="auto"/>
          <w:sz w:val="32"/>
          <w:szCs w:val="32"/>
          <w:lang w:val="en-US" w:eastAsia="zh-CN"/>
        </w:rPr>
        <w:t>为契机，迎难而上，虽然</w:t>
      </w:r>
      <w:r>
        <w:rPr>
          <w:rFonts w:hint="default" w:ascii="Times New Roman" w:hAnsi="Times New Roman" w:eastAsia="仿宋_GB2312" w:cs="Times New Roman"/>
          <w:i w:val="0"/>
          <w:iCs w:val="0"/>
          <w:caps w:val="0"/>
          <w:color w:val="auto"/>
          <w:spacing w:val="0"/>
          <w:kern w:val="2"/>
          <w:sz w:val="32"/>
          <w:szCs w:val="32"/>
          <w:highlight w:val="none"/>
          <w:shd w:val="clear" w:fill="FFFFFF"/>
          <w:lang w:val="en-US" w:eastAsia="zh-CN" w:bidi="ar-SA"/>
        </w:rPr>
        <w:t>取得一些成绩。但也清醒看到，总体工作距离省联社安排部署、监督管理要求、自身发展需要仍有不小的差距。结合我行实际，亟需深入解决好</w:t>
      </w:r>
      <w:r>
        <w:rPr>
          <w:rFonts w:hint="eastAsia" w:eastAsia="仿宋_GB2312" w:cs="Times New Roman"/>
          <w:b/>
          <w:bCs/>
          <w:i w:val="0"/>
          <w:iCs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b/>
          <w:bCs/>
          <w:i w:val="0"/>
          <w:iCs w:val="0"/>
          <w:caps w:val="0"/>
          <w:color w:val="auto"/>
          <w:spacing w:val="0"/>
          <w:kern w:val="2"/>
          <w:sz w:val="32"/>
          <w:szCs w:val="32"/>
          <w:highlight w:val="none"/>
          <w:shd w:val="clear" w:fill="FFFFFF"/>
          <w:lang w:val="en-US" w:eastAsia="zh-CN" w:bidi="ar-SA"/>
        </w:rPr>
        <w:t>三个问题</w:t>
      </w:r>
      <w:r>
        <w:rPr>
          <w:rFonts w:hint="eastAsia" w:eastAsia="仿宋_GB2312" w:cs="Times New Roman"/>
          <w:b/>
          <w:bCs/>
          <w:i w:val="0"/>
          <w:iCs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一是聚焦治理能力重要性，深入解决战略部署落实问题。</w:t>
      </w:r>
      <w:r>
        <w:rPr>
          <w:rFonts w:hint="default" w:ascii="Times New Roman" w:hAnsi="Times New Roman" w:eastAsia="仿宋_GB2312" w:cs="Times New Roman"/>
          <w:b w:val="0"/>
          <w:bCs w:val="0"/>
          <w:color w:val="auto"/>
          <w:sz w:val="32"/>
          <w:szCs w:val="32"/>
          <w:lang w:val="en-US" w:eastAsia="zh-CN"/>
        </w:rPr>
        <w:t>实现既定目标，一分靠部署，九分靠落实，必须进一步</w:t>
      </w:r>
      <w:r>
        <w:rPr>
          <w:rFonts w:hint="eastAsia" w:eastAsia="仿宋_GB2312" w:cs="Times New Roman"/>
          <w:b w:val="0"/>
          <w:bCs w:val="0"/>
          <w:color w:val="auto"/>
          <w:sz w:val="32"/>
          <w:szCs w:val="32"/>
          <w:lang w:val="en-US" w:eastAsia="zh-CN"/>
        </w:rPr>
        <w:t>提升</w:t>
      </w:r>
      <w:r>
        <w:rPr>
          <w:rFonts w:hint="default" w:ascii="Times New Roman" w:hAnsi="Times New Roman" w:eastAsia="仿宋_GB2312" w:cs="Times New Roman"/>
          <w:b w:val="0"/>
          <w:bCs w:val="0"/>
          <w:color w:val="auto"/>
          <w:sz w:val="32"/>
          <w:szCs w:val="32"/>
          <w:lang w:val="en-US" w:eastAsia="zh-CN"/>
        </w:rPr>
        <w:t>治理能力，全面提升各部门、各条线、各岗位的履职能力，推动转型发展由</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标</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向</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本</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的治理全面延伸。</w:t>
      </w:r>
      <w:r>
        <w:rPr>
          <w:rFonts w:hint="eastAsia" w:eastAsia="仿宋_GB2312" w:cs="Times New Roman"/>
          <w:b w:val="0"/>
          <w:bCs w:val="0"/>
          <w:color w:val="auto"/>
          <w:sz w:val="32"/>
          <w:szCs w:val="32"/>
          <w:lang w:val="en-US" w:eastAsia="zh-CN"/>
        </w:rPr>
        <w:t>二</w:t>
      </w:r>
      <w:r>
        <w:rPr>
          <w:rFonts w:hint="default" w:ascii="Times New Roman" w:hAnsi="Times New Roman" w:eastAsia="仿宋_GB2312" w:cs="Times New Roman"/>
          <w:b/>
          <w:bCs/>
          <w:color w:val="auto"/>
          <w:sz w:val="32"/>
          <w:szCs w:val="32"/>
          <w:lang w:val="en-US" w:eastAsia="zh-CN"/>
        </w:rPr>
        <w:t>是聚焦治理主体的必要性，深入解决团队</w:t>
      </w:r>
      <w:r>
        <w:rPr>
          <w:rFonts w:hint="eastAsia" w:eastAsia="仿宋_GB2312" w:cs="Times New Roman"/>
          <w:b/>
          <w:bCs/>
          <w:color w:val="auto"/>
          <w:sz w:val="32"/>
          <w:szCs w:val="32"/>
          <w:lang w:val="en-US" w:eastAsia="zh-CN"/>
        </w:rPr>
        <w:t>战斗</w:t>
      </w:r>
      <w:r>
        <w:rPr>
          <w:rFonts w:hint="default" w:ascii="Times New Roman" w:hAnsi="Times New Roman" w:eastAsia="仿宋_GB2312" w:cs="Times New Roman"/>
          <w:b/>
          <w:bCs/>
          <w:color w:val="auto"/>
          <w:sz w:val="32"/>
          <w:szCs w:val="32"/>
          <w:lang w:val="en-US" w:eastAsia="zh-CN"/>
        </w:rPr>
        <w:t>力问题。</w:t>
      </w:r>
      <w:r>
        <w:rPr>
          <w:rFonts w:hint="default" w:ascii="Times New Roman" w:hAnsi="Times New Roman" w:eastAsia="仿宋_GB2312" w:cs="Times New Roman"/>
          <w:b w:val="0"/>
          <w:bCs w:val="0"/>
          <w:color w:val="auto"/>
          <w:sz w:val="32"/>
          <w:szCs w:val="32"/>
          <w:lang w:val="en-US" w:eastAsia="zh-CN"/>
        </w:rPr>
        <w:t>思想松一寸</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行动散一尺</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作风建设问题仍然是转型发展面临的重大的问题，必须进一步强化全面从严</w:t>
      </w:r>
      <w:r>
        <w:rPr>
          <w:rFonts w:hint="eastAsia" w:eastAsia="仿宋_GB2312" w:cs="Times New Roman"/>
          <w:b w:val="0"/>
          <w:bCs w:val="0"/>
          <w:color w:val="auto"/>
          <w:sz w:val="32"/>
          <w:szCs w:val="32"/>
          <w:lang w:val="en-US" w:eastAsia="zh-CN"/>
        </w:rPr>
        <w:t>治党</w:t>
      </w:r>
      <w:r>
        <w:rPr>
          <w:rFonts w:hint="default" w:ascii="Times New Roman" w:hAnsi="Times New Roman" w:eastAsia="仿宋_GB2312" w:cs="Times New Roman"/>
          <w:b w:val="0"/>
          <w:bCs w:val="0"/>
          <w:color w:val="auto"/>
          <w:sz w:val="32"/>
          <w:szCs w:val="32"/>
          <w:lang w:val="en-US" w:eastAsia="zh-CN"/>
        </w:rPr>
        <w:t>，深入做到</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真管真严、敢管敢严、长管长严</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督促干部职工坚持底线思维</w:t>
      </w:r>
      <w:r>
        <w:rPr>
          <w:rFonts w:hint="eastAsia" w:eastAsia="仿宋_GB2312" w:cs="Times New Roman"/>
          <w:b w:val="0"/>
          <w:bCs w:val="0"/>
          <w:color w:val="auto"/>
          <w:sz w:val="32"/>
          <w:szCs w:val="32"/>
          <w:lang w:val="en-US" w:eastAsia="zh-CN"/>
        </w:rPr>
        <w:t>、强化“三感”（即领导增强使命感、中层增强责任感、员工增强紧迫感）</w:t>
      </w: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努力</w:t>
      </w:r>
      <w:r>
        <w:rPr>
          <w:rFonts w:hint="default" w:ascii="Times New Roman" w:hAnsi="Times New Roman" w:eastAsia="仿宋_GB2312" w:cs="Times New Roman"/>
          <w:b w:val="0"/>
          <w:bCs w:val="0"/>
          <w:color w:val="auto"/>
          <w:sz w:val="32"/>
          <w:szCs w:val="32"/>
          <w:lang w:val="en-US" w:eastAsia="zh-CN"/>
        </w:rPr>
        <w:t>打造一支思想高度统一、熟悉</w:t>
      </w:r>
      <w:r>
        <w:rPr>
          <w:rFonts w:hint="eastAsia"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三农</w:t>
      </w:r>
      <w:r>
        <w:rPr>
          <w:rFonts w:hint="eastAsia" w:eastAsia="仿宋_GB2312" w:cs="Times New Roman"/>
          <w:b w:val="0"/>
          <w:bCs w:val="0"/>
          <w:color w:val="auto"/>
          <w:sz w:val="32"/>
          <w:szCs w:val="32"/>
          <w:lang w:val="en-US" w:eastAsia="zh-CN"/>
        </w:rPr>
        <w:t>、小微”</w:t>
      </w:r>
      <w:r>
        <w:rPr>
          <w:rFonts w:hint="default" w:ascii="Times New Roman" w:hAnsi="Times New Roman" w:eastAsia="仿宋_GB2312" w:cs="Times New Roman"/>
          <w:b w:val="0"/>
          <w:bCs w:val="0"/>
          <w:color w:val="auto"/>
          <w:sz w:val="32"/>
          <w:szCs w:val="32"/>
          <w:lang w:val="en-US" w:eastAsia="zh-CN"/>
        </w:rPr>
        <w:t>、富有情怀、吃苦耐劳、踏实肯干的高素质农商队伍。</w:t>
      </w:r>
      <w:r>
        <w:rPr>
          <w:rFonts w:hint="eastAsia" w:eastAsia="仿宋_GB2312" w:cs="Times New Roman"/>
          <w:b/>
          <w:bCs/>
          <w:color w:val="auto"/>
          <w:sz w:val="32"/>
          <w:szCs w:val="32"/>
          <w:lang w:val="en-US" w:eastAsia="zh-CN"/>
        </w:rPr>
        <w:t>三</w:t>
      </w:r>
      <w:r>
        <w:rPr>
          <w:rFonts w:hint="default" w:ascii="Times New Roman" w:hAnsi="Times New Roman" w:eastAsia="仿宋_GB2312" w:cs="Times New Roman"/>
          <w:b/>
          <w:bCs/>
          <w:color w:val="auto"/>
          <w:sz w:val="32"/>
          <w:szCs w:val="32"/>
          <w:lang w:val="en-US" w:eastAsia="zh-CN"/>
        </w:rPr>
        <w:t>是聚焦治理水平关键性，深入解决可持续发展的问题。</w:t>
      </w:r>
      <w:r>
        <w:rPr>
          <w:rFonts w:hint="default" w:ascii="Times New Roman" w:hAnsi="Times New Roman" w:eastAsia="仿宋_GB2312" w:cs="Times New Roman"/>
          <w:b w:val="0"/>
          <w:bCs w:val="0"/>
          <w:color w:val="auto"/>
          <w:sz w:val="32"/>
          <w:szCs w:val="32"/>
          <w:lang w:val="en-US" w:eastAsia="zh-CN"/>
        </w:rPr>
        <w:t>强化监督体系建设，将合规文化全面覆盖经营管理、业务活动，形成权责清晰、运转顺畅、有效制衡的内部控制机制，</w:t>
      </w:r>
      <w:r>
        <w:rPr>
          <w:rFonts w:hint="eastAsia" w:eastAsia="仿宋_GB2312" w:cs="Times New Roman"/>
          <w:b w:val="0"/>
          <w:bCs w:val="0"/>
          <w:color w:val="auto"/>
          <w:sz w:val="32"/>
          <w:szCs w:val="32"/>
          <w:lang w:val="en-US" w:eastAsia="zh-CN"/>
        </w:rPr>
        <w:t>以“合规文化”的建设促使“信贷文化”的形成，树牢正确的价值观、经营观和风险观。</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left"/>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三、2025年董事会工作计划</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both"/>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lang w:eastAsia="zh-CN"/>
        </w:rPr>
        <w:t>安顺</w:t>
      </w:r>
      <w:r>
        <w:rPr>
          <w:rFonts w:hint="default" w:ascii="Times New Roman" w:hAnsi="Times New Roman" w:eastAsia="仿宋_GB2312" w:cs="Times New Roman"/>
          <w:sz w:val="32"/>
          <w:szCs w:val="32"/>
        </w:rPr>
        <w:t>农商银行将</w:t>
      </w:r>
      <w:r>
        <w:rPr>
          <w:rFonts w:hint="eastAsia" w:eastAsia="仿宋_GB2312" w:cs="Times New Roman"/>
          <w:sz w:val="32"/>
          <w:szCs w:val="32"/>
          <w:lang w:val="en-US" w:eastAsia="zh-CN"/>
        </w:rPr>
        <w:t>深入</w:t>
      </w:r>
      <w:r>
        <w:rPr>
          <w:rFonts w:hint="default" w:ascii="Times New Roman" w:hAnsi="Times New Roman" w:eastAsia="仿宋_GB2312" w:cs="Times New Roman"/>
          <w:sz w:val="32"/>
          <w:szCs w:val="32"/>
          <w:lang w:eastAsia="zh-CN"/>
        </w:rPr>
        <w:t>贯彻落实党的二十大和二十届</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中全会会议精神，牢牢把握中央金融经济工作会议要求，</w:t>
      </w:r>
      <w:r>
        <w:rPr>
          <w:rFonts w:hint="eastAsia" w:eastAsia="仿宋_GB2312" w:cs="Times New Roman"/>
          <w:sz w:val="32"/>
          <w:szCs w:val="32"/>
          <w:lang w:val="en-US" w:eastAsia="zh-CN"/>
        </w:rPr>
        <w:t>围绕</w:t>
      </w:r>
      <w:r>
        <w:rPr>
          <w:rFonts w:hint="default" w:ascii="Times New Roman" w:hAnsi="Times New Roman" w:eastAsia="仿宋_GB2312" w:cs="Times New Roman"/>
          <w:b w:val="0"/>
          <w:bCs w:val="0"/>
          <w:color w:val="auto"/>
          <w:sz w:val="32"/>
          <w:szCs w:val="32"/>
          <w:highlight w:val="none"/>
          <w:lang w:val="en-US" w:eastAsia="zh-CN"/>
        </w:rPr>
        <w:t>省联社党委</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128</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工作思路，</w:t>
      </w:r>
      <w:r>
        <w:rPr>
          <w:rFonts w:hint="eastAsia" w:eastAsia="仿宋_GB2312" w:cs="Times New Roman"/>
          <w:b w:val="0"/>
          <w:bCs w:val="0"/>
          <w:color w:val="auto"/>
          <w:sz w:val="32"/>
          <w:szCs w:val="32"/>
          <w:highlight w:val="none"/>
          <w:lang w:val="en-US" w:eastAsia="zh-CN"/>
        </w:rPr>
        <w:t>按照</w:t>
      </w:r>
      <w:r>
        <w:rPr>
          <w:rFonts w:hint="default" w:ascii="Times New Roman" w:hAnsi="Times New Roman" w:eastAsia="仿宋_GB2312" w:cs="Times New Roman"/>
          <w:b w:val="0"/>
          <w:bCs w:val="0"/>
          <w:color w:val="auto"/>
          <w:sz w:val="32"/>
          <w:szCs w:val="32"/>
          <w:highlight w:val="none"/>
          <w:lang w:val="en-US" w:eastAsia="zh-CN"/>
        </w:rPr>
        <w:t>安顺审计中心</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一二三四</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工作要求，坚持</w:t>
      </w:r>
      <w:r>
        <w:rPr>
          <w:rFonts w:hint="eastAsia" w:eastAsia="仿宋_GB2312" w:cs="Times New Roman"/>
          <w:b w:val="0"/>
          <w:bCs w:val="0"/>
          <w:color w:val="auto"/>
          <w:sz w:val="32"/>
          <w:szCs w:val="32"/>
          <w:highlight w:val="none"/>
          <w:lang w:val="en-US" w:eastAsia="zh-CN"/>
        </w:rPr>
        <w:t>以“</w:t>
      </w:r>
      <w:r>
        <w:rPr>
          <w:rFonts w:hint="default" w:ascii="Times New Roman" w:hAnsi="Times New Roman" w:eastAsia="仿宋_GB2312" w:cs="Times New Roman"/>
          <w:b w:val="0"/>
          <w:bCs w:val="0"/>
          <w:color w:val="auto"/>
          <w:sz w:val="32"/>
          <w:szCs w:val="32"/>
          <w:highlight w:val="none"/>
          <w:lang w:val="en-US" w:eastAsia="zh-CN"/>
        </w:rPr>
        <w:t>强支行——向发展要效益</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工作</w:t>
      </w:r>
      <w:r>
        <w:rPr>
          <w:rFonts w:hint="eastAsia" w:eastAsia="仿宋_GB2312" w:cs="Times New Roman"/>
          <w:b w:val="0"/>
          <w:bCs w:val="0"/>
          <w:color w:val="auto"/>
          <w:sz w:val="32"/>
          <w:szCs w:val="32"/>
          <w:highlight w:val="none"/>
          <w:lang w:val="en-US" w:eastAsia="zh-CN"/>
        </w:rPr>
        <w:t>思路</w:t>
      </w:r>
      <w:r>
        <w:rPr>
          <w:rFonts w:hint="default" w:ascii="Times New Roman" w:hAnsi="Times New Roman" w:eastAsia="仿宋_GB2312" w:cs="Times New Roman"/>
          <w:b w:val="0"/>
          <w:bCs w:val="0"/>
          <w:color w:val="auto"/>
          <w:sz w:val="32"/>
          <w:szCs w:val="32"/>
          <w:highlight w:val="none"/>
          <w:lang w:val="en-US" w:eastAsia="zh-CN"/>
        </w:rPr>
        <w:t>，</w:t>
      </w:r>
      <w:r>
        <w:rPr>
          <w:rFonts w:hint="eastAsia" w:eastAsia="仿宋_GB2312" w:cs="Times New Roman"/>
          <w:b w:val="0"/>
          <w:bCs w:val="0"/>
          <w:color w:val="auto"/>
          <w:sz w:val="32"/>
          <w:szCs w:val="32"/>
          <w:highlight w:val="none"/>
          <w:lang w:val="en-US" w:eastAsia="zh-CN"/>
        </w:rPr>
        <w:t>主动融入安顺经济工作的“头号工程”，</w:t>
      </w:r>
      <w:r>
        <w:rPr>
          <w:rFonts w:hint="eastAsia" w:eastAsia="仿宋_GB2312" w:cs="Times New Roman"/>
          <w:i w:val="0"/>
          <w:iCs w:val="0"/>
          <w:caps w:val="0"/>
          <w:color w:val="auto"/>
          <w:spacing w:val="0"/>
          <w:sz w:val="32"/>
          <w:szCs w:val="32"/>
          <w:highlight w:val="none"/>
          <w:lang w:val="en-US" w:eastAsia="zh-CN"/>
        </w:rPr>
        <w:t>锚定</w:t>
      </w:r>
      <w:r>
        <w:rPr>
          <w:rFonts w:hint="default" w:ascii="Times New Roman" w:hAnsi="Times New Roman" w:eastAsia="仿宋_GB2312" w:cs="Times New Roman"/>
          <w:i w:val="0"/>
          <w:iCs w:val="0"/>
          <w:caps w:val="0"/>
          <w:color w:val="auto"/>
          <w:spacing w:val="0"/>
          <w:sz w:val="32"/>
          <w:szCs w:val="32"/>
          <w:highlight w:val="none"/>
          <w:lang w:val="en-US" w:eastAsia="zh-CN"/>
        </w:rPr>
        <w:t>贵州农信2025年度经营计划，</w:t>
      </w:r>
      <w:r>
        <w:rPr>
          <w:rFonts w:hint="default" w:ascii="Times New Roman" w:hAnsi="Times New Roman" w:eastAsia="仿宋_GB2312" w:cs="Times New Roman"/>
          <w:i w:val="0"/>
          <w:iCs w:val="0"/>
          <w:caps w:val="0"/>
          <w:color w:val="auto"/>
          <w:spacing w:val="0"/>
          <w:sz w:val="32"/>
          <w:szCs w:val="32"/>
          <w:highlight w:val="none"/>
        </w:rPr>
        <w:t>努力</w:t>
      </w:r>
      <w:r>
        <w:rPr>
          <w:rFonts w:hint="default" w:ascii="Times New Roman" w:hAnsi="Times New Roman" w:eastAsia="仿宋_GB2312" w:cs="Times New Roman"/>
          <w:i w:val="0"/>
          <w:iCs w:val="0"/>
          <w:caps w:val="0"/>
          <w:color w:val="auto"/>
          <w:spacing w:val="0"/>
          <w:sz w:val="32"/>
          <w:szCs w:val="32"/>
          <w:highlight w:val="none"/>
          <w:lang w:val="en-US" w:eastAsia="zh-CN"/>
        </w:rPr>
        <w:t>把安顺农商银行</w:t>
      </w:r>
      <w:r>
        <w:rPr>
          <w:rFonts w:hint="default" w:ascii="Times New Roman" w:hAnsi="Times New Roman" w:eastAsia="仿宋_GB2312" w:cs="Times New Roman"/>
          <w:i w:val="0"/>
          <w:iCs w:val="0"/>
          <w:caps w:val="0"/>
          <w:color w:val="auto"/>
          <w:spacing w:val="0"/>
          <w:sz w:val="32"/>
          <w:szCs w:val="32"/>
          <w:highlight w:val="none"/>
        </w:rPr>
        <w:t>打造成为区域内特色鲜明、服务优质</w:t>
      </w:r>
      <w:r>
        <w:rPr>
          <w:rFonts w:hint="default" w:ascii="Times New Roman" w:hAnsi="Times New Roman" w:eastAsia="仿宋_GB2312" w:cs="Times New Roman"/>
          <w:i w:val="0"/>
          <w:iCs w:val="0"/>
          <w:caps w:val="0"/>
          <w:color w:val="auto"/>
          <w:spacing w:val="0"/>
          <w:sz w:val="32"/>
          <w:szCs w:val="32"/>
          <w:highlight w:val="none"/>
          <w:lang w:val="en-US" w:eastAsia="zh-CN"/>
        </w:rPr>
        <w:t>的</w:t>
      </w:r>
      <w:r>
        <w:rPr>
          <w:rFonts w:hint="default" w:ascii="Times New Roman" w:hAnsi="Times New Roman" w:eastAsia="仿宋_GB2312" w:cs="Times New Roman"/>
          <w:i w:val="0"/>
          <w:iCs w:val="0"/>
          <w:caps w:val="0"/>
          <w:color w:val="auto"/>
          <w:spacing w:val="0"/>
          <w:sz w:val="32"/>
          <w:szCs w:val="32"/>
          <w:highlight w:val="none"/>
        </w:rPr>
        <w:t>金融机构。</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left"/>
        <w:textAlignment w:val="auto"/>
        <w:rPr>
          <w:rFonts w:hint="default" w:ascii="Times New Roman" w:hAnsi="Times New Roman" w:eastAsia="仿宋_GB2312" w:cs="Times New Roman"/>
          <w:b w:val="0"/>
          <w:bCs w:val="0"/>
          <w:i w:val="0"/>
          <w:iCs w:val="0"/>
          <w:caps w:val="0"/>
          <w:color w:val="auto"/>
          <w:spacing w:val="0"/>
          <w:sz w:val="32"/>
          <w:szCs w:val="32"/>
          <w:highlight w:val="none"/>
        </w:rPr>
      </w:pPr>
      <w:r>
        <w:rPr>
          <w:rFonts w:hint="eastAsia" w:eastAsia="仿宋_GB2312" w:cs="Times New Roman"/>
          <w:b/>
          <w:bCs/>
          <w:i w:val="0"/>
          <w:iCs w:val="0"/>
          <w:caps w:val="0"/>
          <w:color w:val="auto"/>
          <w:spacing w:val="0"/>
          <w:sz w:val="32"/>
          <w:szCs w:val="32"/>
          <w:highlight w:val="none"/>
          <w:lang w:val="en-US" w:eastAsia="zh-CN"/>
        </w:rPr>
        <w:t>2025年</w:t>
      </w:r>
      <w:r>
        <w:rPr>
          <w:rFonts w:hint="default" w:ascii="Times New Roman" w:hAnsi="Times New Roman" w:eastAsia="仿宋_GB2312" w:cs="Times New Roman"/>
          <w:b/>
          <w:bCs/>
          <w:i w:val="0"/>
          <w:iCs w:val="0"/>
          <w:caps w:val="0"/>
          <w:color w:val="auto"/>
          <w:spacing w:val="0"/>
          <w:sz w:val="32"/>
          <w:szCs w:val="32"/>
          <w:highlight w:val="none"/>
        </w:rPr>
        <w:t>总体目标：在业务发展上，</w:t>
      </w:r>
      <w:r>
        <w:rPr>
          <w:rFonts w:hint="default" w:ascii="Times New Roman" w:hAnsi="Times New Roman" w:eastAsia="仿宋_GB2312" w:cs="Times New Roman"/>
          <w:b w:val="0"/>
          <w:bCs w:val="0"/>
          <w:i w:val="0"/>
          <w:iCs w:val="0"/>
          <w:caps w:val="0"/>
          <w:color w:val="auto"/>
          <w:spacing w:val="0"/>
          <w:sz w:val="32"/>
          <w:szCs w:val="32"/>
          <w:highlight w:val="none"/>
        </w:rPr>
        <w:t>各项存款增长6%，新增8.33亿元以上，余额达147.09亿元以上；各项贷款增长6%，新增6.97亿元以上，余额达123.14亿元以上；</w:t>
      </w:r>
      <w:r>
        <w:rPr>
          <w:rFonts w:hint="default" w:ascii="Times New Roman" w:hAnsi="Times New Roman" w:eastAsia="仿宋_GB2312" w:cs="Times New Roman"/>
          <w:b/>
          <w:bCs/>
          <w:i w:val="0"/>
          <w:iCs w:val="0"/>
          <w:caps w:val="0"/>
          <w:color w:val="auto"/>
          <w:spacing w:val="0"/>
          <w:sz w:val="32"/>
          <w:szCs w:val="32"/>
          <w:highlight w:val="none"/>
        </w:rPr>
        <w:t>在风险防控上，</w:t>
      </w:r>
      <w:r>
        <w:rPr>
          <w:rFonts w:hint="default" w:ascii="Times New Roman" w:hAnsi="Times New Roman" w:eastAsia="仿宋_GB2312" w:cs="Times New Roman"/>
          <w:b w:val="0"/>
          <w:bCs w:val="0"/>
          <w:i w:val="0"/>
          <w:iCs w:val="0"/>
          <w:caps w:val="0"/>
          <w:color w:val="auto"/>
          <w:spacing w:val="0"/>
          <w:sz w:val="32"/>
          <w:szCs w:val="32"/>
          <w:highlight w:val="none"/>
        </w:rPr>
        <w:t>不良贷款率控制在4.5%以内，表外贷款本金及利息现金清收率确保3%，力争达到5%；新增贷款逾期率控制在</w:t>
      </w:r>
      <w:r>
        <w:rPr>
          <w:rFonts w:hint="eastAsia" w:eastAsia="仿宋_GB2312" w:cs="Times New Roman"/>
          <w:b w:val="0"/>
          <w:bCs w:val="0"/>
          <w:i w:val="0"/>
          <w:iCs w:val="0"/>
          <w:caps w:val="0"/>
          <w:color w:val="auto"/>
          <w:spacing w:val="0"/>
          <w:sz w:val="32"/>
          <w:szCs w:val="32"/>
          <w:highlight w:val="none"/>
          <w:lang w:val="en-US" w:eastAsia="zh-CN"/>
        </w:rPr>
        <w:t>2</w:t>
      </w:r>
      <w:r>
        <w:rPr>
          <w:rFonts w:hint="default" w:ascii="Times New Roman" w:hAnsi="Times New Roman" w:eastAsia="仿宋_GB2312" w:cs="Times New Roman"/>
          <w:b w:val="0"/>
          <w:bCs w:val="0"/>
          <w:i w:val="0"/>
          <w:iCs w:val="0"/>
          <w:caps w:val="0"/>
          <w:color w:val="auto"/>
          <w:spacing w:val="0"/>
          <w:sz w:val="32"/>
          <w:szCs w:val="32"/>
          <w:highlight w:val="none"/>
        </w:rPr>
        <w:t>%以下。</w:t>
      </w:r>
      <w:r>
        <w:rPr>
          <w:rFonts w:hint="default" w:ascii="Times New Roman" w:hAnsi="Times New Roman" w:eastAsia="仿宋_GB2312" w:cs="Times New Roman"/>
          <w:b/>
          <w:bCs/>
          <w:i w:val="0"/>
          <w:iCs w:val="0"/>
          <w:caps w:val="0"/>
          <w:color w:val="auto"/>
          <w:spacing w:val="0"/>
          <w:sz w:val="32"/>
          <w:szCs w:val="32"/>
          <w:highlight w:val="none"/>
        </w:rPr>
        <w:t>在经营效益上，</w:t>
      </w:r>
      <w:r>
        <w:rPr>
          <w:rFonts w:hint="default" w:ascii="Times New Roman" w:hAnsi="Times New Roman" w:eastAsia="仿宋_GB2312" w:cs="Times New Roman"/>
          <w:b w:val="0"/>
          <w:bCs w:val="0"/>
          <w:i w:val="0"/>
          <w:iCs w:val="0"/>
          <w:caps w:val="0"/>
          <w:color w:val="auto"/>
          <w:spacing w:val="0"/>
          <w:sz w:val="32"/>
          <w:szCs w:val="32"/>
          <w:highlight w:val="none"/>
        </w:rPr>
        <w:t>成本收入比不超过47.68%，人均营业净收入达100万元以上，</w:t>
      </w:r>
      <w:r>
        <w:rPr>
          <w:rFonts w:hint="eastAsia" w:eastAsia="仿宋_GB2312" w:cs="Times New Roman"/>
          <w:b w:val="0"/>
          <w:bCs w:val="0"/>
          <w:i w:val="0"/>
          <w:iCs w:val="0"/>
          <w:caps w:val="0"/>
          <w:color w:val="auto"/>
          <w:spacing w:val="0"/>
          <w:sz w:val="32"/>
          <w:szCs w:val="32"/>
          <w:highlight w:val="none"/>
          <w:lang w:val="en-US" w:eastAsia="zh-CN"/>
        </w:rPr>
        <w:t>力争</w:t>
      </w:r>
      <w:r>
        <w:rPr>
          <w:rFonts w:hint="default" w:ascii="Times New Roman" w:hAnsi="Times New Roman" w:eastAsia="仿宋_GB2312" w:cs="Times New Roman"/>
          <w:b w:val="0"/>
          <w:bCs w:val="0"/>
          <w:i w:val="0"/>
          <w:iCs w:val="0"/>
          <w:caps w:val="0"/>
          <w:color w:val="auto"/>
          <w:spacing w:val="0"/>
          <w:sz w:val="32"/>
          <w:szCs w:val="32"/>
          <w:highlight w:val="none"/>
        </w:rPr>
        <w:t>2025年净利润增长8%以上，资本利润率稳中有升。同时，“两项评级”稳步提升，央行评级达6级以上，监管评级达4B级以上。</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left"/>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四、2025年董事会工作</w:t>
      </w:r>
      <w:r>
        <w:rPr>
          <w:rFonts w:hint="eastAsia" w:eastAsia="黑体" w:cs="Times New Roman"/>
          <w:color w:val="000000"/>
          <w:sz w:val="32"/>
          <w:szCs w:val="32"/>
          <w:lang w:val="en-US" w:eastAsia="zh-CN"/>
        </w:rPr>
        <w:t>目标</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eastAsia="楷体_GB2312" w:cs="Times New Roman"/>
          <w:b/>
          <w:bCs/>
          <w:sz w:val="32"/>
          <w:szCs w:val="32"/>
          <w:lang w:val="en-US" w:eastAsia="zh-CN"/>
        </w:rPr>
        <w:t>（一）</w:t>
      </w:r>
      <w:r>
        <w:rPr>
          <w:rFonts w:hint="default" w:ascii="Times New Roman" w:hAnsi="Times New Roman" w:eastAsia="楷体_GB2312" w:cs="Times New Roman"/>
          <w:b/>
          <w:bCs/>
          <w:sz w:val="32"/>
          <w:szCs w:val="32"/>
          <w:lang w:val="en-US" w:eastAsia="zh-CN"/>
        </w:rPr>
        <w:t>强化党的领导，树牢</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政治导向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，在从严治党上持续深入。</w:t>
      </w:r>
      <w:r>
        <w:rPr>
          <w:rFonts w:hint="eastAsia" w:ascii="仿宋_GB2312" w:hAnsi="仿宋_GB2312" w:eastAsia="仿宋_GB2312" w:cs="仿宋_GB2312"/>
          <w:b/>
          <w:bCs/>
          <w:sz w:val="32"/>
          <w:szCs w:val="32"/>
          <w:lang w:val="en-US" w:eastAsia="zh-CN"/>
        </w:rPr>
        <w:t>一是坚持理论提升，解决“方向”的问题。</w:t>
      </w:r>
      <w:r>
        <w:rPr>
          <w:rFonts w:hint="eastAsia" w:ascii="仿宋_GB2312" w:hAnsi="仿宋_GB2312" w:eastAsia="仿宋_GB2312" w:cs="仿宋_GB2312"/>
          <w:sz w:val="32"/>
          <w:szCs w:val="32"/>
          <w:lang w:val="en-US" w:eastAsia="zh-CN"/>
        </w:rPr>
        <w:t>始终坚持以习近平新时代中国特色社会主义思想为指导，强化国有企业身份认同，全面发挥党在金融工作中把方向、谋大局、定政策、促改革的核心作用，做实“三重一大”决策，认真开展中央八项规定精神学习教育，</w:t>
      </w:r>
      <w:r>
        <w:rPr>
          <w:rFonts w:hint="eastAsia" w:ascii="仿宋_GB2312" w:hAnsi="仿宋_GB2312" w:eastAsia="仿宋_GB2312" w:cs="仿宋_GB2312"/>
          <w:i w:val="0"/>
          <w:iCs w:val="0"/>
          <w:caps w:val="0"/>
          <w:color w:val="auto"/>
          <w:spacing w:val="0"/>
          <w:sz w:val="32"/>
          <w:szCs w:val="32"/>
          <w:highlight w:val="none"/>
          <w:lang w:val="en-US" w:eastAsia="zh-CN"/>
        </w:rPr>
        <w:t>坚定“四个自信”</w:t>
      </w:r>
      <w:r>
        <w:rPr>
          <w:rFonts w:hint="eastAsia" w:ascii="仿宋_GB2312" w:hAnsi="仿宋_GB2312" w:eastAsia="仿宋_GB2312" w:cs="仿宋_GB2312"/>
          <w:sz w:val="32"/>
          <w:szCs w:val="32"/>
          <w:lang w:val="en-US" w:eastAsia="zh-CN"/>
        </w:rPr>
        <w:t>、做到“两个维护”。</w:t>
      </w:r>
      <w:r>
        <w:rPr>
          <w:rFonts w:hint="eastAsia" w:ascii="仿宋_GB2312" w:hAnsi="仿宋_GB2312" w:eastAsia="仿宋_GB2312" w:cs="仿宋_GB2312"/>
          <w:b/>
          <w:bCs/>
          <w:sz w:val="32"/>
          <w:szCs w:val="32"/>
          <w:lang w:val="en-US" w:eastAsia="zh-CN"/>
        </w:rPr>
        <w:t>二是坚持党业融合，解决“方法”的问题。</w:t>
      </w:r>
      <w:r>
        <w:rPr>
          <w:rFonts w:hint="eastAsia" w:ascii="仿宋_GB2312" w:hAnsi="仿宋_GB2312" w:eastAsia="仿宋_GB2312" w:cs="仿宋_GB2312"/>
          <w:b w:val="0"/>
          <w:bCs w:val="0"/>
          <w:sz w:val="32"/>
          <w:szCs w:val="32"/>
          <w:lang w:val="en-US" w:eastAsia="zh-CN"/>
        </w:rPr>
        <w:t>切实将“业务工作的难点就是党建工作的重点”结合起来，</w:t>
      </w:r>
      <w:r>
        <w:rPr>
          <w:rFonts w:hint="eastAsia" w:ascii="仿宋_GB2312" w:hAnsi="仿宋_GB2312" w:eastAsia="仿宋_GB2312" w:cs="仿宋_GB2312"/>
          <w:b w:val="0"/>
          <w:bCs w:val="0"/>
          <w:color w:val="auto"/>
          <w:sz w:val="32"/>
          <w:szCs w:val="32"/>
          <w:highlight w:val="none"/>
          <w:lang w:val="en-US" w:eastAsia="zh-CN"/>
        </w:rPr>
        <w:t>以</w:t>
      </w:r>
      <w:r>
        <w:rPr>
          <w:rFonts w:hint="eastAsia" w:ascii="仿宋_GB2312" w:hAnsi="仿宋_GB2312" w:eastAsia="仿宋_GB2312" w:cs="仿宋_GB2312"/>
          <w:b w:val="0"/>
          <w:bCs w:val="0"/>
          <w:sz w:val="32"/>
          <w:szCs w:val="32"/>
          <w:lang w:val="en-US" w:eastAsia="zh-CN"/>
        </w:rPr>
        <w:t>“三会一课”、主题党日活动为载体，</w:t>
      </w:r>
      <w:r>
        <w:rPr>
          <w:rFonts w:hint="eastAsia" w:ascii="仿宋_GB2312" w:hAnsi="仿宋_GB2312" w:eastAsia="仿宋_GB2312" w:cs="仿宋_GB2312"/>
          <w:b w:val="0"/>
          <w:bCs w:val="0"/>
          <w:color w:val="auto"/>
          <w:sz w:val="32"/>
          <w:szCs w:val="32"/>
          <w:highlight w:val="none"/>
          <w:lang w:val="en-US" w:eastAsia="zh-CN"/>
        </w:rPr>
        <w:t>加强与</w:t>
      </w:r>
      <w:r>
        <w:rPr>
          <w:rFonts w:hint="eastAsia" w:ascii="仿宋_GB2312" w:hAnsi="仿宋_GB2312" w:eastAsia="仿宋_GB2312" w:cs="仿宋_GB2312"/>
          <w:b w:val="0"/>
          <w:bCs w:val="0"/>
          <w:sz w:val="32"/>
          <w:szCs w:val="32"/>
          <w:lang w:val="en-US" w:eastAsia="zh-CN"/>
        </w:rPr>
        <w:t>地方党政、企事业单位、社会团体联建共建，</w:t>
      </w:r>
      <w:r>
        <w:rPr>
          <w:rFonts w:hint="eastAsia" w:ascii="仿宋_GB2312" w:hAnsi="仿宋_GB2312" w:eastAsia="仿宋_GB2312" w:cs="仿宋_GB2312"/>
          <w:b w:val="0"/>
          <w:bCs w:val="0"/>
          <w:color w:val="auto"/>
          <w:sz w:val="32"/>
          <w:szCs w:val="32"/>
          <w:highlight w:val="none"/>
          <w:lang w:val="en-US" w:eastAsia="zh-CN"/>
        </w:rPr>
        <w:t>发挥党建工作扎根基层、嵌入业务、凝心聚力的作用，</w:t>
      </w:r>
      <w:r>
        <w:rPr>
          <w:rFonts w:hint="eastAsia" w:ascii="仿宋_GB2312" w:hAnsi="仿宋_GB2312" w:eastAsia="仿宋_GB2312" w:cs="仿宋_GB2312"/>
          <w:sz w:val="32"/>
          <w:szCs w:val="32"/>
          <w:lang w:val="en-US" w:eastAsia="zh-CN"/>
        </w:rPr>
        <w:t>在“农信黔行”党建品牌总体框架下，创建符合我行特点的“农信黔行·美好安顺”党建子品牌。同时，认真谋划、努力建设“政治功能强、支部班子强、党员队伍强、作用发挥强”的四强党支部，切实发挥党支部战斗堡垒作用和党员先锋模范作用。</w:t>
      </w:r>
      <w:r>
        <w:rPr>
          <w:rFonts w:hint="eastAsia" w:ascii="仿宋_GB2312" w:hAnsi="仿宋_GB2312" w:eastAsia="仿宋_GB2312" w:cs="仿宋_GB2312"/>
          <w:b/>
          <w:bCs/>
          <w:sz w:val="32"/>
          <w:szCs w:val="32"/>
          <w:lang w:val="en-US" w:eastAsia="zh-CN"/>
        </w:rPr>
        <w:t>三是坚持政治监督，解决“作风”的问题。</w:t>
      </w:r>
      <w:r>
        <w:rPr>
          <w:rFonts w:hint="eastAsia" w:ascii="仿宋_GB2312" w:hAnsi="仿宋_GB2312" w:eastAsia="仿宋_GB2312" w:cs="仿宋_GB2312"/>
          <w:b w:val="0"/>
          <w:bCs w:val="0"/>
          <w:sz w:val="32"/>
          <w:szCs w:val="32"/>
          <w:lang w:val="en-US" w:eastAsia="zh-CN"/>
        </w:rPr>
        <w:t>认真贯彻中央八项规定及实施细则，</w:t>
      </w:r>
      <w:r>
        <w:rPr>
          <w:rFonts w:hint="eastAsia" w:ascii="仿宋_GB2312" w:hAnsi="仿宋_GB2312" w:eastAsia="仿宋_GB2312" w:cs="仿宋_GB2312"/>
          <w:b w:val="0"/>
          <w:bCs w:val="0"/>
          <w:color w:val="auto"/>
          <w:sz w:val="32"/>
          <w:szCs w:val="32"/>
          <w:highlight w:val="none"/>
          <w:lang w:val="en-US" w:eastAsia="zh-CN"/>
        </w:rPr>
        <w:t>持之以恒加强作风建设，强化监督执纪问责，驰而不息纠正“四风”，把“严”的主基调贯穿党风廉政建设和反腐败工作全过程。督促引导党员干部“知敬畏、存戒惧、守底线”，常态化开展警示教育，把屡查屡犯行为列入审计、检查重点范围，对屡教不改者从严、从重处理。</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bCs/>
          <w:sz w:val="32"/>
          <w:szCs w:val="32"/>
          <w:lang w:val="en-US" w:eastAsia="zh-CN"/>
        </w:rPr>
        <w:t>（二）聚焦主责主业，树牢</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客户导向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，夯实发展根基。</w:t>
      </w:r>
      <w:r>
        <w:rPr>
          <w:rFonts w:hint="default" w:ascii="Times New Roman" w:hAnsi="Times New Roman" w:eastAsia="仿宋_GB2312" w:cs="Times New Roman"/>
          <w:b/>
          <w:bCs/>
          <w:sz w:val="32"/>
          <w:szCs w:val="32"/>
          <w:lang w:eastAsia="zh-CN"/>
        </w:rPr>
        <w:t>一是</w:t>
      </w:r>
      <w:r>
        <w:rPr>
          <w:rFonts w:hint="default" w:ascii="Times New Roman" w:hAnsi="Times New Roman" w:eastAsia="仿宋_GB2312" w:cs="Times New Roman"/>
          <w:b/>
          <w:bCs/>
          <w:sz w:val="32"/>
          <w:szCs w:val="32"/>
          <w:lang w:val="en-US" w:eastAsia="zh-CN"/>
        </w:rPr>
        <w:t>全力做好稳存增存</w:t>
      </w:r>
      <w:r>
        <w:rPr>
          <w:rFonts w:hint="default" w:ascii="Times New Roman" w:hAnsi="Times New Roman" w:eastAsia="仿宋_GB2312" w:cs="Times New Roman"/>
          <w:b/>
          <w:bCs/>
          <w:sz w:val="32"/>
          <w:szCs w:val="32"/>
          <w:lang w:eastAsia="zh-CN"/>
        </w:rPr>
        <w:t>。</w:t>
      </w:r>
      <w:r>
        <w:rPr>
          <w:rFonts w:hint="eastAsia" w:eastAsia="仿宋_GB2312" w:cs="Times New Roman"/>
          <w:b w:val="0"/>
          <w:bCs w:val="0"/>
          <w:sz w:val="32"/>
          <w:szCs w:val="32"/>
          <w:lang w:val="en-US" w:eastAsia="zh-CN"/>
        </w:rPr>
        <w:t>按照</w:t>
      </w:r>
      <w:r>
        <w:rPr>
          <w:rFonts w:hint="default" w:ascii="Times New Roman" w:hAnsi="Times New Roman" w:eastAsia="仿宋_GB2312" w:cs="Times New Roman"/>
          <w:b w:val="0"/>
          <w:bCs w:val="0"/>
          <w:sz w:val="32"/>
          <w:szCs w:val="32"/>
          <w:lang w:eastAsia="zh-CN"/>
        </w:rPr>
        <w:t>省联社</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百千万</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金融服务活动要求，</w:t>
      </w:r>
      <w:r>
        <w:rPr>
          <w:rFonts w:hint="eastAsia" w:eastAsia="仿宋_GB2312" w:cs="Times New Roman"/>
          <w:b w:val="0"/>
          <w:bCs w:val="0"/>
          <w:sz w:val="32"/>
          <w:szCs w:val="32"/>
          <w:lang w:val="en-US" w:eastAsia="zh-CN"/>
        </w:rPr>
        <w:t>围绕</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一图两清单</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等四张清单，</w:t>
      </w:r>
      <w:r>
        <w:rPr>
          <w:rFonts w:hint="eastAsia" w:eastAsia="仿宋_GB2312" w:cs="Times New Roman"/>
          <w:b w:val="0"/>
          <w:bCs w:val="0"/>
          <w:sz w:val="32"/>
          <w:szCs w:val="32"/>
          <w:lang w:val="en-US" w:eastAsia="zh-CN"/>
        </w:rPr>
        <w:t>落实</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三级客户经理营销</w:t>
      </w:r>
      <w:r>
        <w:rPr>
          <w:rFonts w:hint="eastAsia"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体系，</w:t>
      </w:r>
      <w:r>
        <w:rPr>
          <w:rFonts w:hint="eastAsia" w:eastAsia="仿宋_GB2312" w:cs="Times New Roman"/>
          <w:b w:val="0"/>
          <w:bCs w:val="0"/>
          <w:sz w:val="32"/>
          <w:szCs w:val="32"/>
          <w:lang w:val="en-US" w:eastAsia="zh-CN"/>
        </w:rPr>
        <w:t>提升走访触达率及营销转化效率，</w:t>
      </w:r>
      <w:r>
        <w:rPr>
          <w:rFonts w:hint="default" w:ascii="Times New Roman" w:hAnsi="Times New Roman" w:eastAsia="仿宋_GB2312" w:cs="Times New Roman"/>
          <w:b w:val="0"/>
          <w:bCs w:val="0"/>
          <w:sz w:val="32"/>
          <w:szCs w:val="32"/>
          <w:lang w:val="en-US" w:eastAsia="zh-CN"/>
        </w:rPr>
        <w:t>争取集团性客户</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政策性银行资金</w:t>
      </w:r>
      <w:r>
        <w:rPr>
          <w:rFonts w:hint="eastAsia" w:eastAsia="仿宋_GB2312" w:cs="Times New Roman"/>
          <w:b w:val="0"/>
          <w:bCs w:val="0"/>
          <w:sz w:val="32"/>
          <w:szCs w:val="32"/>
          <w:lang w:val="en-US" w:eastAsia="zh-CN"/>
        </w:rPr>
        <w:t>往来合作</w:t>
      </w:r>
      <w:r>
        <w:rPr>
          <w:rFonts w:hint="default" w:ascii="Times New Roman" w:hAnsi="Times New Roman" w:eastAsia="仿宋_GB2312" w:cs="Times New Roman"/>
          <w:b w:val="0"/>
          <w:bCs w:val="0"/>
          <w:sz w:val="32"/>
          <w:szCs w:val="32"/>
          <w:lang w:val="en-US" w:eastAsia="zh-CN"/>
        </w:rPr>
        <w:t>，拓宽对公存款营销渠道</w:t>
      </w:r>
      <w:r>
        <w:rPr>
          <w:rFonts w:hint="eastAsia" w:eastAsia="仿宋_GB2312" w:cs="Times New Roman"/>
          <w:b w:val="0"/>
          <w:bCs w:val="0"/>
          <w:sz w:val="32"/>
          <w:szCs w:val="32"/>
          <w:lang w:val="en-US" w:eastAsia="zh-CN"/>
        </w:rPr>
        <w:t>。深化“</w:t>
      </w:r>
      <w:r>
        <w:rPr>
          <w:rFonts w:hint="default" w:ascii="Times New Roman" w:hAnsi="Times New Roman" w:eastAsia="仿宋_GB2312" w:cs="Times New Roman"/>
          <w:b w:val="0"/>
          <w:bCs w:val="0"/>
          <w:sz w:val="32"/>
          <w:szCs w:val="32"/>
          <w:lang w:val="en-US" w:eastAsia="zh-CN"/>
        </w:rPr>
        <w:t>社银一体化</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合作，</w:t>
      </w:r>
      <w:r>
        <w:rPr>
          <w:rFonts w:hint="eastAsia" w:eastAsia="仿宋_GB2312" w:cs="Times New Roman"/>
          <w:b w:val="0"/>
          <w:bCs w:val="0"/>
          <w:sz w:val="32"/>
          <w:szCs w:val="32"/>
          <w:lang w:val="en-US" w:eastAsia="zh-CN"/>
        </w:rPr>
        <w:t>推动</w:t>
      </w:r>
      <w:r>
        <w:rPr>
          <w:rFonts w:hint="default" w:ascii="Times New Roman" w:hAnsi="Times New Roman" w:eastAsia="仿宋_GB2312" w:cs="Times New Roman"/>
          <w:b w:val="0"/>
          <w:bCs w:val="0"/>
          <w:sz w:val="32"/>
          <w:szCs w:val="32"/>
          <w:lang w:val="en-US" w:eastAsia="zh-CN"/>
        </w:rPr>
        <w:t>黔农云码牌、社保卡覆盖率及使用率双提升</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bCs/>
          <w:sz w:val="32"/>
          <w:szCs w:val="32"/>
          <w:lang w:val="en-US" w:eastAsia="zh-CN"/>
        </w:rPr>
        <w:t>二是全力服务乡村振兴。</w:t>
      </w:r>
      <w:r>
        <w:rPr>
          <w:rFonts w:hint="default" w:ascii="Times New Roman" w:hAnsi="Times New Roman" w:eastAsia="仿宋_GB2312" w:cs="Times New Roman"/>
          <w:b w:val="0"/>
          <w:bCs w:val="0"/>
          <w:sz w:val="32"/>
          <w:szCs w:val="32"/>
          <w:lang w:val="en-US" w:eastAsia="zh-CN"/>
        </w:rPr>
        <w:t>以农村信用工程提档升级和整村授信为</w:t>
      </w:r>
      <w:r>
        <w:rPr>
          <w:rFonts w:hint="eastAsia" w:eastAsia="仿宋_GB2312" w:cs="Times New Roman"/>
          <w:b w:val="0"/>
          <w:bCs w:val="0"/>
          <w:sz w:val="32"/>
          <w:szCs w:val="32"/>
          <w:lang w:val="en-US" w:eastAsia="zh-CN"/>
        </w:rPr>
        <w:t>重点工作</w:t>
      </w:r>
      <w:r>
        <w:rPr>
          <w:rFonts w:hint="default" w:ascii="Times New Roman" w:hAnsi="Times New Roman" w:eastAsia="仿宋_GB2312" w:cs="Times New Roman"/>
          <w:b w:val="0"/>
          <w:bCs w:val="0"/>
          <w:sz w:val="32"/>
          <w:szCs w:val="32"/>
          <w:lang w:val="en-US" w:eastAsia="zh-CN"/>
        </w:rPr>
        <w:t>，加大涉农</w:t>
      </w:r>
      <w:r>
        <w:rPr>
          <w:rFonts w:hint="eastAsia" w:eastAsia="仿宋_GB2312" w:cs="Times New Roman"/>
          <w:b w:val="0"/>
          <w:bCs w:val="0"/>
          <w:sz w:val="32"/>
          <w:szCs w:val="32"/>
          <w:lang w:val="en-US" w:eastAsia="zh-CN"/>
        </w:rPr>
        <w:t>贷款</w:t>
      </w:r>
      <w:r>
        <w:rPr>
          <w:rFonts w:hint="default" w:ascii="Times New Roman" w:hAnsi="Times New Roman" w:eastAsia="仿宋_GB2312" w:cs="Times New Roman"/>
          <w:b w:val="0"/>
          <w:bCs w:val="0"/>
          <w:sz w:val="32"/>
          <w:szCs w:val="32"/>
          <w:lang w:val="en-US" w:eastAsia="zh-CN"/>
        </w:rPr>
        <w:t>投放力度，加快整村授信成果转化，促进农户贷款扩面增量，确保涉农贷款增速高于贷款平均增速。持续做好外出务工人员金融服务，</w:t>
      </w:r>
      <w:r>
        <w:rPr>
          <w:rFonts w:hint="eastAsia" w:eastAsia="仿宋_GB2312" w:cs="Times New Roman"/>
          <w:b w:val="0"/>
          <w:bCs w:val="0"/>
          <w:sz w:val="32"/>
          <w:szCs w:val="32"/>
          <w:lang w:val="en-US" w:eastAsia="zh-CN"/>
        </w:rPr>
        <w:t>立足当地经济发展特色，创新金融产品和服务模式，形成适配当地产业发展的特色系列贷款产品</w:t>
      </w:r>
      <w:r>
        <w:rPr>
          <w:rFonts w:hint="default" w:ascii="Times New Roman" w:hAnsi="Times New Roman" w:eastAsia="仿宋_GB2312" w:cs="Times New Roman"/>
          <w:b w:val="0"/>
          <w:bCs w:val="0"/>
          <w:sz w:val="32"/>
          <w:szCs w:val="32"/>
          <w:highlight w:val="none"/>
          <w:lang w:val="en-US" w:eastAsia="zh-CN"/>
        </w:rPr>
        <w:t>。2025年末，</w:t>
      </w:r>
      <w:r>
        <w:rPr>
          <w:rFonts w:hint="eastAsia" w:eastAsia="仿宋_GB2312" w:cs="Times New Roman"/>
          <w:b w:val="0"/>
          <w:bCs w:val="0"/>
          <w:sz w:val="32"/>
          <w:szCs w:val="32"/>
          <w:highlight w:val="none"/>
          <w:lang w:val="en-US" w:eastAsia="zh-CN"/>
        </w:rPr>
        <w:t>力争</w:t>
      </w:r>
      <w:r>
        <w:rPr>
          <w:rFonts w:hint="default" w:ascii="Times New Roman" w:hAnsi="Times New Roman" w:eastAsia="仿宋_GB2312" w:cs="Times New Roman"/>
          <w:b w:val="0"/>
          <w:bCs w:val="0"/>
          <w:sz w:val="32"/>
          <w:szCs w:val="32"/>
          <w:highlight w:val="none"/>
          <w:lang w:val="en-US" w:eastAsia="zh-CN"/>
        </w:rPr>
        <w:t>全行新增农户贷款确保在</w:t>
      </w:r>
      <w:r>
        <w:rPr>
          <w:rFonts w:hint="eastAsia" w:eastAsia="仿宋_GB2312" w:cs="Times New Roman"/>
          <w:b w:val="0"/>
          <w:bCs w:val="0"/>
          <w:sz w:val="32"/>
          <w:szCs w:val="32"/>
          <w:highlight w:val="none"/>
          <w:lang w:val="en-US" w:eastAsia="zh-CN"/>
        </w:rPr>
        <w:t>6</w:t>
      </w:r>
      <w:r>
        <w:rPr>
          <w:rFonts w:hint="default" w:ascii="Times New Roman" w:hAnsi="Times New Roman" w:eastAsia="仿宋_GB2312" w:cs="Times New Roman"/>
          <w:b w:val="0"/>
          <w:bCs w:val="0"/>
          <w:sz w:val="32"/>
          <w:szCs w:val="32"/>
          <w:highlight w:val="none"/>
          <w:lang w:val="en-US" w:eastAsia="zh-CN"/>
        </w:rPr>
        <w:t>000户以上，贷款面提升</w:t>
      </w:r>
      <w:r>
        <w:rPr>
          <w:rFonts w:hint="eastAsia" w:eastAsia="仿宋_GB2312" w:cs="Times New Roman"/>
          <w:b w:val="0"/>
          <w:bCs w:val="0"/>
          <w:sz w:val="32"/>
          <w:szCs w:val="32"/>
          <w:highlight w:val="none"/>
          <w:lang w:val="en-US" w:eastAsia="zh-CN"/>
        </w:rPr>
        <w:t>4</w:t>
      </w:r>
      <w:r>
        <w:rPr>
          <w:rFonts w:hint="default" w:ascii="Times New Roman" w:hAnsi="Times New Roman" w:eastAsia="仿宋_GB2312" w:cs="Times New Roman"/>
          <w:b w:val="0"/>
          <w:bCs w:val="0"/>
          <w:sz w:val="32"/>
          <w:szCs w:val="32"/>
          <w:highlight w:val="none"/>
          <w:lang w:val="en-US" w:eastAsia="zh-CN"/>
        </w:rPr>
        <w:t>个百分点以上。</w:t>
      </w:r>
      <w:r>
        <w:rPr>
          <w:rFonts w:hint="default" w:ascii="Times New Roman" w:hAnsi="Times New Roman" w:eastAsia="仿宋_GB2312" w:cs="Times New Roman"/>
          <w:b/>
          <w:bCs/>
          <w:sz w:val="32"/>
          <w:szCs w:val="32"/>
          <w:lang w:val="en-US" w:eastAsia="zh-CN"/>
        </w:rPr>
        <w:t>三是全力做实普惠金融。</w:t>
      </w:r>
      <w:r>
        <w:rPr>
          <w:rFonts w:hint="eastAsia" w:eastAsia="仿宋_GB2312" w:cs="Times New Roman"/>
          <w:b w:val="0"/>
          <w:bCs w:val="0"/>
          <w:sz w:val="32"/>
          <w:szCs w:val="32"/>
          <w:lang w:val="en-US" w:eastAsia="zh-CN"/>
        </w:rPr>
        <w:t>严格</w:t>
      </w:r>
      <w:r>
        <w:rPr>
          <w:rFonts w:hint="eastAsia" w:ascii="Times New Roman" w:hAnsi="Times New Roman" w:eastAsia="仿宋_GB2312" w:cs="Times New Roman"/>
          <w:b w:val="0"/>
          <w:bCs w:val="0"/>
          <w:sz w:val="32"/>
          <w:szCs w:val="32"/>
          <w:lang w:val="en-US" w:eastAsia="zh-CN"/>
        </w:rPr>
        <w:t>落实省联社、安顺审计中心工作要求，开展“夯基础、补短板”专项行动，将从“七个提升”（包括：存款活跃客户数提升、贷款活跃客户数提升、农民工贷款面提升、黔农云客户活跃度提升、社保卡覆盖面提升、收单商户质量提升、客户粘性提升）夯实我行基础业务工作。</w:t>
      </w:r>
      <w:r>
        <w:rPr>
          <w:rFonts w:hint="default" w:ascii="Times New Roman" w:hAnsi="Times New Roman" w:eastAsia="仿宋_GB2312" w:cs="Times New Roman"/>
          <w:b w:val="0"/>
          <w:bCs w:val="0"/>
          <w:sz w:val="32"/>
          <w:szCs w:val="32"/>
          <w:lang w:val="en-US" w:eastAsia="zh-CN"/>
        </w:rPr>
        <w:t>2025年末，</w:t>
      </w:r>
      <w:r>
        <w:rPr>
          <w:rFonts w:hint="eastAsia" w:eastAsia="仿宋_GB2312" w:cs="Times New Roman"/>
          <w:b w:val="0"/>
          <w:bCs w:val="0"/>
          <w:sz w:val="32"/>
          <w:szCs w:val="32"/>
          <w:lang w:val="en-US" w:eastAsia="zh-CN"/>
        </w:rPr>
        <w:t>力争</w:t>
      </w:r>
      <w:r>
        <w:rPr>
          <w:rFonts w:hint="eastAsia" w:ascii="Times New Roman" w:hAnsi="Times New Roman" w:eastAsia="仿宋_GB2312" w:cs="Times New Roman"/>
          <w:b w:val="0"/>
          <w:bCs w:val="0"/>
          <w:sz w:val="32"/>
          <w:szCs w:val="32"/>
          <w:lang w:val="en-US" w:eastAsia="zh-CN"/>
        </w:rPr>
        <w:t>全行</w:t>
      </w:r>
      <w:r>
        <w:rPr>
          <w:rFonts w:hint="default" w:ascii="Times New Roman" w:hAnsi="Times New Roman" w:eastAsia="仿宋_GB2312" w:cs="Times New Roman"/>
          <w:sz w:val="32"/>
          <w:szCs w:val="32"/>
          <w:lang w:val="en-US" w:eastAsia="zh-CN"/>
        </w:rPr>
        <w:t>个人存款活跃客户数较年初增长15000户</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对公存款活跃客户数较年初增长200户</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个人贷款活跃客户数较年初增长10000户</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线上替代率达70%</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b/>
          <w:bCs/>
          <w:color w:val="auto"/>
          <w:sz w:val="32"/>
          <w:szCs w:val="32"/>
          <w:highlight w:val="none"/>
          <w:lang w:val="en-US" w:eastAsia="zh-CN"/>
        </w:rPr>
        <w:t>四是全力做优金融服务。</w:t>
      </w:r>
      <w:r>
        <w:rPr>
          <w:rFonts w:hint="default" w:ascii="Times New Roman" w:hAnsi="Times New Roman" w:eastAsia="仿宋_GB2312" w:cs="Times New Roman"/>
          <w:b w:val="0"/>
          <w:bCs w:val="0"/>
          <w:color w:val="auto"/>
          <w:sz w:val="32"/>
          <w:szCs w:val="32"/>
          <w:highlight w:val="none"/>
          <w:lang w:val="en-US" w:eastAsia="zh-CN"/>
        </w:rPr>
        <w:t>打造</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小微半小时金融服务圈</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为小微企业深度赋能</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认真总结复盘租车、国贸商场的成效及做法，形成可复制推广的模式</w:t>
      </w:r>
      <w:r>
        <w:rPr>
          <w:rFonts w:hint="eastAsia" w:eastAsia="仿宋_GB2312" w:cs="Times New Roman"/>
          <w:b w:val="0"/>
          <w:bCs w:val="0"/>
          <w:color w:val="auto"/>
          <w:sz w:val="32"/>
          <w:szCs w:val="32"/>
          <w:highlight w:val="none"/>
          <w:lang w:val="en-US" w:eastAsia="zh-CN"/>
        </w:rPr>
        <w:t>。同时，制定《“黔农贵客”厅堂运营服务转型试点方案》，以“每月会员日”等活动为载体，</w:t>
      </w:r>
      <w:r>
        <w:rPr>
          <w:rFonts w:hint="default" w:ascii="Times New Roman" w:hAnsi="Times New Roman" w:eastAsia="仿宋_GB2312" w:cs="Times New Roman"/>
          <w:b w:val="0"/>
          <w:bCs w:val="0"/>
          <w:color w:val="auto"/>
          <w:sz w:val="32"/>
          <w:szCs w:val="32"/>
          <w:highlight w:val="none"/>
          <w:lang w:val="en-US" w:eastAsia="zh-CN"/>
        </w:rPr>
        <w:t>将金融服务与日常生活场景深度融合</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sz w:val="32"/>
          <w:szCs w:val="32"/>
          <w:lang w:val="en-US" w:eastAsia="zh-CN"/>
        </w:rPr>
        <w:t>提升我行</w:t>
      </w:r>
      <w:r>
        <w:rPr>
          <w:rFonts w:hint="eastAsia" w:eastAsia="仿宋_GB2312" w:cs="Times New Roman"/>
          <w:sz w:val="32"/>
          <w:szCs w:val="32"/>
          <w:lang w:val="en-US" w:eastAsia="zh-CN"/>
        </w:rPr>
        <w:t>“</w:t>
      </w:r>
      <w:r>
        <w:rPr>
          <w:rFonts w:hint="eastAsia" w:ascii="Times New Roman" w:hAnsi="Times New Roman" w:eastAsia="仿宋_GB2312" w:cs="Times New Roman"/>
          <w:b w:val="0"/>
          <w:bCs w:val="0"/>
          <w:sz w:val="32"/>
          <w:szCs w:val="32"/>
          <w:lang w:val="en-US" w:eastAsia="zh-CN"/>
        </w:rPr>
        <w:t>粘</w:t>
      </w:r>
      <w:r>
        <w:rPr>
          <w:rFonts w:hint="default" w:ascii="Times New Roman" w:hAnsi="Times New Roman" w:eastAsia="仿宋_GB2312" w:cs="Times New Roman"/>
          <w:sz w:val="32"/>
          <w:szCs w:val="32"/>
          <w:lang w:val="en-US" w:eastAsia="zh-CN"/>
        </w:rPr>
        <w:t>性客户</w:t>
      </w:r>
      <w:r>
        <w:rPr>
          <w:rFonts w:hint="eastAsia" w:eastAsia="仿宋_GB2312" w:cs="Times New Roman"/>
          <w:sz w:val="32"/>
          <w:szCs w:val="32"/>
          <w:lang w:val="en-US" w:eastAsia="zh-CN"/>
        </w:rPr>
        <w:t>”数</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b w:val="0"/>
          <w:bCs w:val="0"/>
          <w:i w:val="0"/>
          <w:iCs w:val="0"/>
          <w:caps w:val="0"/>
          <w:color w:val="auto"/>
          <w:spacing w:val="0"/>
          <w:sz w:val="32"/>
          <w:szCs w:val="32"/>
          <w:highlight w:val="none"/>
        </w:rPr>
      </w:pPr>
      <w:r>
        <w:rPr>
          <w:rFonts w:hint="default" w:ascii="Times New Roman" w:hAnsi="Times New Roman" w:eastAsia="楷体_GB2312" w:cs="Times New Roman"/>
          <w:b/>
          <w:bCs/>
          <w:sz w:val="32"/>
          <w:szCs w:val="32"/>
          <w:lang w:val="en-US" w:eastAsia="zh-CN"/>
        </w:rPr>
        <w:t>（三）严守风险底线，树牢</w:t>
      </w:r>
      <w:r>
        <w:rPr>
          <w:rFonts w:hint="eastAsia" w:eastAsia="楷体_GB2312" w:cs="Times New Roman"/>
          <w:b/>
          <w:bCs/>
          <w:sz w:val="32"/>
          <w:szCs w:val="32"/>
          <w:lang w:val="en-US" w:eastAsia="zh-CN"/>
        </w:rPr>
        <w:t>“质量</w:t>
      </w:r>
      <w:r>
        <w:rPr>
          <w:rFonts w:hint="default" w:ascii="Times New Roman" w:hAnsi="Times New Roman" w:eastAsia="楷体_GB2312" w:cs="Times New Roman"/>
          <w:b/>
          <w:bCs/>
          <w:sz w:val="32"/>
          <w:szCs w:val="32"/>
          <w:lang w:val="en-US" w:eastAsia="zh-CN"/>
        </w:rPr>
        <w:t>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提升发展</w:t>
      </w:r>
      <w:r>
        <w:rPr>
          <w:rFonts w:hint="eastAsia" w:eastAsia="楷体_GB2312" w:cs="Times New Roman"/>
          <w:b/>
          <w:bCs/>
          <w:sz w:val="32"/>
          <w:szCs w:val="32"/>
          <w:lang w:val="en-US" w:eastAsia="zh-CN"/>
        </w:rPr>
        <w:t>效能</w:t>
      </w:r>
      <w:r>
        <w:rPr>
          <w:rFonts w:hint="default" w:ascii="Times New Roman" w:hAnsi="Times New Roman" w:eastAsia="楷体_GB2312" w:cs="Times New Roman"/>
          <w:b/>
          <w:bCs/>
          <w:sz w:val="32"/>
          <w:szCs w:val="32"/>
          <w:lang w:val="en-US" w:eastAsia="zh-CN"/>
        </w:rPr>
        <w:t>。</w:t>
      </w:r>
      <w:r>
        <w:rPr>
          <w:rFonts w:hint="default" w:ascii="Times New Roman" w:hAnsi="Times New Roman" w:eastAsia="仿宋_GB2312" w:cs="Times New Roman"/>
          <w:b/>
          <w:bCs/>
          <w:i w:val="0"/>
          <w:iCs w:val="0"/>
          <w:caps w:val="0"/>
          <w:color w:val="auto"/>
          <w:spacing w:val="0"/>
          <w:sz w:val="32"/>
          <w:szCs w:val="32"/>
          <w:highlight w:val="none"/>
        </w:rPr>
        <w:t>一是</w:t>
      </w:r>
      <w:r>
        <w:rPr>
          <w:rFonts w:hint="default" w:ascii="Times New Roman" w:hAnsi="Times New Roman" w:eastAsia="仿宋_GB2312" w:cs="Times New Roman"/>
          <w:b/>
          <w:bCs/>
          <w:color w:val="auto"/>
          <w:sz w:val="32"/>
          <w:szCs w:val="32"/>
          <w:highlight w:val="none"/>
          <w:lang w:val="en-US" w:eastAsia="zh-CN"/>
        </w:rPr>
        <w:t>将合规文化建设作为</w:t>
      </w:r>
      <w:r>
        <w:rPr>
          <w:rFonts w:hint="eastAsia"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第一要务</w:t>
      </w:r>
      <w:r>
        <w:rPr>
          <w:rFonts w:hint="eastAsia"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rPr>
        <w:t>紧扣</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全员合规、主动合规</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的核心理念，着</w:t>
      </w:r>
      <w:r>
        <w:rPr>
          <w:rFonts w:hint="eastAsia" w:eastAsia="仿宋_GB2312" w:cs="Times New Roman"/>
          <w:b w:val="0"/>
          <w:bCs w:val="0"/>
          <w:i w:val="0"/>
          <w:iCs w:val="0"/>
          <w:caps w:val="0"/>
          <w:color w:val="auto"/>
          <w:spacing w:val="0"/>
          <w:sz w:val="32"/>
          <w:szCs w:val="32"/>
          <w:highlight w:val="none"/>
          <w:lang w:val="en-US" w:eastAsia="zh-CN"/>
        </w:rPr>
        <w:t>力</w:t>
      </w:r>
      <w:r>
        <w:rPr>
          <w:rFonts w:hint="default" w:ascii="Times New Roman" w:hAnsi="Times New Roman" w:eastAsia="仿宋_GB2312" w:cs="Times New Roman"/>
          <w:b w:val="0"/>
          <w:bCs w:val="0"/>
          <w:i w:val="0"/>
          <w:iCs w:val="0"/>
          <w:caps w:val="0"/>
          <w:color w:val="auto"/>
          <w:spacing w:val="0"/>
          <w:sz w:val="32"/>
          <w:szCs w:val="32"/>
          <w:highlight w:val="none"/>
        </w:rPr>
        <w:t>打造</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遵章守纪、令行禁止</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的合规行为文化，推动合规文化建设融入业务发展和经营管理全过程、各环节。</w:t>
      </w:r>
      <w:r>
        <w:rPr>
          <w:rFonts w:hint="eastAsia" w:eastAsia="仿宋_GB2312" w:cs="Times New Roman"/>
          <w:b w:val="0"/>
          <w:bCs w:val="0"/>
          <w:i w:val="0"/>
          <w:iCs w:val="0"/>
          <w:caps w:val="0"/>
          <w:color w:val="auto"/>
          <w:spacing w:val="0"/>
          <w:sz w:val="32"/>
          <w:szCs w:val="32"/>
          <w:highlight w:val="none"/>
          <w:lang w:val="en-US" w:eastAsia="zh-CN"/>
        </w:rPr>
        <w:t>探索贷后跟踪会及客户经理按月调度会机制，</w:t>
      </w:r>
      <w:r>
        <w:rPr>
          <w:rFonts w:hint="default" w:ascii="Times New Roman" w:hAnsi="Times New Roman" w:eastAsia="仿宋_GB2312" w:cs="Times New Roman"/>
          <w:b w:val="0"/>
          <w:bCs w:val="0"/>
          <w:i w:val="0"/>
          <w:iCs w:val="0"/>
          <w:caps w:val="0"/>
          <w:color w:val="auto"/>
          <w:spacing w:val="0"/>
          <w:sz w:val="32"/>
          <w:szCs w:val="32"/>
          <w:highlight w:val="none"/>
        </w:rPr>
        <w:t>持续推进</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两项评级</w:t>
      </w:r>
      <w:r>
        <w:rPr>
          <w:rFonts w:hint="eastAsia" w:eastAsia="仿宋_GB2312" w:cs="Times New Roman"/>
          <w:b w:val="0"/>
          <w:bCs w:val="0"/>
          <w:i w:val="0"/>
          <w:iCs w:val="0"/>
          <w:caps w:val="0"/>
          <w:color w:val="auto"/>
          <w:spacing w:val="0"/>
          <w:sz w:val="32"/>
          <w:szCs w:val="32"/>
          <w:highlight w:val="none"/>
          <w:lang w:eastAsia="zh-CN"/>
        </w:rPr>
        <w:t>”</w:t>
      </w:r>
      <w:r>
        <w:rPr>
          <w:rFonts w:hint="eastAsia" w:eastAsia="仿宋_GB2312" w:cs="Times New Roman"/>
          <w:b w:val="0"/>
          <w:bCs w:val="0"/>
          <w:i w:val="0"/>
          <w:iCs w:val="0"/>
          <w:caps w:val="0"/>
          <w:color w:val="auto"/>
          <w:spacing w:val="0"/>
          <w:sz w:val="32"/>
          <w:szCs w:val="32"/>
          <w:highlight w:val="none"/>
          <w:lang w:val="en-US" w:eastAsia="zh-CN"/>
        </w:rPr>
        <w:t>指标</w:t>
      </w:r>
      <w:r>
        <w:rPr>
          <w:rFonts w:hint="default" w:ascii="Times New Roman" w:hAnsi="Times New Roman" w:eastAsia="仿宋_GB2312" w:cs="Times New Roman"/>
          <w:b w:val="0"/>
          <w:bCs w:val="0"/>
          <w:i w:val="0"/>
          <w:iCs w:val="0"/>
          <w:caps w:val="0"/>
          <w:color w:val="auto"/>
          <w:spacing w:val="0"/>
          <w:sz w:val="32"/>
          <w:szCs w:val="32"/>
          <w:highlight w:val="none"/>
        </w:rPr>
        <w:t>提升，</w:t>
      </w:r>
      <w:r>
        <w:rPr>
          <w:rFonts w:hint="eastAsia" w:eastAsia="仿宋_GB2312" w:cs="Times New Roman"/>
          <w:b w:val="0"/>
          <w:bCs w:val="0"/>
          <w:i w:val="0"/>
          <w:iCs w:val="0"/>
          <w:caps w:val="0"/>
          <w:color w:val="auto"/>
          <w:spacing w:val="0"/>
          <w:sz w:val="32"/>
          <w:szCs w:val="32"/>
          <w:highlight w:val="none"/>
          <w:lang w:val="en-US" w:eastAsia="zh-CN"/>
        </w:rPr>
        <w:t>做实</w:t>
      </w:r>
      <w:r>
        <w:rPr>
          <w:rFonts w:hint="default" w:ascii="Times New Roman" w:hAnsi="Times New Roman" w:eastAsia="仿宋_GB2312" w:cs="Times New Roman"/>
          <w:b w:val="0"/>
          <w:bCs w:val="0"/>
          <w:i w:val="0"/>
          <w:iCs w:val="0"/>
          <w:caps w:val="0"/>
          <w:color w:val="auto"/>
          <w:spacing w:val="0"/>
          <w:sz w:val="32"/>
          <w:szCs w:val="32"/>
          <w:highlight w:val="none"/>
        </w:rPr>
        <w:t>基础</w:t>
      </w:r>
      <w:r>
        <w:rPr>
          <w:rFonts w:hint="eastAsia" w:eastAsia="仿宋_GB2312" w:cs="Times New Roman"/>
          <w:b w:val="0"/>
          <w:bCs w:val="0"/>
          <w:i w:val="0"/>
          <w:iCs w:val="0"/>
          <w:caps w:val="0"/>
          <w:color w:val="auto"/>
          <w:spacing w:val="0"/>
          <w:sz w:val="32"/>
          <w:szCs w:val="32"/>
          <w:highlight w:val="none"/>
          <w:lang w:val="en-US" w:eastAsia="zh-CN"/>
        </w:rPr>
        <w:t>工作</w:t>
      </w:r>
      <w:r>
        <w:rPr>
          <w:rFonts w:hint="default" w:ascii="Times New Roman" w:hAnsi="Times New Roman" w:eastAsia="仿宋_GB2312" w:cs="Times New Roman"/>
          <w:b/>
          <w:bCs/>
          <w:i w:val="0"/>
          <w:iCs w:val="0"/>
          <w:caps w:val="0"/>
          <w:color w:val="auto"/>
          <w:spacing w:val="0"/>
          <w:sz w:val="32"/>
          <w:szCs w:val="32"/>
          <w:highlight w:val="none"/>
          <w:lang w:val="en-US" w:eastAsia="zh-CN"/>
        </w:rPr>
        <w:t>。二是将信贷文化形成作为</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立行之本</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rPr>
        <w:t>。</w:t>
      </w:r>
      <w:r>
        <w:rPr>
          <w:rFonts w:hint="default" w:ascii="Times New Roman" w:hAnsi="Times New Roman" w:eastAsia="仿宋_GB2312" w:cs="Times New Roman"/>
          <w:b w:val="0"/>
          <w:bCs w:val="0"/>
          <w:i w:val="0"/>
          <w:iCs w:val="0"/>
          <w:caps w:val="0"/>
          <w:color w:val="auto"/>
          <w:spacing w:val="0"/>
          <w:sz w:val="32"/>
          <w:szCs w:val="32"/>
          <w:highlight w:val="none"/>
        </w:rPr>
        <w:t>加强信贷业务全流程管理，</w:t>
      </w:r>
      <w:r>
        <w:rPr>
          <w:rFonts w:hint="default" w:ascii="Times New Roman" w:hAnsi="Times New Roman" w:eastAsia="仿宋_GB2312" w:cs="Times New Roman"/>
          <w:color w:val="auto"/>
          <w:kern w:val="0"/>
          <w:sz w:val="32"/>
          <w:szCs w:val="32"/>
          <w:highlight w:val="none"/>
          <w:lang w:val="en-US" w:eastAsia="zh-CN" w:bidi="ar"/>
        </w:rPr>
        <w:t>将</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三查</w:t>
      </w:r>
      <w:r>
        <w:rPr>
          <w:rFonts w:hint="eastAsia" w:eastAsia="仿宋_GB2312" w:cs="Times New Roman"/>
          <w:b w:val="0"/>
          <w:bCs w:val="0"/>
          <w:i w:val="0"/>
          <w:iCs w:val="0"/>
          <w:caps w:val="0"/>
          <w:color w:val="auto"/>
          <w:spacing w:val="0"/>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制度作为资产质量管理核心</w:t>
      </w:r>
      <w:r>
        <w:rPr>
          <w:rFonts w:hint="eastAsia" w:eastAsia="仿宋_GB2312" w:cs="Times New Roman"/>
          <w:b w:val="0"/>
          <w:bCs w:val="0"/>
          <w:i w:val="0"/>
          <w:iCs w:val="0"/>
          <w:caps w:val="0"/>
          <w:color w:val="auto"/>
          <w:spacing w:val="0"/>
          <w:sz w:val="32"/>
          <w:szCs w:val="32"/>
          <w:highlight w:val="none"/>
          <w:lang w:val="en-US" w:eastAsia="zh-CN"/>
        </w:rPr>
        <w:t>；加强对产品、流程及制度培训；</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认真执行按月结息制度，</w:t>
      </w:r>
      <w:r>
        <w:rPr>
          <w:rFonts w:hint="default" w:ascii="Times New Roman" w:hAnsi="Times New Roman" w:eastAsia="仿宋_GB2312" w:cs="Times New Roman"/>
          <w:b w:val="0"/>
          <w:bCs w:val="0"/>
          <w:i w:val="0"/>
          <w:iCs w:val="0"/>
          <w:caps w:val="0"/>
          <w:color w:val="auto"/>
          <w:spacing w:val="0"/>
          <w:sz w:val="32"/>
          <w:szCs w:val="32"/>
          <w:highlight w:val="none"/>
        </w:rPr>
        <w:t>确保贷款放得出、收得回、有效益</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严控新增逾期贷款确保在</w:t>
      </w:r>
      <w:r>
        <w:rPr>
          <w:rFonts w:hint="eastAsia" w:ascii="Times New Roman" w:hAnsi="Times New Roman" w:eastAsia="仿宋_GB2312" w:cs="Times New Roman"/>
          <w:b w:val="0"/>
          <w:bCs w:val="0"/>
          <w:i w:val="0"/>
          <w:iCs w:val="0"/>
          <w:caps w:val="0"/>
          <w:color w:val="auto"/>
          <w:spacing w:val="0"/>
          <w:sz w:val="32"/>
          <w:szCs w:val="32"/>
          <w:highlight w:val="none"/>
          <w:lang w:val="en-US" w:eastAsia="zh-CN"/>
        </w:rPr>
        <w:t>2</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%以下</w:t>
      </w:r>
      <w:r>
        <w:rPr>
          <w:rFonts w:hint="default" w:ascii="Times New Roman" w:hAnsi="Times New Roman" w:eastAsia="仿宋_GB2312" w:cs="Times New Roman"/>
          <w:b w:val="0"/>
          <w:bCs w:val="0"/>
          <w:i w:val="0"/>
          <w:iCs w:val="0"/>
          <w:caps w:val="0"/>
          <w:color w:val="auto"/>
          <w:spacing w:val="0"/>
          <w:sz w:val="32"/>
          <w:szCs w:val="32"/>
          <w:highlight w:val="none"/>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三是将不良清收处置作为</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攻坚之要</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rPr>
        <w:t>定期开展风险排查，全面掌握真实风险状况，做到底数清、数据准、情况明。通过现金清收、司法诉讼、重组盘活等方式不断加大风险化解力度，在</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平衡好预算支撑的前提</w:t>
      </w:r>
      <w:r>
        <w:rPr>
          <w:rFonts w:hint="default" w:ascii="Times New Roman" w:hAnsi="Times New Roman" w:eastAsia="仿宋_GB2312" w:cs="Times New Roman"/>
          <w:b w:val="0"/>
          <w:bCs w:val="0"/>
          <w:i w:val="0"/>
          <w:iCs w:val="0"/>
          <w:caps w:val="0"/>
          <w:color w:val="auto"/>
          <w:spacing w:val="0"/>
          <w:sz w:val="32"/>
          <w:szCs w:val="32"/>
          <w:highlight w:val="none"/>
        </w:rPr>
        <w:t>下做到应核尽核</w:t>
      </w:r>
      <w:r>
        <w:rPr>
          <w:rFonts w:hint="eastAsia" w:eastAsia="仿宋_GB2312" w:cs="Times New Roman"/>
          <w:b w:val="0"/>
          <w:bCs w:val="0"/>
          <w:i w:val="0"/>
          <w:iCs w:val="0"/>
          <w:caps w:val="0"/>
          <w:color w:val="auto"/>
          <w:spacing w:val="0"/>
          <w:sz w:val="32"/>
          <w:szCs w:val="32"/>
          <w:highlight w:val="none"/>
          <w:lang w:eastAsia="zh-CN"/>
        </w:rPr>
        <w:t>，</w:t>
      </w:r>
      <w:r>
        <w:rPr>
          <w:rFonts w:hint="eastAsia" w:eastAsia="仿宋_GB2312" w:cs="Times New Roman"/>
          <w:b w:val="0"/>
          <w:bCs w:val="0"/>
          <w:i w:val="0"/>
          <w:iCs w:val="0"/>
          <w:caps w:val="0"/>
          <w:color w:val="auto"/>
          <w:spacing w:val="0"/>
          <w:sz w:val="32"/>
          <w:szCs w:val="32"/>
          <w:highlight w:val="none"/>
          <w:lang w:val="en-US" w:eastAsia="zh-CN"/>
        </w:rPr>
        <w:t>有序化解</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七个</w:t>
      </w:r>
      <w:r>
        <w:rPr>
          <w:rFonts w:hint="default" w:ascii="Times New Roman" w:hAnsi="Times New Roman" w:eastAsia="仿宋_GB2312" w:cs="Times New Roman"/>
          <w:b w:val="0"/>
          <w:bCs w:val="0"/>
          <w:i w:val="0"/>
          <w:iCs w:val="0"/>
          <w:caps w:val="0"/>
          <w:color w:val="auto"/>
          <w:spacing w:val="0"/>
          <w:sz w:val="32"/>
          <w:szCs w:val="32"/>
          <w:highlight w:val="none"/>
        </w:rPr>
        <w:t>了之</w:t>
      </w:r>
      <w:r>
        <w:rPr>
          <w:rFonts w:hint="eastAsia" w:eastAsia="仿宋_GB2312" w:cs="Times New Roman"/>
          <w:b w:val="0"/>
          <w:bCs w:val="0"/>
          <w:i w:val="0"/>
          <w:iCs w:val="0"/>
          <w:caps w:val="0"/>
          <w:color w:val="auto"/>
          <w:spacing w:val="0"/>
          <w:sz w:val="32"/>
          <w:szCs w:val="32"/>
          <w:highlight w:val="none"/>
          <w:lang w:eastAsia="zh-CN"/>
        </w:rPr>
        <w:t>”</w:t>
      </w:r>
      <w:r>
        <w:rPr>
          <w:rFonts w:hint="eastAsia" w:eastAsia="仿宋_GB2312" w:cs="Times New Roman"/>
          <w:b w:val="0"/>
          <w:bCs w:val="0"/>
          <w:i w:val="0"/>
          <w:iCs w:val="0"/>
          <w:caps w:val="0"/>
          <w:color w:val="auto"/>
          <w:spacing w:val="0"/>
          <w:sz w:val="32"/>
          <w:szCs w:val="32"/>
          <w:highlight w:val="none"/>
          <w:lang w:val="en-US" w:eastAsia="zh-CN"/>
        </w:rPr>
        <w:t>突出问题</w:t>
      </w:r>
      <w:r>
        <w:rPr>
          <w:rFonts w:hint="default" w:ascii="Times New Roman" w:hAnsi="Times New Roman" w:eastAsia="仿宋_GB2312" w:cs="Times New Roman"/>
          <w:b w:val="0"/>
          <w:bCs w:val="0"/>
          <w:i w:val="0"/>
          <w:iCs w:val="0"/>
          <w:caps w:val="0"/>
          <w:color w:val="auto"/>
          <w:spacing w:val="0"/>
          <w:sz w:val="32"/>
          <w:szCs w:val="32"/>
          <w:highlight w:val="none"/>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四</w:t>
      </w:r>
      <w:r>
        <w:rPr>
          <w:rFonts w:hint="default" w:ascii="Times New Roman" w:hAnsi="Times New Roman" w:eastAsia="仿宋_GB2312" w:cs="Times New Roman"/>
          <w:b/>
          <w:bCs/>
          <w:i w:val="0"/>
          <w:iCs w:val="0"/>
          <w:caps w:val="0"/>
          <w:color w:val="auto"/>
          <w:spacing w:val="0"/>
          <w:sz w:val="32"/>
          <w:szCs w:val="32"/>
          <w:highlight w:val="none"/>
        </w:rPr>
        <w:t>是</w:t>
      </w:r>
      <w:r>
        <w:rPr>
          <w:rFonts w:hint="default" w:ascii="Times New Roman" w:hAnsi="Times New Roman" w:eastAsia="仿宋_GB2312" w:cs="Times New Roman"/>
          <w:b/>
          <w:bCs/>
          <w:i w:val="0"/>
          <w:iCs w:val="0"/>
          <w:caps w:val="0"/>
          <w:color w:val="auto"/>
          <w:spacing w:val="0"/>
          <w:sz w:val="32"/>
          <w:szCs w:val="32"/>
          <w:highlight w:val="none"/>
          <w:lang w:val="en-US" w:eastAsia="zh-CN"/>
        </w:rPr>
        <w:t>将防范</w:t>
      </w:r>
      <w:r>
        <w:rPr>
          <w:rFonts w:hint="default" w:ascii="Times New Roman" w:hAnsi="Times New Roman" w:eastAsia="仿宋_GB2312" w:cs="Times New Roman"/>
          <w:b/>
          <w:bCs/>
          <w:i w:val="0"/>
          <w:iCs w:val="0"/>
          <w:caps w:val="0"/>
          <w:color w:val="auto"/>
          <w:spacing w:val="0"/>
          <w:sz w:val="32"/>
          <w:szCs w:val="32"/>
          <w:highlight w:val="none"/>
        </w:rPr>
        <w:t>重点领域风险</w:t>
      </w:r>
      <w:r>
        <w:rPr>
          <w:rFonts w:hint="default" w:ascii="Times New Roman" w:hAnsi="Times New Roman" w:eastAsia="仿宋_GB2312" w:cs="Times New Roman"/>
          <w:b/>
          <w:bCs/>
          <w:i w:val="0"/>
          <w:iCs w:val="0"/>
          <w:caps w:val="0"/>
          <w:color w:val="auto"/>
          <w:spacing w:val="0"/>
          <w:sz w:val="32"/>
          <w:szCs w:val="32"/>
          <w:highlight w:val="none"/>
          <w:lang w:val="en-US" w:eastAsia="zh-CN"/>
        </w:rPr>
        <w:t>作为</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发展保障</w:t>
      </w:r>
      <w:r>
        <w:rPr>
          <w:rFonts w:hint="eastAsia" w:eastAsia="仿宋_GB2312" w:cs="Times New Roman"/>
          <w:b/>
          <w:bCs/>
          <w:i w:val="0"/>
          <w:iCs w:val="0"/>
          <w:caps w:val="0"/>
          <w:color w:val="auto"/>
          <w:spacing w:val="0"/>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rPr>
        <w:t>。</w:t>
      </w:r>
      <w:r>
        <w:rPr>
          <w:rFonts w:hint="default" w:ascii="Times New Roman" w:hAnsi="Times New Roman" w:eastAsia="仿宋_GB2312" w:cs="Times New Roman"/>
          <w:b w:val="0"/>
          <w:bCs w:val="0"/>
          <w:i w:val="0"/>
          <w:iCs w:val="0"/>
          <w:caps w:val="0"/>
          <w:color w:val="auto"/>
          <w:spacing w:val="0"/>
          <w:sz w:val="32"/>
          <w:szCs w:val="32"/>
          <w:highlight w:val="none"/>
        </w:rPr>
        <w:t>持续落实好反诈、反洗钱、消费者权益保护、征信管理、支付结算等工作要求。认真开展流动性风险压力测试，防范外部事件引起的不良冲击，确保守住流动性风险底线。严格落实安全生产责任制，紧盯敏感节点、聚焦重点领域定期开展常规风险排查</w:t>
      </w:r>
      <w:r>
        <w:rPr>
          <w:rFonts w:hint="eastAsia" w:eastAsia="仿宋_GB2312" w:cs="Times New Roman"/>
          <w:b w:val="0"/>
          <w:bCs w:val="0"/>
          <w:i w:val="0"/>
          <w:iCs w:val="0"/>
          <w:caps w:val="0"/>
          <w:color w:val="auto"/>
          <w:spacing w:val="0"/>
          <w:sz w:val="32"/>
          <w:szCs w:val="32"/>
          <w:highlight w:val="none"/>
          <w:lang w:eastAsia="zh-CN"/>
        </w:rPr>
        <w:t>；</w:t>
      </w:r>
      <w:r>
        <w:rPr>
          <w:rFonts w:hint="default" w:ascii="Times New Roman" w:hAnsi="Times New Roman" w:eastAsia="仿宋_GB2312" w:cs="Times New Roman"/>
          <w:b w:val="0"/>
          <w:bCs w:val="0"/>
          <w:i w:val="0"/>
          <w:iCs w:val="0"/>
          <w:caps w:val="0"/>
          <w:color w:val="auto"/>
          <w:spacing w:val="0"/>
          <w:sz w:val="32"/>
          <w:szCs w:val="32"/>
          <w:highlight w:val="none"/>
        </w:rPr>
        <w:t>加强舆情监控，落实信息发布复核和不定期巡检机制，确保舆情风险及时发现、第一时间处置。</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楷体_GB2312" w:cs="Times New Roman"/>
          <w:b/>
          <w:bCs/>
          <w:sz w:val="32"/>
          <w:szCs w:val="32"/>
          <w:lang w:val="en-US" w:eastAsia="zh-CN"/>
        </w:rPr>
        <w:t>（四）强化全面预算，树牢</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效益导向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，提升发展质效。</w:t>
      </w:r>
      <w:r>
        <w:rPr>
          <w:rFonts w:hint="default" w:ascii="Times New Roman" w:hAnsi="Times New Roman" w:eastAsia="仿宋_GB2312" w:cs="Times New Roman"/>
          <w:b/>
          <w:bCs/>
          <w:color w:val="auto"/>
          <w:kern w:val="0"/>
          <w:sz w:val="32"/>
          <w:szCs w:val="32"/>
          <w:highlight w:val="none"/>
          <w:lang w:val="en-US" w:eastAsia="zh-CN" w:bidi="ar"/>
        </w:rPr>
        <w:t>一是深化全面预算的前瞻性。</w:t>
      </w:r>
      <w:r>
        <w:rPr>
          <w:rFonts w:hint="eastAsia" w:ascii="Times New Roman" w:hAnsi="Times New Roman" w:eastAsia="仿宋_GB2312" w:cs="Times New Roman"/>
          <w:color w:val="auto"/>
          <w:kern w:val="0"/>
          <w:sz w:val="32"/>
          <w:szCs w:val="32"/>
          <w:highlight w:val="none"/>
          <w:lang w:val="en-US" w:eastAsia="zh-CN" w:bidi="ar"/>
        </w:rPr>
        <w:t>发挥全面预算</w:t>
      </w:r>
      <w:r>
        <w:rPr>
          <w:rFonts w:hint="default" w:ascii="Times New Roman" w:hAnsi="Times New Roman" w:eastAsia="仿宋_GB2312" w:cs="Times New Roman"/>
          <w:color w:val="auto"/>
          <w:kern w:val="0"/>
          <w:sz w:val="32"/>
          <w:szCs w:val="32"/>
          <w:highlight w:val="none"/>
          <w:lang w:val="en-US" w:eastAsia="zh-CN" w:bidi="ar"/>
        </w:rPr>
        <w:t>对资产负债结构、</w:t>
      </w:r>
      <w:r>
        <w:rPr>
          <w:rFonts w:hint="eastAsia" w:eastAsia="仿宋_GB2312" w:cs="Times New Roman"/>
          <w:color w:val="auto"/>
          <w:kern w:val="0"/>
          <w:sz w:val="32"/>
          <w:szCs w:val="32"/>
          <w:highlight w:val="none"/>
          <w:lang w:val="en-US" w:eastAsia="zh-CN" w:bidi="ar"/>
        </w:rPr>
        <w:t>成本收入、经营效益</w:t>
      </w:r>
      <w:r>
        <w:rPr>
          <w:rFonts w:hint="default" w:ascii="Times New Roman" w:hAnsi="Times New Roman" w:eastAsia="仿宋_GB2312" w:cs="Times New Roman"/>
          <w:color w:val="auto"/>
          <w:kern w:val="0"/>
          <w:sz w:val="32"/>
          <w:szCs w:val="32"/>
          <w:highlight w:val="none"/>
          <w:lang w:val="en-US" w:eastAsia="zh-CN" w:bidi="ar"/>
        </w:rPr>
        <w:t>的</w:t>
      </w:r>
      <w:r>
        <w:rPr>
          <w:rFonts w:hint="eastAsia" w:eastAsia="仿宋_GB2312" w:cs="Times New Roman"/>
          <w:color w:val="auto"/>
          <w:kern w:val="0"/>
          <w:sz w:val="32"/>
          <w:szCs w:val="32"/>
          <w:highlight w:val="none"/>
          <w:lang w:val="en-US" w:eastAsia="zh-CN" w:bidi="ar"/>
        </w:rPr>
        <w:t>预测作用</w:t>
      </w:r>
      <w:r>
        <w:rPr>
          <w:rFonts w:hint="default" w:ascii="Times New Roman" w:hAnsi="Times New Roman" w:eastAsia="仿宋_GB2312" w:cs="Times New Roman"/>
          <w:color w:val="auto"/>
          <w:kern w:val="0"/>
          <w:sz w:val="32"/>
          <w:szCs w:val="32"/>
          <w:highlight w:val="none"/>
          <w:lang w:val="en-US" w:eastAsia="zh-CN" w:bidi="ar"/>
        </w:rPr>
        <w:t>，</w:t>
      </w:r>
      <w:r>
        <w:rPr>
          <w:rFonts w:hint="eastAsia" w:eastAsia="仿宋_GB2312" w:cs="Times New Roman"/>
          <w:color w:val="auto"/>
          <w:kern w:val="0"/>
          <w:sz w:val="32"/>
          <w:szCs w:val="32"/>
          <w:highlight w:val="none"/>
          <w:lang w:val="en-US" w:eastAsia="zh-CN" w:bidi="ar"/>
        </w:rPr>
        <w:t>结合发展实际，</w:t>
      </w:r>
      <w:r>
        <w:rPr>
          <w:rFonts w:hint="default" w:ascii="Times New Roman" w:hAnsi="Times New Roman" w:eastAsia="仿宋_GB2312" w:cs="Times New Roman"/>
          <w:color w:val="auto"/>
          <w:kern w:val="0"/>
          <w:sz w:val="32"/>
          <w:szCs w:val="32"/>
          <w:highlight w:val="none"/>
          <w:lang w:val="en-US" w:eastAsia="zh-CN" w:bidi="ar"/>
        </w:rPr>
        <w:t>定期开展</w:t>
      </w:r>
      <w:r>
        <w:rPr>
          <w:rFonts w:hint="eastAsia" w:eastAsia="仿宋_GB2312" w:cs="Times New Roman"/>
          <w:color w:val="auto"/>
          <w:kern w:val="0"/>
          <w:sz w:val="32"/>
          <w:szCs w:val="32"/>
          <w:highlight w:val="none"/>
          <w:lang w:val="en-US" w:eastAsia="zh-CN" w:bidi="ar"/>
        </w:rPr>
        <w:t>考核指标的</w:t>
      </w:r>
      <w:r>
        <w:rPr>
          <w:rFonts w:hint="default" w:ascii="Times New Roman" w:hAnsi="Times New Roman" w:eastAsia="仿宋_GB2312" w:cs="Times New Roman"/>
          <w:color w:val="auto"/>
          <w:kern w:val="0"/>
          <w:sz w:val="32"/>
          <w:szCs w:val="32"/>
          <w:highlight w:val="none"/>
          <w:lang w:val="en-US" w:eastAsia="zh-CN" w:bidi="ar"/>
        </w:rPr>
        <w:t>滚动调整</w:t>
      </w:r>
      <w:r>
        <w:rPr>
          <w:rFonts w:hint="eastAsia" w:eastAsia="仿宋_GB2312" w:cs="Times New Roman"/>
          <w:color w:val="auto"/>
          <w:kern w:val="0"/>
          <w:sz w:val="32"/>
          <w:szCs w:val="32"/>
          <w:highlight w:val="none"/>
          <w:lang w:val="en-US" w:eastAsia="zh-CN" w:bidi="ar"/>
        </w:rPr>
        <w:t>、动态修正</w:t>
      </w:r>
      <w:r>
        <w:rPr>
          <w:rFonts w:hint="default" w:ascii="Times New Roman" w:hAnsi="Times New Roman" w:eastAsia="仿宋_GB2312" w:cs="Times New Roman"/>
          <w:color w:val="auto"/>
          <w:kern w:val="0"/>
          <w:sz w:val="32"/>
          <w:szCs w:val="32"/>
          <w:highlight w:val="none"/>
          <w:lang w:val="en-US" w:eastAsia="zh-CN" w:bidi="ar"/>
        </w:rPr>
        <w:t>，</w:t>
      </w:r>
      <w:r>
        <w:rPr>
          <w:rFonts w:hint="eastAsia" w:eastAsia="仿宋_GB2312" w:cs="Times New Roman"/>
          <w:color w:val="auto"/>
          <w:kern w:val="0"/>
          <w:sz w:val="32"/>
          <w:szCs w:val="32"/>
          <w:highlight w:val="none"/>
          <w:lang w:val="en-US" w:eastAsia="zh-CN" w:bidi="ar"/>
        </w:rPr>
        <w:t>以</w:t>
      </w:r>
      <w:r>
        <w:rPr>
          <w:rFonts w:hint="default" w:ascii="Times New Roman" w:hAnsi="Times New Roman" w:eastAsia="仿宋_GB2312" w:cs="Times New Roman"/>
          <w:color w:val="auto"/>
          <w:kern w:val="0"/>
          <w:sz w:val="32"/>
          <w:szCs w:val="32"/>
          <w:highlight w:val="none"/>
          <w:lang w:val="en-US" w:eastAsia="zh-CN" w:bidi="ar"/>
        </w:rPr>
        <w:t>资金业务投融资</w:t>
      </w:r>
      <w:r>
        <w:rPr>
          <w:rFonts w:hint="eastAsia" w:eastAsia="仿宋_GB2312" w:cs="Times New Roman"/>
          <w:color w:val="auto"/>
          <w:kern w:val="0"/>
          <w:sz w:val="32"/>
          <w:szCs w:val="32"/>
          <w:highlight w:val="none"/>
          <w:lang w:val="en-US" w:eastAsia="zh-CN" w:bidi="ar"/>
        </w:rPr>
        <w:t>为补充</w:t>
      </w:r>
      <w:r>
        <w:rPr>
          <w:rFonts w:hint="default" w:ascii="Times New Roman" w:hAnsi="Times New Roman" w:eastAsia="仿宋_GB2312" w:cs="Times New Roman"/>
          <w:color w:val="auto"/>
          <w:kern w:val="0"/>
          <w:sz w:val="32"/>
          <w:szCs w:val="32"/>
          <w:highlight w:val="none"/>
          <w:lang w:val="en-US" w:eastAsia="zh-CN" w:bidi="ar"/>
        </w:rPr>
        <w:t>，</w:t>
      </w:r>
      <w:r>
        <w:rPr>
          <w:rFonts w:hint="eastAsia" w:eastAsia="仿宋_GB2312" w:cs="Times New Roman"/>
          <w:color w:val="auto"/>
          <w:kern w:val="0"/>
          <w:sz w:val="32"/>
          <w:szCs w:val="32"/>
          <w:highlight w:val="none"/>
          <w:lang w:val="en-US" w:eastAsia="zh-CN" w:bidi="ar"/>
        </w:rPr>
        <w:t>使全面预算始终契合高质量考核目标</w:t>
      </w:r>
      <w:r>
        <w:rPr>
          <w:rFonts w:hint="default" w:ascii="Times New Roman" w:hAnsi="Times New Roman" w:eastAsia="仿宋_GB2312" w:cs="Times New Roman"/>
          <w:color w:val="auto"/>
          <w:kern w:val="0"/>
          <w:sz w:val="32"/>
          <w:szCs w:val="32"/>
          <w:highlight w:val="none"/>
          <w:lang w:val="en-US" w:eastAsia="zh-CN" w:bidi="ar"/>
        </w:rPr>
        <w:t>。二</w:t>
      </w:r>
      <w:r>
        <w:rPr>
          <w:rFonts w:hint="default" w:ascii="Times New Roman" w:hAnsi="Times New Roman" w:eastAsia="仿宋_GB2312" w:cs="Times New Roman"/>
          <w:b/>
          <w:bCs/>
          <w:i w:val="0"/>
          <w:iCs w:val="0"/>
          <w:caps w:val="0"/>
          <w:color w:val="auto"/>
          <w:spacing w:val="0"/>
          <w:sz w:val="32"/>
          <w:szCs w:val="32"/>
          <w:highlight w:val="none"/>
          <w:lang w:val="en-US" w:eastAsia="zh-CN"/>
        </w:rPr>
        <w:t>是深化全面预算统筹规划系统性。</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巩固完善全面预算</w:t>
      </w:r>
      <w:r>
        <w:rPr>
          <w:rFonts w:hint="default" w:ascii="Times New Roman" w:hAnsi="Times New Roman" w:eastAsia="仿宋_GB2312" w:cs="Times New Roman"/>
          <w:b w:val="0"/>
          <w:bCs w:val="0"/>
          <w:color w:val="auto"/>
          <w:sz w:val="32"/>
          <w:szCs w:val="32"/>
          <w:highlight w:val="none"/>
          <w:lang w:val="en-US" w:eastAsia="zh-CN"/>
        </w:rPr>
        <w:t>管理</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基础工程</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全员工程</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建立高效的资源配置机制，将全面预算与战略规划紧密衔接，以财</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务承受能力作为业务、</w:t>
      </w:r>
      <w:r>
        <w:rPr>
          <w:rFonts w:hint="eastAsia" w:eastAsia="仿宋_GB2312" w:cs="Times New Roman"/>
          <w:b w:val="0"/>
          <w:bCs w:val="0"/>
          <w:i w:val="0"/>
          <w:iCs w:val="0"/>
          <w:caps w:val="0"/>
          <w:color w:val="auto"/>
          <w:spacing w:val="0"/>
          <w:sz w:val="32"/>
          <w:szCs w:val="32"/>
          <w:highlight w:val="none"/>
          <w:lang w:val="en-US" w:eastAsia="zh-CN"/>
        </w:rPr>
        <w:t>风险</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等预算的边界和红线，</w:t>
      </w:r>
      <w:r>
        <w:rPr>
          <w:rFonts w:hint="eastAsia" w:eastAsia="仿宋_GB2312" w:cs="Times New Roman"/>
          <w:b w:val="0"/>
          <w:bCs w:val="0"/>
          <w:i w:val="0"/>
          <w:iCs w:val="0"/>
          <w:caps w:val="0"/>
          <w:color w:val="auto"/>
          <w:spacing w:val="0"/>
          <w:sz w:val="32"/>
          <w:szCs w:val="32"/>
          <w:highlight w:val="none"/>
          <w:lang w:val="en-US" w:eastAsia="zh-CN"/>
        </w:rPr>
        <w:t>持续改善各项业务指标的边际效益</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bCs/>
          <w:i w:val="0"/>
          <w:iCs w:val="0"/>
          <w:caps w:val="0"/>
          <w:color w:val="auto"/>
          <w:spacing w:val="0"/>
          <w:sz w:val="32"/>
          <w:szCs w:val="32"/>
          <w:highlight w:val="none"/>
          <w:lang w:val="en-US" w:eastAsia="zh-CN"/>
        </w:rPr>
        <w:t>三是深化全面预算的功能性。</w:t>
      </w:r>
      <w:r>
        <w:rPr>
          <w:rFonts w:hint="default" w:ascii="Times New Roman" w:hAnsi="Times New Roman" w:eastAsia="仿宋_GB2312" w:cs="Times New Roman"/>
          <w:b w:val="0"/>
          <w:bCs w:val="0"/>
          <w:i w:val="0"/>
          <w:iCs w:val="0"/>
          <w:caps w:val="0"/>
          <w:color w:val="auto"/>
          <w:spacing w:val="0"/>
          <w:sz w:val="32"/>
          <w:szCs w:val="32"/>
          <w:highlight w:val="none"/>
          <w:lang w:val="en-US" w:eastAsia="zh-CN"/>
        </w:rPr>
        <w:t>坚持业务围绕效益走，在有效盘活闲置资产、闲置资金运用、强化非生息资产和低收益资金管理等工作上持续发力，严控各项费用性开支和非生产性支出，</w:t>
      </w:r>
      <w:r>
        <w:rPr>
          <w:rFonts w:hint="default" w:ascii="Times New Roman" w:hAnsi="Times New Roman" w:eastAsia="仿宋_GB2312" w:cs="Times New Roman"/>
          <w:color w:val="auto"/>
          <w:kern w:val="0"/>
          <w:sz w:val="32"/>
          <w:szCs w:val="32"/>
          <w:highlight w:val="none"/>
          <w:lang w:val="en-US" w:eastAsia="zh-CN" w:bidi="ar"/>
        </w:rPr>
        <w:t>完善</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资债管理、资源配置、内外部定价、流动性管理</w:t>
      </w:r>
      <w:r>
        <w:rPr>
          <w:rFonts w:hint="eastAsia" w:eastAsia="仿宋_GB2312" w:cs="Times New Roman"/>
          <w:color w:val="auto"/>
          <w:kern w:val="0"/>
          <w:sz w:val="32"/>
          <w:szCs w:val="32"/>
          <w:highlight w:val="none"/>
          <w:lang w:val="en-US" w:eastAsia="zh-CN" w:bidi="ar"/>
        </w:rPr>
        <w:t>”决策</w:t>
      </w:r>
      <w:r>
        <w:rPr>
          <w:rFonts w:hint="default" w:ascii="Times New Roman" w:hAnsi="Times New Roman" w:eastAsia="仿宋_GB2312" w:cs="Times New Roman"/>
          <w:color w:val="auto"/>
          <w:kern w:val="0"/>
          <w:sz w:val="32"/>
          <w:szCs w:val="32"/>
          <w:highlight w:val="none"/>
          <w:lang w:val="en-US" w:eastAsia="zh-CN" w:bidi="ar"/>
        </w:rPr>
        <w:t>支撑职能</w:t>
      </w:r>
      <w:r>
        <w:rPr>
          <w:rFonts w:hint="default"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bCs/>
          <w:color w:val="auto"/>
          <w:sz w:val="32"/>
          <w:szCs w:val="32"/>
          <w:highlight w:val="none"/>
          <w:lang w:val="en-US" w:eastAsia="zh-CN"/>
        </w:rPr>
        <w:t>四要深化全面预算的协同性。</w:t>
      </w:r>
      <w:r>
        <w:rPr>
          <w:rFonts w:hint="default" w:ascii="Times New Roman" w:hAnsi="Times New Roman" w:eastAsia="仿宋_GB2312" w:cs="Times New Roman"/>
          <w:color w:val="auto"/>
          <w:kern w:val="0"/>
          <w:sz w:val="32"/>
          <w:szCs w:val="32"/>
          <w:highlight w:val="none"/>
          <w:lang w:val="en-US" w:eastAsia="zh-CN" w:bidi="ar"/>
        </w:rPr>
        <w:t>充分发挥全面预算</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导航仪</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和</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后视镜</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作用，切实做到</w:t>
      </w:r>
      <w:r>
        <w:rPr>
          <w:rFonts w:hint="eastAsia" w:eastAsia="仿宋_GB2312" w:cs="Times New Roman"/>
          <w:color w:val="auto"/>
          <w:kern w:val="0"/>
          <w:sz w:val="32"/>
          <w:szCs w:val="32"/>
          <w:highlight w:val="none"/>
          <w:lang w:val="en-US" w:eastAsia="zh-CN" w:bidi="ar"/>
        </w:rPr>
        <w:t>四个相匹配，即：</w:t>
      </w:r>
      <w:r>
        <w:rPr>
          <w:rFonts w:hint="default" w:ascii="Times New Roman" w:hAnsi="Times New Roman" w:eastAsia="仿宋_GB2312" w:cs="Times New Roman"/>
          <w:color w:val="auto"/>
          <w:kern w:val="0"/>
          <w:sz w:val="32"/>
          <w:szCs w:val="32"/>
          <w:highlight w:val="none"/>
          <w:lang w:val="en-US" w:eastAsia="zh-CN" w:bidi="ar"/>
        </w:rPr>
        <w:t>资产与负债相匹配、资源与效益相匹配、定价与市场相匹配，风险与收益相匹配，以财务赋能</w:t>
      </w:r>
      <w:r>
        <w:rPr>
          <w:rFonts w:hint="eastAsia" w:eastAsia="仿宋_GB2312" w:cs="Times New Roman"/>
          <w:color w:val="auto"/>
          <w:kern w:val="0"/>
          <w:sz w:val="32"/>
          <w:szCs w:val="32"/>
          <w:highlight w:val="none"/>
          <w:lang w:val="en-US" w:eastAsia="zh-CN" w:bidi="ar"/>
        </w:rPr>
        <w:t>业务</w:t>
      </w:r>
      <w:r>
        <w:rPr>
          <w:rFonts w:hint="default" w:ascii="Times New Roman" w:hAnsi="Times New Roman" w:eastAsia="仿宋_GB2312" w:cs="Times New Roman"/>
          <w:color w:val="auto"/>
          <w:kern w:val="0"/>
          <w:sz w:val="32"/>
          <w:szCs w:val="32"/>
          <w:highlight w:val="none"/>
          <w:lang w:val="en-US" w:eastAsia="zh-CN" w:bidi="ar"/>
        </w:rPr>
        <w:t>。</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bCs/>
          <w:sz w:val="32"/>
          <w:szCs w:val="32"/>
          <w:lang w:val="en-US" w:eastAsia="zh-CN"/>
        </w:rPr>
        <w:t>（六）</w:t>
      </w:r>
      <w:r>
        <w:rPr>
          <w:rFonts w:hint="default" w:ascii="Times New Roman" w:hAnsi="Times New Roman" w:eastAsia="楷体_GB2312" w:cs="Times New Roman"/>
          <w:b/>
          <w:bCs/>
          <w:sz w:val="32"/>
          <w:szCs w:val="32"/>
          <w:highlight w:val="none"/>
          <w:lang w:val="en-US" w:eastAsia="zh-CN"/>
        </w:rPr>
        <w:t>增强内控建设，树</w:t>
      </w:r>
      <w:r>
        <w:rPr>
          <w:rFonts w:hint="default" w:ascii="Times New Roman" w:hAnsi="Times New Roman" w:eastAsia="楷体_GB2312" w:cs="Times New Roman"/>
          <w:b/>
          <w:bCs/>
          <w:sz w:val="32"/>
          <w:szCs w:val="32"/>
          <w:lang w:val="en-US" w:eastAsia="zh-CN"/>
        </w:rPr>
        <w:t>牢</w:t>
      </w:r>
      <w:r>
        <w:rPr>
          <w:rFonts w:hint="eastAsia" w:eastAsia="楷体_GB2312" w:cs="Times New Roman"/>
          <w:b/>
          <w:bCs/>
          <w:sz w:val="32"/>
          <w:szCs w:val="32"/>
          <w:highlight w:val="none"/>
          <w:lang w:val="en-US" w:eastAsia="zh-CN"/>
        </w:rPr>
        <w:t>“</w:t>
      </w:r>
      <w:r>
        <w:rPr>
          <w:rFonts w:hint="default" w:ascii="Times New Roman" w:hAnsi="Times New Roman" w:eastAsia="楷体_GB2312" w:cs="Times New Roman"/>
          <w:b/>
          <w:bCs/>
          <w:sz w:val="32"/>
          <w:szCs w:val="32"/>
          <w:highlight w:val="none"/>
          <w:lang w:val="en-US" w:eastAsia="zh-CN"/>
        </w:rPr>
        <w:t>问题导向</w:t>
      </w:r>
      <w:r>
        <w:rPr>
          <w:rFonts w:hint="eastAsia" w:eastAsia="楷体_GB2312" w:cs="Times New Roman"/>
          <w:b/>
          <w:bCs/>
          <w:sz w:val="32"/>
          <w:szCs w:val="32"/>
          <w:highlight w:val="none"/>
          <w:lang w:val="en-US" w:eastAsia="zh-CN"/>
        </w:rPr>
        <w:t>”</w:t>
      </w:r>
      <w:r>
        <w:rPr>
          <w:rFonts w:hint="default" w:ascii="Times New Roman" w:hAnsi="Times New Roman" w:eastAsia="楷体_GB2312" w:cs="Times New Roman"/>
          <w:b/>
          <w:bCs/>
          <w:sz w:val="32"/>
          <w:szCs w:val="32"/>
          <w:highlight w:val="none"/>
          <w:lang w:val="en-US" w:eastAsia="zh-CN"/>
        </w:rPr>
        <w:t>，提升整改质效。一</w:t>
      </w:r>
      <w:r>
        <w:rPr>
          <w:rFonts w:hint="default" w:ascii="Times New Roman" w:hAnsi="Times New Roman" w:eastAsia="仿宋_GB2312" w:cs="Times New Roman"/>
          <w:b/>
          <w:bCs/>
          <w:sz w:val="32"/>
          <w:szCs w:val="32"/>
          <w:lang w:val="en-US" w:eastAsia="zh-CN"/>
        </w:rPr>
        <w:t>是健全内部控制机制。</w:t>
      </w:r>
      <w:r>
        <w:rPr>
          <w:rFonts w:hint="eastAsia" w:eastAsia="仿宋_GB2312" w:cs="Times New Roman"/>
          <w:b w:val="0"/>
          <w:bCs w:val="0"/>
          <w:sz w:val="32"/>
          <w:szCs w:val="32"/>
          <w:lang w:val="en-US" w:eastAsia="zh-CN"/>
        </w:rPr>
        <w:t>强化内控制度执行，对上年度的内控评价结果及问题认真复盘、举一反三，制定整改措施并强化整改落地见效，扎实推动内控工作从“立规矩”向“见成效”转变</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二是强化员工行为管理。</w:t>
      </w:r>
      <w:r>
        <w:rPr>
          <w:rFonts w:hint="default" w:ascii="Times New Roman" w:hAnsi="Times New Roman" w:eastAsia="仿宋_GB2312" w:cs="Times New Roman"/>
          <w:b w:val="0"/>
          <w:bCs w:val="0"/>
          <w:sz w:val="32"/>
          <w:szCs w:val="32"/>
          <w:lang w:val="en-US" w:eastAsia="zh-CN"/>
        </w:rPr>
        <w:t>以</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内控合规部门主导实施、纪律部门跟踪问责、人资部门关爱纠偏全行监督</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三位一体的异常员工管理架构，逐步完善异常员工管理台账、教育、监督、帮扶、退出等机制，形成</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前期识别进入、中途关爱帮助纠偏、后期评价退出</w:t>
      </w:r>
      <w:r>
        <w:rPr>
          <w:rFonts w:hint="eastAsia" w:eastAsia="仿宋_GB2312" w:cs="Times New Roman"/>
          <w:b w:val="0"/>
          <w:bCs w:val="0"/>
          <w:sz w:val="32"/>
          <w:szCs w:val="32"/>
          <w:lang w:val="en-US" w:eastAsia="zh-CN"/>
        </w:rPr>
        <w:t>”的</w:t>
      </w:r>
      <w:r>
        <w:rPr>
          <w:rFonts w:hint="default" w:ascii="Times New Roman" w:hAnsi="Times New Roman" w:eastAsia="仿宋_GB2312" w:cs="Times New Roman"/>
          <w:b w:val="0"/>
          <w:bCs w:val="0"/>
          <w:sz w:val="32"/>
          <w:szCs w:val="32"/>
          <w:lang w:val="en-US" w:eastAsia="zh-CN"/>
        </w:rPr>
        <w:t>管理机制。</w:t>
      </w:r>
      <w:r>
        <w:rPr>
          <w:rFonts w:hint="default" w:ascii="Times New Roman" w:hAnsi="Times New Roman" w:eastAsia="仿宋_GB2312" w:cs="Times New Roman"/>
          <w:b/>
          <w:bCs/>
          <w:sz w:val="32"/>
          <w:szCs w:val="32"/>
          <w:lang w:val="en-US" w:eastAsia="zh-CN"/>
        </w:rPr>
        <w:t>三是持续</w:t>
      </w:r>
      <w:r>
        <w:rPr>
          <w:rFonts w:hint="eastAsia" w:eastAsia="仿宋_GB2312" w:cs="Times New Roman"/>
          <w:b/>
          <w:bCs/>
          <w:sz w:val="32"/>
          <w:szCs w:val="32"/>
          <w:lang w:val="en-US" w:eastAsia="zh-CN"/>
        </w:rPr>
        <w:t>优化</w:t>
      </w:r>
      <w:r>
        <w:rPr>
          <w:rFonts w:hint="default" w:ascii="Times New Roman" w:hAnsi="Times New Roman" w:eastAsia="仿宋_GB2312" w:cs="Times New Roman"/>
          <w:b/>
          <w:bCs/>
          <w:sz w:val="32"/>
          <w:szCs w:val="32"/>
          <w:lang w:val="en-US" w:eastAsia="zh-CN"/>
        </w:rPr>
        <w:t>案防体系。</w:t>
      </w:r>
      <w:r>
        <w:rPr>
          <w:rFonts w:hint="eastAsia" w:eastAsia="仿宋_GB2312" w:cs="Times New Roman"/>
          <w:b w:val="0"/>
          <w:bCs w:val="0"/>
          <w:sz w:val="32"/>
          <w:szCs w:val="32"/>
          <w:lang w:val="en-US" w:eastAsia="zh-CN"/>
        </w:rPr>
        <w:t>加强对关键岗位、重要业务的监督管理</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用</w:t>
      </w:r>
      <w:r>
        <w:rPr>
          <w:rFonts w:hint="default" w:ascii="Times New Roman" w:hAnsi="Times New Roman" w:eastAsia="仿宋_GB2312" w:cs="Times New Roman"/>
          <w:b w:val="0"/>
          <w:bCs w:val="0"/>
          <w:sz w:val="32"/>
          <w:szCs w:val="32"/>
          <w:lang w:val="en-US" w:eastAsia="zh-CN"/>
        </w:rPr>
        <w:t>好用活</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非现场+现场</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检查方式，充分发挥各道防线的风险防控作用，有计划、有措施地将案防排查融入日常，做在经常</w:t>
      </w:r>
      <w:r>
        <w:rPr>
          <w:rFonts w:hint="eastAsia" w:eastAsia="仿宋_GB2312" w:cs="Times New Roman"/>
          <w:b w:val="0"/>
          <w:bCs w:val="0"/>
          <w:sz w:val="32"/>
          <w:szCs w:val="32"/>
          <w:lang w:val="en-US" w:eastAsia="zh-CN"/>
        </w:rPr>
        <w:t>；认真开展干部职工“八小时以外”活动监督管理，</w:t>
      </w:r>
      <w:r>
        <w:rPr>
          <w:rFonts w:hint="default" w:ascii="Times New Roman" w:hAnsi="Times New Roman" w:eastAsia="仿宋_GB2312" w:cs="Times New Roman"/>
          <w:b w:val="0"/>
          <w:bCs w:val="0"/>
          <w:sz w:val="32"/>
          <w:szCs w:val="32"/>
          <w:lang w:val="en-US" w:eastAsia="zh-CN"/>
        </w:rPr>
        <w:t>规范和约束</w:t>
      </w:r>
      <w:r>
        <w:rPr>
          <w:rFonts w:hint="eastAsia" w:eastAsia="仿宋_GB2312" w:cs="Times New Roman"/>
          <w:b w:val="0"/>
          <w:bCs w:val="0"/>
          <w:sz w:val="32"/>
          <w:szCs w:val="32"/>
          <w:lang w:val="en-US" w:eastAsia="zh-CN"/>
        </w:rPr>
        <w:t>全行</w:t>
      </w:r>
      <w:r>
        <w:rPr>
          <w:rFonts w:hint="default" w:ascii="Times New Roman" w:hAnsi="Times New Roman" w:eastAsia="仿宋_GB2312" w:cs="Times New Roman"/>
          <w:b w:val="0"/>
          <w:bCs w:val="0"/>
          <w:sz w:val="32"/>
          <w:szCs w:val="32"/>
          <w:lang w:val="en-US" w:eastAsia="zh-CN"/>
        </w:rPr>
        <w:t>干部职工“八小时以外”的言行举止</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增强拒腐防变能力</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highlight w:val="none"/>
          <w:lang w:val="en-US" w:eastAsia="zh-CN"/>
        </w:rPr>
        <w:t>四</w:t>
      </w:r>
      <w:r>
        <w:rPr>
          <w:rFonts w:hint="default" w:ascii="Times New Roman" w:hAnsi="Times New Roman" w:eastAsia="仿宋_GB2312" w:cs="Times New Roman"/>
          <w:b/>
          <w:bCs/>
          <w:sz w:val="32"/>
          <w:szCs w:val="32"/>
          <w:lang w:val="en-US" w:eastAsia="zh-CN"/>
        </w:rPr>
        <w:t>是巡察引领合规发展。</w:t>
      </w:r>
      <w:r>
        <w:rPr>
          <w:rFonts w:hint="default" w:ascii="Times New Roman" w:hAnsi="Times New Roman" w:eastAsia="仿宋_GB2312" w:cs="Times New Roman"/>
          <w:b w:val="0"/>
          <w:bCs w:val="0"/>
          <w:sz w:val="32"/>
          <w:szCs w:val="32"/>
          <w:lang w:val="en-US" w:eastAsia="zh-CN"/>
        </w:rPr>
        <w:t>以巡察整改问题为契机，扎实做好巡视巡察</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后半篇文章</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，将巡察发现的问题与内控合规建设深度融合，将合规</w:t>
      </w:r>
      <w:r>
        <w:rPr>
          <w:rFonts w:hint="eastAsia" w:eastAsia="仿宋_GB2312" w:cs="Times New Roman"/>
          <w:b w:val="0"/>
          <w:bCs w:val="0"/>
          <w:sz w:val="32"/>
          <w:szCs w:val="32"/>
          <w:lang w:val="en-US" w:eastAsia="zh-CN"/>
        </w:rPr>
        <w:t>文化</w:t>
      </w:r>
      <w:r>
        <w:rPr>
          <w:rFonts w:hint="default" w:ascii="Times New Roman" w:hAnsi="Times New Roman" w:eastAsia="仿宋_GB2312" w:cs="Times New Roman"/>
          <w:b w:val="0"/>
          <w:bCs w:val="0"/>
          <w:sz w:val="32"/>
          <w:szCs w:val="32"/>
          <w:lang w:val="en-US" w:eastAsia="zh-CN"/>
        </w:rPr>
        <w:t>要求嵌入经营管理全链条</w:t>
      </w:r>
      <w:r>
        <w:rPr>
          <w:rFonts w:hint="eastAsia"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确保巡察集中整改期</w:t>
      </w:r>
      <w:r>
        <w:rPr>
          <w:rFonts w:hint="eastAsia" w:eastAsia="仿宋_GB2312" w:cs="Times New Roman"/>
          <w:b w:val="0"/>
          <w:bCs w:val="0"/>
          <w:sz w:val="32"/>
          <w:szCs w:val="32"/>
          <w:lang w:val="en-US" w:eastAsia="zh-CN"/>
        </w:rPr>
        <w:t>结束</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力争</w:t>
      </w:r>
      <w:r>
        <w:rPr>
          <w:rFonts w:hint="default" w:ascii="Times New Roman" w:hAnsi="Times New Roman" w:eastAsia="仿宋_GB2312" w:cs="Times New Roman"/>
          <w:b w:val="0"/>
          <w:bCs w:val="0"/>
          <w:sz w:val="32"/>
          <w:szCs w:val="32"/>
          <w:lang w:val="en-US" w:eastAsia="zh-CN"/>
        </w:rPr>
        <w:t>整改率不低于70%。</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3"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楷体_GB2312" w:cs="Times New Roman"/>
          <w:b/>
          <w:bCs/>
          <w:sz w:val="32"/>
          <w:szCs w:val="32"/>
          <w:lang w:val="en-US" w:eastAsia="zh-CN"/>
        </w:rPr>
        <w:t>（五</w:t>
      </w:r>
      <w:r>
        <w:rPr>
          <w:rFonts w:hint="default" w:ascii="Times New Roman" w:hAnsi="Times New Roman" w:eastAsia="楷体_GB2312" w:cs="Times New Roman"/>
          <w:b/>
          <w:bCs/>
          <w:sz w:val="32"/>
          <w:szCs w:val="32"/>
          <w:highlight w:val="none"/>
          <w:lang w:val="en-US" w:eastAsia="zh-CN"/>
        </w:rPr>
        <w:t>）</w:t>
      </w:r>
      <w:r>
        <w:rPr>
          <w:rFonts w:hint="default" w:ascii="Times New Roman" w:hAnsi="Times New Roman" w:eastAsia="楷体_GB2312" w:cs="Times New Roman"/>
          <w:b/>
          <w:bCs/>
          <w:color w:val="auto"/>
          <w:sz w:val="32"/>
          <w:szCs w:val="32"/>
          <w:lang w:val="en-US" w:eastAsia="zh-CN"/>
        </w:rPr>
        <w:t>聚焦队伍建设，</w:t>
      </w:r>
      <w:r>
        <w:rPr>
          <w:rFonts w:hint="default" w:ascii="Times New Roman" w:hAnsi="Times New Roman" w:eastAsia="楷体_GB2312" w:cs="Times New Roman"/>
          <w:b/>
          <w:bCs/>
          <w:sz w:val="32"/>
          <w:szCs w:val="32"/>
          <w:lang w:val="en-US" w:eastAsia="zh-CN"/>
        </w:rPr>
        <w:t>树牢</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责任导向</w:t>
      </w:r>
      <w:r>
        <w:rPr>
          <w:rFonts w:hint="eastAsia" w:eastAsia="楷体_GB2312" w:cs="Times New Roman"/>
          <w:b/>
          <w:bCs/>
          <w:sz w:val="32"/>
          <w:szCs w:val="32"/>
          <w:lang w:val="en-US" w:eastAsia="zh-CN"/>
        </w:rPr>
        <w:t>”</w:t>
      </w:r>
      <w:r>
        <w:rPr>
          <w:rFonts w:hint="default" w:ascii="Times New Roman" w:hAnsi="Times New Roman" w:eastAsia="楷体_GB2312" w:cs="Times New Roman"/>
          <w:b/>
          <w:bCs/>
          <w:sz w:val="32"/>
          <w:szCs w:val="32"/>
          <w:lang w:val="en-US" w:eastAsia="zh-CN"/>
        </w:rPr>
        <w:t>，</w:t>
      </w:r>
      <w:r>
        <w:rPr>
          <w:rFonts w:hint="default" w:ascii="Times New Roman" w:hAnsi="Times New Roman" w:eastAsia="楷体_GB2312" w:cs="Times New Roman"/>
          <w:b/>
          <w:bCs/>
          <w:color w:val="auto"/>
          <w:sz w:val="32"/>
          <w:szCs w:val="32"/>
          <w:lang w:val="en-US" w:eastAsia="zh-CN"/>
        </w:rPr>
        <w:t>凝聚发展力量</w:t>
      </w:r>
      <w:r>
        <w:rPr>
          <w:rFonts w:hint="default" w:ascii="Times New Roman" w:hAnsi="Times New Roman" w:eastAsia="楷体_GB2312" w:cs="Times New Roman"/>
          <w:b/>
          <w:bCs/>
          <w:sz w:val="32"/>
          <w:szCs w:val="32"/>
          <w:highlight w:val="none"/>
          <w:lang w:val="en-US" w:eastAsia="zh-CN"/>
        </w:rPr>
        <w:t>。一是</w:t>
      </w:r>
      <w:r>
        <w:rPr>
          <w:rFonts w:hint="default" w:ascii="Times New Roman" w:hAnsi="Times New Roman" w:eastAsia="仿宋_GB2312" w:cs="Times New Roman"/>
          <w:b/>
          <w:bCs/>
          <w:color w:val="auto"/>
          <w:sz w:val="32"/>
          <w:szCs w:val="32"/>
          <w:highlight w:val="none"/>
          <w:lang w:val="en-US" w:eastAsia="zh-CN"/>
        </w:rPr>
        <w:t>持续提升网点竞争力。</w:t>
      </w:r>
      <w:r>
        <w:rPr>
          <w:rFonts w:hint="default" w:ascii="Times New Roman" w:hAnsi="Times New Roman" w:eastAsia="仿宋_GB2312" w:cs="Times New Roman"/>
          <w:b w:val="0"/>
          <w:bCs w:val="0"/>
          <w:color w:val="auto"/>
          <w:sz w:val="32"/>
          <w:szCs w:val="32"/>
          <w:highlight w:val="none"/>
          <w:lang w:val="en-US" w:eastAsia="zh-CN"/>
        </w:rPr>
        <w:t>以</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强支行——向发展要效益</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为主线，重点</w:t>
      </w:r>
      <w:r>
        <w:rPr>
          <w:rFonts w:hint="eastAsia" w:eastAsia="仿宋_GB2312" w:cs="Times New Roman"/>
          <w:b w:val="0"/>
          <w:bCs w:val="0"/>
          <w:color w:val="auto"/>
          <w:sz w:val="32"/>
          <w:szCs w:val="32"/>
          <w:highlight w:val="none"/>
          <w:lang w:val="en-US" w:eastAsia="zh-CN"/>
        </w:rPr>
        <w:t>提升</w:t>
      </w:r>
      <w:r>
        <w:rPr>
          <w:rFonts w:hint="default" w:ascii="Times New Roman" w:hAnsi="Times New Roman" w:eastAsia="仿宋_GB2312" w:cs="Times New Roman"/>
          <w:b w:val="0"/>
          <w:bCs w:val="0"/>
          <w:color w:val="auto"/>
          <w:sz w:val="32"/>
          <w:szCs w:val="32"/>
          <w:highlight w:val="none"/>
          <w:lang w:val="en-US" w:eastAsia="zh-CN"/>
        </w:rPr>
        <w:t>网点“七种能力”</w:t>
      </w:r>
      <w:r>
        <w:rPr>
          <w:rFonts w:hint="eastAsia" w:ascii="Times New Roman" w:hAnsi="Times New Roman" w:eastAsia="仿宋_GB2312" w:cs="Times New Roman"/>
          <w:b w:val="0"/>
          <w:bCs w:val="0"/>
          <w:color w:val="auto"/>
          <w:sz w:val="32"/>
          <w:szCs w:val="32"/>
          <w:highlight w:val="none"/>
          <w:lang w:val="en-US" w:eastAsia="zh-CN"/>
        </w:rPr>
        <w:t>（即：</w:t>
      </w:r>
      <w:r>
        <w:rPr>
          <w:rFonts w:hint="default" w:ascii="Times New Roman" w:hAnsi="Times New Roman" w:eastAsia="仿宋_GB2312" w:cs="Times New Roman"/>
          <w:b w:val="0"/>
          <w:bCs w:val="0"/>
          <w:color w:val="auto"/>
          <w:sz w:val="32"/>
          <w:szCs w:val="32"/>
          <w:highlight w:val="none"/>
          <w:lang w:val="en-US" w:eastAsia="zh-CN"/>
        </w:rPr>
        <w:t>规章制度的理解能力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业务结构的研判能力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目标客户的识别能力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市场营销的转化能力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金融风险的防控能力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渠道建设的渗透能力</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制度执行的行动力</w:t>
      </w:r>
      <w:r>
        <w:rPr>
          <w:rFonts w:hint="eastAsia" w:ascii="Times New Roman" w:hAnsi="Times New Roman" w:eastAsia="仿宋_GB2312" w:cs="Times New Roman"/>
          <w:b w:val="0"/>
          <w:bCs w:val="0"/>
          <w:color w:val="auto"/>
          <w:sz w:val="32"/>
          <w:szCs w:val="32"/>
          <w:highlight w:val="none"/>
          <w:lang w:val="en-US" w:eastAsia="zh-CN"/>
        </w:rPr>
        <w:t>）</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二是</w:t>
      </w:r>
      <w:r>
        <w:rPr>
          <w:rFonts w:hint="eastAsia" w:eastAsia="仿宋_GB2312" w:cs="Times New Roman"/>
          <w:b/>
          <w:bCs/>
          <w:color w:val="auto"/>
          <w:sz w:val="32"/>
          <w:szCs w:val="32"/>
          <w:highlight w:val="none"/>
          <w:lang w:val="en-US" w:eastAsia="zh-CN"/>
        </w:rPr>
        <w:t>以上率下强化担当使命。</w:t>
      </w:r>
      <w:r>
        <w:rPr>
          <w:rFonts w:hint="eastAsia" w:eastAsia="仿宋_GB2312" w:cs="Times New Roman"/>
          <w:b w:val="0"/>
          <w:bCs w:val="0"/>
          <w:color w:val="auto"/>
          <w:sz w:val="32"/>
          <w:szCs w:val="32"/>
          <w:highlight w:val="none"/>
          <w:lang w:val="en-US" w:eastAsia="zh-CN"/>
        </w:rPr>
        <w:t>各级领导干部要带头身体力行，以上率下，形成“头雁效应”。要自觉担当领导责任和示范责任，对照规定制度，把自己摆进去、把思想摆进去、把工作摆进去，</w:t>
      </w:r>
      <w:r>
        <w:rPr>
          <w:rFonts w:hint="default" w:ascii="Times New Roman" w:hAnsi="Times New Roman" w:eastAsia="仿宋_GB2312" w:cs="Times New Roman"/>
          <w:b w:val="0"/>
          <w:bCs w:val="0"/>
          <w:color w:val="auto"/>
          <w:sz w:val="32"/>
          <w:szCs w:val="32"/>
          <w:highlight w:val="none"/>
          <w:lang w:val="en-US" w:eastAsia="zh-CN"/>
        </w:rPr>
        <w:t>始终做到知责于心、担责于心、履责于行，做到守土有责、守土负责、守土尽责，确保工作务实、过程扎实、数据真实，业绩经得起检验。</w:t>
      </w:r>
      <w:r>
        <w:rPr>
          <w:rFonts w:hint="default" w:ascii="Times New Roman" w:hAnsi="Times New Roman" w:eastAsia="仿宋_GB2312" w:cs="Times New Roman"/>
          <w:b/>
          <w:bCs/>
          <w:color w:val="auto"/>
          <w:sz w:val="32"/>
          <w:szCs w:val="32"/>
          <w:highlight w:val="none"/>
          <w:lang w:val="en-US" w:eastAsia="zh-CN"/>
        </w:rPr>
        <w:t>三是坚持问责与免责并重。</w:t>
      </w:r>
      <w:r>
        <w:rPr>
          <w:rFonts w:hint="eastAsia" w:eastAsia="仿宋_GB2312" w:cs="Times New Roman"/>
          <w:b w:val="0"/>
          <w:bCs w:val="0"/>
          <w:color w:val="auto"/>
          <w:sz w:val="32"/>
          <w:szCs w:val="32"/>
          <w:highlight w:val="none"/>
          <w:lang w:val="en-US" w:eastAsia="zh-CN"/>
        </w:rPr>
        <w:t>严格</w:t>
      </w:r>
      <w:r>
        <w:rPr>
          <w:rFonts w:hint="default" w:ascii="Times New Roman" w:hAnsi="Times New Roman" w:eastAsia="仿宋_GB2312" w:cs="Times New Roman"/>
          <w:b w:val="0"/>
          <w:bCs w:val="0"/>
          <w:color w:val="auto"/>
          <w:sz w:val="32"/>
          <w:szCs w:val="32"/>
          <w:highlight w:val="none"/>
          <w:lang w:val="en-US" w:eastAsia="zh-CN"/>
        </w:rPr>
        <w:t>落实“三个区分开来”</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坚持</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纪法约束有硬度、批评教育有力度、组织关怀有温度</w:t>
      </w:r>
      <w:r>
        <w:rPr>
          <w:rFonts w:hint="eastAsia"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原则，旗帜鲜明鼓励党员干部敢于探索创新、触碰复杂矛盾、积极解决历史遗留问题，为敢担责的干部公开正名、撑腰打气。</w:t>
      </w:r>
      <w:r>
        <w:rPr>
          <w:rFonts w:hint="default" w:ascii="Times New Roman" w:hAnsi="Times New Roman" w:eastAsia="仿宋_GB2312" w:cs="Times New Roman"/>
          <w:b/>
          <w:bCs/>
          <w:color w:val="auto"/>
          <w:sz w:val="32"/>
          <w:szCs w:val="32"/>
          <w:highlight w:val="none"/>
          <w:lang w:val="en-US" w:eastAsia="zh-CN"/>
        </w:rPr>
        <w:t>四是践行企业文化价值。</w:t>
      </w:r>
      <w:r>
        <w:rPr>
          <w:rFonts w:hint="default" w:ascii="Times New Roman" w:hAnsi="Times New Roman" w:eastAsia="仿宋_GB2312" w:cs="Times New Roman"/>
          <w:b w:val="0"/>
          <w:bCs w:val="0"/>
          <w:color w:val="auto"/>
          <w:spacing w:val="-4"/>
          <w:kern w:val="2"/>
          <w:sz w:val="32"/>
          <w:szCs w:val="32"/>
          <w:highlight w:val="none"/>
          <w:lang w:val="en-US" w:eastAsia="zh-CN" w:bidi="ar-SA"/>
        </w:rPr>
        <w:t>弘扬</w:t>
      </w:r>
      <w:r>
        <w:rPr>
          <w:rFonts w:hint="eastAsia" w:eastAsia="仿宋_GB2312" w:cs="Times New Roman"/>
          <w:b w:val="0"/>
          <w:bCs w:val="0"/>
          <w:color w:val="auto"/>
          <w:spacing w:val="-4"/>
          <w:kern w:val="2"/>
          <w:sz w:val="32"/>
          <w:szCs w:val="32"/>
          <w:highlight w:val="none"/>
          <w:lang w:val="en-US" w:eastAsia="zh-CN" w:bidi="ar-SA"/>
        </w:rPr>
        <w:t>“</w:t>
      </w:r>
      <w:r>
        <w:rPr>
          <w:rFonts w:hint="default" w:ascii="Times New Roman" w:hAnsi="Times New Roman" w:eastAsia="仿宋_GB2312" w:cs="Times New Roman"/>
          <w:b w:val="0"/>
          <w:bCs w:val="0"/>
          <w:color w:val="auto"/>
          <w:spacing w:val="-4"/>
          <w:kern w:val="2"/>
          <w:sz w:val="32"/>
          <w:szCs w:val="32"/>
          <w:highlight w:val="none"/>
          <w:lang w:val="en-US" w:eastAsia="zh-CN" w:bidi="ar-SA"/>
        </w:rPr>
        <w:t>守正、规范、创新、赋能、敢当</w:t>
      </w:r>
      <w:r>
        <w:rPr>
          <w:rFonts w:hint="eastAsia" w:eastAsia="仿宋_GB2312" w:cs="Times New Roman"/>
          <w:b w:val="0"/>
          <w:bCs w:val="0"/>
          <w:color w:val="auto"/>
          <w:spacing w:val="-4"/>
          <w:kern w:val="2"/>
          <w:sz w:val="32"/>
          <w:szCs w:val="32"/>
          <w:highlight w:val="none"/>
          <w:lang w:val="en-US" w:eastAsia="zh-CN" w:bidi="ar-SA"/>
        </w:rPr>
        <w:t>”</w:t>
      </w:r>
      <w:r>
        <w:rPr>
          <w:rFonts w:hint="default" w:ascii="Times New Roman" w:hAnsi="Times New Roman" w:eastAsia="仿宋_GB2312" w:cs="Times New Roman"/>
          <w:b w:val="0"/>
          <w:bCs w:val="0"/>
          <w:color w:val="auto"/>
          <w:spacing w:val="-4"/>
          <w:kern w:val="2"/>
          <w:sz w:val="32"/>
          <w:szCs w:val="32"/>
          <w:highlight w:val="none"/>
          <w:lang w:val="en-US" w:eastAsia="zh-CN" w:bidi="ar-SA"/>
        </w:rPr>
        <w:t>的核心五大价值观和企业九大行为文化，并切实将理念融入日常业务中，要</w:t>
      </w:r>
      <w:r>
        <w:rPr>
          <w:rFonts w:hint="default" w:ascii="Times New Roman" w:hAnsi="Times New Roman" w:eastAsia="仿宋_GB2312" w:cs="Times New Roman"/>
          <w:b w:val="0"/>
          <w:bCs w:val="0"/>
          <w:i w:val="0"/>
          <w:iCs w:val="0"/>
          <w:caps w:val="0"/>
          <w:color w:val="auto"/>
          <w:spacing w:val="0"/>
          <w:kern w:val="2"/>
          <w:sz w:val="32"/>
          <w:szCs w:val="32"/>
          <w:highlight w:val="none"/>
          <w:shd w:val="clear" w:fill="FFFFFF"/>
          <w:lang w:val="en-US" w:eastAsia="zh-CN" w:bidi="ar-SA"/>
        </w:rPr>
        <w:t>与客户维系正常、健康的业务往来，构建</w:t>
      </w:r>
      <w:r>
        <w:rPr>
          <w:rFonts w:hint="eastAsia" w:eastAsia="仿宋_GB2312" w:cs="Times New Roman"/>
          <w:b w:val="0"/>
          <w:bCs w:val="0"/>
          <w:i w:val="0"/>
          <w:iCs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b w:val="0"/>
          <w:bCs w:val="0"/>
          <w:i w:val="0"/>
          <w:iCs w:val="0"/>
          <w:caps w:val="0"/>
          <w:color w:val="auto"/>
          <w:spacing w:val="0"/>
          <w:kern w:val="2"/>
          <w:sz w:val="32"/>
          <w:szCs w:val="32"/>
          <w:highlight w:val="none"/>
          <w:shd w:val="clear" w:fill="FFFFFF"/>
          <w:lang w:val="en-US" w:eastAsia="zh-CN" w:bidi="ar-SA"/>
        </w:rPr>
        <w:t>清正廉洁、风清气正的</w:t>
      </w:r>
      <w:r>
        <w:rPr>
          <w:rFonts w:hint="eastAsia" w:eastAsia="仿宋_GB2312" w:cs="Times New Roman"/>
          <w:b w:val="0"/>
          <w:bCs w:val="0"/>
          <w:i w:val="0"/>
          <w:iCs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b w:val="0"/>
          <w:bCs w:val="0"/>
          <w:i w:val="0"/>
          <w:iCs w:val="0"/>
          <w:caps w:val="0"/>
          <w:color w:val="auto"/>
          <w:spacing w:val="0"/>
          <w:kern w:val="2"/>
          <w:sz w:val="32"/>
          <w:szCs w:val="32"/>
          <w:highlight w:val="none"/>
          <w:shd w:val="clear" w:fill="FFFFFF"/>
          <w:lang w:val="en-US" w:eastAsia="zh-CN" w:bidi="ar-SA"/>
        </w:rPr>
        <w:t>合作关系，</w:t>
      </w:r>
      <w:r>
        <w:rPr>
          <w:rFonts w:hint="default" w:ascii="Times New Roman" w:hAnsi="Times New Roman" w:eastAsia="仿宋_GB2312" w:cs="Times New Roman"/>
          <w:b w:val="0"/>
          <w:bCs w:val="0"/>
          <w:color w:val="auto"/>
          <w:spacing w:val="-4"/>
          <w:kern w:val="2"/>
          <w:sz w:val="32"/>
          <w:szCs w:val="32"/>
          <w:highlight w:val="none"/>
          <w:lang w:val="en-US" w:eastAsia="zh-CN" w:bidi="ar-SA"/>
        </w:rPr>
        <w:t>以文化软实力助推安顺农商银行实现高质量发展。</w:t>
      </w:r>
    </w:p>
    <w:p>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0"/>
        </w:pBdr>
        <w:kinsoku/>
        <w:wordWrap/>
        <w:overflowPunct/>
        <w:topLinePunct/>
        <w:autoSpaceDE/>
        <w:autoSpaceDN/>
        <w:bidi w:val="0"/>
        <w:adjustRightInd w:val="0"/>
        <w:snapToGrid w:val="0"/>
        <w:spacing w:beforeAutospacing="0" w:afterAutospacing="0" w:line="540" w:lineRule="exact"/>
        <w:ind w:firstLine="640" w:firstLineChars="200"/>
        <w:jc w:val="both"/>
        <w:textAlignment w:val="auto"/>
        <w:rPr>
          <w:rFonts w:hint="eastAsia"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2025年第二届董事会</w:t>
      </w:r>
      <w:r>
        <w:rPr>
          <w:rFonts w:hint="eastAsia" w:eastAsia="仿宋_GB2312" w:cs="Times New Roman"/>
          <w:sz w:val="32"/>
          <w:szCs w:val="32"/>
          <w:lang w:val="en-US" w:eastAsia="zh-CN"/>
        </w:rPr>
        <w:t>将严格落实本次股东大会既定的目标要求，</w:t>
      </w:r>
      <w:r>
        <w:rPr>
          <w:rFonts w:hint="default" w:ascii="Times New Roman" w:hAnsi="Times New Roman" w:eastAsia="仿宋_GB2312" w:cs="Times New Roman"/>
          <w:sz w:val="32"/>
          <w:szCs w:val="32"/>
          <w:lang w:val="en-US" w:eastAsia="zh-CN"/>
        </w:rPr>
        <w:t>践行金融服务实体的初心</w:t>
      </w:r>
      <w:r>
        <w:rPr>
          <w:rFonts w:hint="eastAsia" w:eastAsia="仿宋_GB2312" w:cs="Times New Roman"/>
          <w:sz w:val="32"/>
          <w:szCs w:val="32"/>
          <w:lang w:val="en-US" w:eastAsia="zh-CN"/>
        </w:rPr>
        <w:t>使命，持续</w:t>
      </w:r>
      <w:r>
        <w:rPr>
          <w:rFonts w:hint="default" w:ascii="Times New Roman" w:hAnsi="Times New Roman" w:eastAsia="仿宋_GB2312" w:cs="Times New Roman"/>
          <w:sz w:val="32"/>
          <w:szCs w:val="32"/>
          <w:lang w:val="en-US" w:eastAsia="zh-CN"/>
        </w:rPr>
        <w:t>提升</w:t>
      </w:r>
      <w:r>
        <w:rPr>
          <w:rFonts w:hint="eastAsia" w:eastAsia="仿宋_GB2312" w:cs="Times New Roman"/>
          <w:sz w:val="32"/>
          <w:szCs w:val="32"/>
          <w:lang w:val="en-US" w:eastAsia="zh-CN"/>
        </w:rPr>
        <w:t>能力</w:t>
      </w:r>
      <w:r>
        <w:rPr>
          <w:rFonts w:hint="default" w:ascii="Times New Roman" w:hAnsi="Times New Roman" w:eastAsia="仿宋_GB2312" w:cs="Times New Roman"/>
          <w:sz w:val="32"/>
          <w:szCs w:val="32"/>
          <w:lang w:val="en-US" w:eastAsia="zh-CN"/>
        </w:rPr>
        <w:t>和水平</w:t>
      </w:r>
      <w:r>
        <w:rPr>
          <w:rFonts w:hint="eastAsia" w:eastAsia="仿宋_GB2312" w:cs="Times New Roman"/>
          <w:sz w:val="32"/>
          <w:szCs w:val="32"/>
          <w:lang w:val="en-US" w:eastAsia="zh-CN"/>
        </w:rPr>
        <w:t>，为</w:t>
      </w:r>
      <w:r>
        <w:rPr>
          <w:rFonts w:hint="default" w:ascii="Times New Roman" w:hAnsi="Times New Roman" w:eastAsia="仿宋_GB2312" w:cs="Times New Roman"/>
          <w:sz w:val="32"/>
          <w:szCs w:val="32"/>
          <w:lang w:val="en-US" w:eastAsia="zh-CN"/>
        </w:rPr>
        <w:t>推动安顺农商银行高质量发展而努力</w:t>
      </w:r>
      <w:r>
        <w:rPr>
          <w:rFonts w:hint="eastAsia" w:eastAsia="仿宋_GB2312" w:cs="Times New Roman"/>
          <w:sz w:val="32"/>
          <w:szCs w:val="32"/>
          <w:lang w:val="en-US" w:eastAsia="zh-CN"/>
        </w:rPr>
        <w:t>奋斗！</w:t>
      </w:r>
    </w:p>
    <w:p>
      <w:pPr>
        <w:pStyle w:val="2"/>
        <w:rPr>
          <w:rFonts w:hint="eastAsia" w:eastAsia="仿宋_GB2312" w:cs="Times New Roman"/>
          <w:sz w:val="32"/>
          <w:szCs w:val="32"/>
          <w:lang w:val="en-US" w:eastAsia="zh-CN"/>
        </w:rPr>
      </w:pPr>
    </w:p>
    <w:p>
      <w:pPr>
        <w:pStyle w:val="2"/>
        <w:rPr>
          <w:rFonts w:hint="eastAsia" w:eastAsia="仿宋_GB2312" w:cs="Times New Roman"/>
          <w:sz w:val="32"/>
          <w:szCs w:val="32"/>
          <w:lang w:val="en-US" w:eastAsia="zh-CN"/>
        </w:rPr>
      </w:pPr>
    </w:p>
    <w:p>
      <w:pPr>
        <w:pStyle w:val="2"/>
        <w:rPr>
          <w:rFonts w:hint="eastAsia" w:eastAsia="仿宋_GB2312" w:cs="Times New Roman"/>
          <w:sz w:val="32"/>
          <w:szCs w:val="32"/>
          <w:lang w:val="en-US" w:eastAsia="zh-CN"/>
        </w:rPr>
      </w:pPr>
    </w:p>
    <w:p>
      <w:pPr>
        <w:pStyle w:val="2"/>
        <w:rPr>
          <w:rFonts w:hint="eastAsia" w:eastAsia="仿宋_GB2312" w:cs="Times New Roman"/>
          <w:sz w:val="32"/>
          <w:szCs w:val="32"/>
          <w:lang w:val="en-US" w:eastAsia="zh-CN"/>
        </w:rPr>
      </w:pPr>
    </w:p>
    <w:p>
      <w:pPr>
        <w:pStyle w:val="2"/>
        <w:rPr>
          <w:rFonts w:hint="eastAsia" w:eastAsia="仿宋_GB2312" w:cs="Times New Roman"/>
          <w:sz w:val="32"/>
          <w:szCs w:val="32"/>
          <w:lang w:val="en-US" w:eastAsia="zh-CN"/>
        </w:rPr>
      </w:pPr>
    </w:p>
    <w:p>
      <w:pPr>
        <w:pStyle w:val="2"/>
        <w:rPr>
          <w:rFonts w:hint="eastAsia" w:eastAsia="仿宋_GB2312" w:cs="Times New Roman"/>
          <w:sz w:val="32"/>
          <w:szCs w:val="32"/>
          <w:lang w:val="en-US" w:eastAsia="zh-CN"/>
        </w:rPr>
      </w:pP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黑体" w:cs="Times New Roman"/>
          <w:b w:val="0"/>
          <w:bCs/>
          <w:color w:val="auto"/>
          <w:sz w:val="36"/>
          <w:szCs w:val="36"/>
          <w:highlight w:val="none"/>
        </w:rPr>
      </w:pPr>
      <w:r>
        <w:rPr>
          <w:rFonts w:hint="default" w:ascii="Times New Roman" w:hAnsi="Times New Roman" w:eastAsia="黑体" w:cs="Times New Roman"/>
          <w:b w:val="0"/>
          <w:bCs/>
          <w:color w:val="auto"/>
          <w:sz w:val="36"/>
          <w:szCs w:val="36"/>
          <w:highlight w:val="none"/>
        </w:rPr>
        <w:t xml:space="preserve"> 监事会报告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2024年，</w:t>
      </w:r>
      <w:r>
        <w:rPr>
          <w:rFonts w:hint="default" w:ascii="Times New Roman" w:hAnsi="Times New Roman" w:eastAsia="仿宋_GB2312" w:cs="Times New Roman"/>
          <w:color w:val="auto"/>
          <w:sz w:val="32"/>
          <w:szCs w:val="32"/>
          <w:highlight w:val="none"/>
        </w:rPr>
        <w:t>安顺农商银行监事会</w:t>
      </w:r>
      <w:r>
        <w:rPr>
          <w:rFonts w:hint="default" w:ascii="Times New Roman" w:hAnsi="Times New Roman" w:eastAsia="仿宋_GB2312" w:cs="Times New Roman"/>
          <w:color w:val="auto"/>
          <w:sz w:val="32"/>
          <w:szCs w:val="32"/>
          <w:highlight w:val="none"/>
          <w:lang w:val="en-US" w:eastAsia="zh-CN"/>
        </w:rPr>
        <w:t>坚持和加强党的领导，认真贯彻落实党的二十大精神，依照</w:t>
      </w:r>
      <w:r>
        <w:rPr>
          <w:rFonts w:hint="default" w:ascii="Times New Roman" w:hAnsi="Times New Roman" w:eastAsia="仿宋_GB2312" w:cs="Times New Roman"/>
          <w:color w:val="auto"/>
          <w:sz w:val="32"/>
          <w:szCs w:val="32"/>
          <w:highlight w:val="none"/>
        </w:rPr>
        <w:t>《中华人民共和国公司法》</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银行保险机构董事监事履职评价办法（试行）</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《安顺农商银行公司章程》</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监事会议事规则》及有关法律法规，认真履行监督职责，切实发挥了监督作用，对安顺农商银行业务的规范运作和健康发展发挥了积极作用，促进了公司的健康发展。现将监事会2024年度工作情况报告如下：</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color w:val="auto"/>
          <w:sz w:val="32"/>
          <w:szCs w:val="32"/>
          <w:highlight w:val="none"/>
          <w:lang w:val="en-US" w:eastAsia="zh-CN"/>
        </w:rPr>
        <w:t>一、</w:t>
      </w:r>
      <w:r>
        <w:rPr>
          <w:rFonts w:hint="default" w:ascii="Times New Roman" w:hAnsi="Times New Roman" w:eastAsia="黑体" w:cs="Times New Roman"/>
          <w:color w:val="auto"/>
          <w:sz w:val="32"/>
          <w:szCs w:val="32"/>
          <w:highlight w:val="none"/>
        </w:rPr>
        <w:t>基本情况</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2024年，监事会通过组织召开会议审议有关事项，列席会议进行监督、开展监督检查、提出监督意见等方式，对本行董事会、高管层及各条线业务运行情况开展监督，对有关事项进行督促跟踪，协助董事会、高管层降低经营风险，强化合规管理，</w:t>
      </w:r>
      <w:r>
        <w:rPr>
          <w:rFonts w:hint="eastAsia" w:ascii="Times New Roman" w:hAnsi="Times New Roman" w:eastAsia="仿宋_GB2312" w:cs="Times New Roman"/>
          <w:color w:val="auto"/>
          <w:sz w:val="32"/>
          <w:szCs w:val="32"/>
          <w:highlight w:val="none"/>
          <w:lang w:val="en-US" w:eastAsia="zh-CN"/>
        </w:rPr>
        <w:t>推动实现</w:t>
      </w:r>
      <w:r>
        <w:rPr>
          <w:rFonts w:hint="default" w:ascii="Times New Roman" w:hAnsi="Times New Roman" w:eastAsia="仿宋_GB2312" w:cs="Times New Roman"/>
          <w:color w:val="auto"/>
          <w:sz w:val="32"/>
          <w:szCs w:val="32"/>
          <w:highlight w:val="none"/>
          <w:lang w:val="en-US" w:eastAsia="zh-CN"/>
        </w:rPr>
        <w:t>经营目标，</w:t>
      </w:r>
      <w:r>
        <w:rPr>
          <w:rFonts w:hint="eastAsia" w:ascii="Times New Roman" w:hAnsi="Times New Roman" w:eastAsia="仿宋_GB2312" w:cs="Times New Roman"/>
          <w:color w:val="auto"/>
          <w:sz w:val="32"/>
          <w:szCs w:val="32"/>
          <w:highlight w:val="none"/>
          <w:lang w:val="en-US" w:eastAsia="zh-CN"/>
        </w:rPr>
        <w:t>维护</w:t>
      </w:r>
      <w:r>
        <w:rPr>
          <w:rFonts w:hint="default" w:ascii="Times New Roman" w:hAnsi="Times New Roman" w:eastAsia="仿宋_GB2312" w:cs="Times New Roman"/>
          <w:color w:val="auto"/>
          <w:sz w:val="32"/>
          <w:szCs w:val="32"/>
          <w:highlight w:val="none"/>
          <w:lang w:val="en-US" w:eastAsia="zh-CN"/>
        </w:rPr>
        <w:t>股东合法权益</w:t>
      </w:r>
      <w:r>
        <w:rPr>
          <w:rFonts w:hint="eastAsia" w:ascii="Times New Roman" w:hAnsi="Times New Roman" w:eastAsia="仿宋_GB2312" w:cs="Times New Roman"/>
          <w:color w:val="auto"/>
          <w:sz w:val="32"/>
          <w:szCs w:val="32"/>
          <w:highlight w:val="none"/>
          <w:lang w:val="en-US" w:eastAsia="zh-CN"/>
        </w:rPr>
        <w:t>。同时</w:t>
      </w:r>
      <w:r>
        <w:rPr>
          <w:rFonts w:hint="default" w:ascii="Times New Roman" w:hAnsi="Times New Roman" w:eastAsia="仿宋_GB2312" w:cs="Times New Roman"/>
          <w:color w:val="auto"/>
          <w:sz w:val="32"/>
          <w:szCs w:val="32"/>
          <w:highlight w:val="none"/>
          <w:lang w:val="en-US" w:eastAsia="zh-CN"/>
        </w:rPr>
        <w:t>组织开展监事履职培训，着力提升监事履职能力和水平，推动更好发挥监事会监督职责。</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黑体" w:hAnsi="黑体" w:eastAsia="黑体" w:cs="黑体"/>
          <w:color w:val="auto"/>
          <w:sz w:val="32"/>
          <w:szCs w:val="32"/>
          <w:highlight w:val="none"/>
          <w:lang w:val="en-US" w:eastAsia="zh-CN"/>
        </w:rPr>
        <w:t>二、</w:t>
      </w:r>
      <w:r>
        <w:rPr>
          <w:rFonts w:hint="eastAsia" w:ascii="黑体" w:hAnsi="黑体" w:eastAsia="黑体" w:cs="黑体"/>
          <w:color w:val="auto"/>
          <w:sz w:val="32"/>
          <w:szCs w:val="32"/>
          <w:highlight w:val="none"/>
        </w:rPr>
        <w:t>监事会履行监督职责情况</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（一）对董事、监事和管理层的监督情况</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1.审议重大事项。</w:t>
      </w:r>
      <w:r>
        <w:rPr>
          <w:rFonts w:hint="default" w:ascii="Times New Roman" w:hAnsi="Times New Roman" w:eastAsia="仿宋_GB2312" w:cs="Times New Roman"/>
          <w:color w:val="auto"/>
          <w:sz w:val="32"/>
          <w:szCs w:val="32"/>
          <w:highlight w:val="none"/>
          <w:lang w:val="en-US" w:eastAsia="zh-CN"/>
        </w:rPr>
        <w:t>监事会按照</w:t>
      </w:r>
      <w:r>
        <w:rPr>
          <w:rFonts w:hint="default" w:ascii="Times New Roman" w:hAnsi="Times New Roman" w:eastAsia="仿宋_GB2312" w:cs="Times New Roman"/>
          <w:b w:val="0"/>
          <w:bCs w:val="0"/>
          <w:color w:val="auto"/>
          <w:sz w:val="32"/>
          <w:szCs w:val="32"/>
          <w:highlight w:val="none"/>
          <w:lang w:val="en-US" w:eastAsia="zh-CN"/>
        </w:rPr>
        <w:t>按照</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安顺农商银行股份有限公司监事会议事规则》要求，各位监事亲自出席监事会议15次，</w:t>
      </w:r>
      <w:r>
        <w:rPr>
          <w:rFonts w:hint="eastAsia" w:ascii="Times New Roman" w:hAnsi="Times New Roman" w:eastAsia="仿宋_GB2312" w:cs="Times New Roman"/>
          <w:b w:val="0"/>
          <w:bCs w:val="0"/>
          <w:color w:val="auto"/>
          <w:sz w:val="32"/>
          <w:szCs w:val="32"/>
          <w:highlight w:val="none"/>
          <w:lang w:val="en-US" w:eastAsia="zh-CN"/>
        </w:rPr>
        <w:t>针</w:t>
      </w:r>
      <w:r>
        <w:rPr>
          <w:rFonts w:hint="default" w:ascii="Times New Roman" w:hAnsi="Times New Roman" w:eastAsia="仿宋_GB2312" w:cs="Times New Roman"/>
          <w:b w:val="0"/>
          <w:bCs w:val="0"/>
          <w:color w:val="auto"/>
          <w:sz w:val="32"/>
          <w:szCs w:val="32"/>
          <w:highlight w:val="none"/>
          <w:lang w:val="en-US" w:eastAsia="zh-CN"/>
        </w:rPr>
        <w:t>对“董事会授权书、董事会议事规则、股东大会议事规则、支付营业办公综合楼尾款、薪酬管理办法、补充医疗保险管理办法、企业年金实施细则、营业网点选址、关联公司关联交易、劳务外包、股东利益冲突管理办法、股权托管办法”等议案，从考虑公司的长远发展和股东的利益进行研究讨论，并结合自己所学专业知识评估其风险和可行性后，认真作出审慎判断，最终形成会议决议82项。</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2.派员列席重要会议，履行监督职责</w:t>
      </w:r>
      <w:r>
        <w:rPr>
          <w:rFonts w:hint="default" w:ascii="Times New Roman" w:hAnsi="Times New Roman" w:eastAsia="仿宋_GB2312" w:cs="Times New Roman"/>
          <w:color w:val="auto"/>
          <w:sz w:val="32"/>
          <w:szCs w:val="32"/>
          <w:highlight w:val="none"/>
          <w:lang w:val="en-US" w:eastAsia="zh-CN"/>
        </w:rPr>
        <w:t>。全年累计列席</w:t>
      </w:r>
      <w:r>
        <w:rPr>
          <w:rFonts w:hint="default" w:ascii="Times New Roman" w:hAnsi="Times New Roman" w:eastAsia="仿宋_GB2312" w:cs="Times New Roman"/>
          <w:b w:val="0"/>
          <w:bCs w:val="0"/>
          <w:color w:val="auto"/>
          <w:sz w:val="32"/>
          <w:szCs w:val="32"/>
          <w:highlight w:val="none"/>
          <w:lang w:val="en-US" w:eastAsia="zh-CN"/>
        </w:rPr>
        <w:t>董事会、</w:t>
      </w:r>
      <w:r>
        <w:rPr>
          <w:rFonts w:hint="default" w:ascii="Times New Roman" w:hAnsi="Times New Roman" w:eastAsia="仿宋_GB2312" w:cs="Times New Roman"/>
          <w:color w:val="auto"/>
          <w:sz w:val="32"/>
          <w:szCs w:val="32"/>
          <w:highlight w:val="none"/>
          <w:lang w:val="en-US" w:eastAsia="zh-CN"/>
        </w:rPr>
        <w:t>党委会、行办会、</w:t>
      </w:r>
      <w:r>
        <w:rPr>
          <w:rFonts w:hint="default" w:ascii="Times New Roman" w:hAnsi="Times New Roman" w:eastAsia="仿宋_GB2312" w:cs="Times New Roman"/>
          <w:b w:val="0"/>
          <w:bCs w:val="0"/>
          <w:color w:val="auto"/>
          <w:sz w:val="32"/>
          <w:szCs w:val="32"/>
          <w:highlight w:val="none"/>
          <w:lang w:val="en-US" w:eastAsia="zh-CN"/>
        </w:rPr>
        <w:t>股东大会、</w:t>
      </w:r>
      <w:r>
        <w:rPr>
          <w:rFonts w:hint="default" w:ascii="Times New Roman" w:hAnsi="Times New Roman" w:eastAsia="仿宋_GB2312" w:cs="Times New Roman"/>
          <w:color w:val="auto"/>
          <w:sz w:val="32"/>
          <w:szCs w:val="32"/>
          <w:highlight w:val="none"/>
          <w:lang w:val="en-US" w:eastAsia="zh-CN"/>
        </w:rPr>
        <w:t>采购会、邀投标会议等90余次，</w:t>
      </w:r>
      <w:r>
        <w:rPr>
          <w:rFonts w:hint="default" w:ascii="Times New Roman" w:hAnsi="Times New Roman" w:eastAsia="仿宋_GB2312" w:cs="Times New Roman"/>
          <w:b w:val="0"/>
          <w:bCs w:val="0"/>
          <w:color w:val="auto"/>
          <w:sz w:val="32"/>
          <w:szCs w:val="32"/>
          <w:highlight w:val="none"/>
          <w:lang w:val="en-US" w:eastAsia="zh-CN"/>
        </w:rPr>
        <w:t>认真听取议题报告，</w:t>
      </w:r>
      <w:r>
        <w:rPr>
          <w:rFonts w:hint="eastAsia" w:ascii="Times New Roman" w:hAnsi="Times New Roman" w:eastAsia="仿宋_GB2312" w:cs="Times New Roman"/>
          <w:color w:val="auto"/>
          <w:sz w:val="32"/>
          <w:szCs w:val="32"/>
          <w:highlight w:val="none"/>
          <w:lang w:val="en-US" w:eastAsia="zh-CN"/>
        </w:rPr>
        <w:t>加强集体</w:t>
      </w:r>
      <w:r>
        <w:rPr>
          <w:rFonts w:hint="default" w:ascii="Times New Roman" w:hAnsi="Times New Roman" w:eastAsia="仿宋_GB2312" w:cs="Times New Roman"/>
          <w:color w:val="auto"/>
          <w:sz w:val="32"/>
          <w:szCs w:val="32"/>
          <w:highlight w:val="none"/>
          <w:lang w:val="en-US" w:eastAsia="zh-CN"/>
        </w:rPr>
        <w:t>决策</w:t>
      </w:r>
      <w:r>
        <w:rPr>
          <w:rFonts w:hint="eastAsia" w:ascii="Times New Roman" w:hAnsi="Times New Roman" w:eastAsia="仿宋_GB2312" w:cs="Times New Roman"/>
          <w:color w:val="auto"/>
          <w:sz w:val="32"/>
          <w:szCs w:val="32"/>
          <w:highlight w:val="none"/>
          <w:lang w:val="en-US" w:eastAsia="zh-CN"/>
        </w:rPr>
        <w:t>全过程</w:t>
      </w:r>
      <w:r>
        <w:rPr>
          <w:rFonts w:hint="default" w:ascii="Times New Roman" w:hAnsi="Times New Roman" w:eastAsia="仿宋_GB2312" w:cs="Times New Roman"/>
          <w:color w:val="auto"/>
          <w:sz w:val="32"/>
          <w:szCs w:val="32"/>
          <w:highlight w:val="none"/>
          <w:lang w:val="en-US" w:eastAsia="zh-CN"/>
        </w:rPr>
        <w:t>监督，</w:t>
      </w:r>
      <w:r>
        <w:rPr>
          <w:rFonts w:hint="default" w:ascii="Times New Roman" w:hAnsi="Times New Roman" w:eastAsia="仿宋_GB2312" w:cs="Times New Roman"/>
          <w:b w:val="0"/>
          <w:bCs w:val="0"/>
          <w:color w:val="auto"/>
          <w:sz w:val="32"/>
          <w:szCs w:val="32"/>
          <w:highlight w:val="none"/>
          <w:lang w:val="en-US" w:eastAsia="zh-CN"/>
        </w:rPr>
        <w:t>从维护本行、股东</w:t>
      </w:r>
      <w:r>
        <w:rPr>
          <w:rFonts w:hint="default" w:ascii="Times New Roman" w:hAnsi="Times New Roman" w:eastAsia="仿宋_GB2312" w:cs="Times New Roman"/>
          <w:b w:val="0"/>
          <w:bCs w:val="0"/>
          <w:color w:val="auto"/>
          <w:sz w:val="32"/>
          <w:szCs w:val="32"/>
          <w:highlight w:val="none"/>
        </w:rPr>
        <w:t>等利益相关者的合法权益</w:t>
      </w:r>
      <w:r>
        <w:rPr>
          <w:rFonts w:hint="default" w:ascii="Times New Roman" w:hAnsi="Times New Roman" w:eastAsia="仿宋_GB2312" w:cs="Times New Roman"/>
          <w:b w:val="0"/>
          <w:bCs w:val="0"/>
          <w:color w:val="auto"/>
          <w:sz w:val="32"/>
          <w:szCs w:val="32"/>
          <w:highlight w:val="none"/>
          <w:lang w:val="en-US" w:eastAsia="zh-CN"/>
        </w:rPr>
        <w:t>角度提出监督意见或建议，确保各项决策符合法律规定和公司章程规定，公正、客观地履行好监督职责。</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监事会立足</w:t>
      </w:r>
      <w:r>
        <w:rPr>
          <w:rFonts w:hint="eastAsia" w:ascii="Times New Roman" w:hAnsi="Times New Roman" w:eastAsia="仿宋_GB2312" w:cs="Times New Roman"/>
          <w:color w:val="auto"/>
          <w:sz w:val="32"/>
          <w:szCs w:val="32"/>
          <w:highlight w:val="none"/>
          <w:lang w:val="en-US" w:eastAsia="zh-CN"/>
        </w:rPr>
        <w:t>监督</w:t>
      </w:r>
      <w:r>
        <w:rPr>
          <w:rFonts w:hint="default" w:ascii="Times New Roman" w:hAnsi="Times New Roman" w:eastAsia="仿宋_GB2312" w:cs="Times New Roman"/>
          <w:color w:val="auto"/>
          <w:sz w:val="32"/>
          <w:szCs w:val="32"/>
          <w:highlight w:val="none"/>
        </w:rPr>
        <w:t>职责定位</w:t>
      </w:r>
      <w:r>
        <w:rPr>
          <w:rFonts w:hint="default" w:ascii="Times New Roman" w:hAnsi="Times New Roman" w:eastAsia="仿宋_GB2312" w:cs="Times New Roman"/>
          <w:color w:val="auto"/>
          <w:sz w:val="32"/>
          <w:szCs w:val="32"/>
          <w:highlight w:val="none"/>
          <w:lang w:val="en-US" w:eastAsia="zh-CN"/>
        </w:rPr>
        <w:t>向经营层提出</w:t>
      </w:r>
      <w:r>
        <w:rPr>
          <w:rFonts w:hint="eastAsia" w:ascii="Times New Roman" w:hAnsi="Times New Roman" w:eastAsia="仿宋_GB2312" w:cs="Times New Roman"/>
          <w:color w:val="auto"/>
          <w:sz w:val="32"/>
          <w:szCs w:val="32"/>
          <w:highlight w:val="none"/>
          <w:lang w:val="en-US" w:eastAsia="zh-CN"/>
        </w:rPr>
        <w:t>监督建议。</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shd w:val="clear" w:color="auto" w:fill="FFFFFF"/>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（1）</w:t>
      </w:r>
      <w:r>
        <w:rPr>
          <w:rFonts w:hint="default" w:ascii="Times New Roman" w:hAnsi="Times New Roman" w:eastAsia="仿宋_GB2312" w:cs="Times New Roman"/>
          <w:color w:val="auto"/>
          <w:sz w:val="32"/>
          <w:szCs w:val="32"/>
          <w:highlight w:val="none"/>
          <w:lang w:val="en-US" w:eastAsia="zh-CN"/>
        </w:rPr>
        <w:t>坚持支农支小市场定位，积极扩大贷款面，优化信贷流程，充分发挥</w:t>
      </w:r>
      <w:r>
        <w:rPr>
          <w:rFonts w:hint="default" w:ascii="Times New Roman" w:hAnsi="Times New Roman" w:eastAsia="仿宋_GB2312" w:cs="Times New Roman"/>
          <w:color w:val="auto"/>
          <w:sz w:val="32"/>
          <w:szCs w:val="32"/>
          <w:highlight w:val="none"/>
          <w:shd w:val="clear" w:color="auto" w:fill="FFFFFF"/>
          <w:lang w:val="en-US" w:eastAsia="zh-CN"/>
        </w:rPr>
        <w:t>“短、平、快”优势，</w:t>
      </w:r>
      <w:r>
        <w:rPr>
          <w:rFonts w:hint="default" w:ascii="Times New Roman" w:hAnsi="Times New Roman" w:eastAsia="仿宋_GB2312" w:cs="Times New Roman"/>
          <w:color w:val="auto"/>
          <w:sz w:val="32"/>
          <w:szCs w:val="32"/>
          <w:highlight w:val="none"/>
          <w:lang w:val="en-US" w:eastAsia="zh-CN"/>
        </w:rPr>
        <w:t>审慎开展大额信贷业务，</w:t>
      </w:r>
      <w:r>
        <w:rPr>
          <w:rFonts w:hint="default" w:ascii="Times New Roman" w:hAnsi="Times New Roman" w:eastAsia="仿宋_GB2312" w:cs="Times New Roman"/>
          <w:color w:val="auto"/>
          <w:sz w:val="32"/>
          <w:szCs w:val="32"/>
          <w:highlight w:val="none"/>
          <w:shd w:val="clear" w:color="auto" w:fill="FFFFFF"/>
          <w:lang w:val="en-US" w:eastAsia="zh-CN"/>
        </w:rPr>
        <w:t>逐步有序优化信贷结构</w:t>
      </w:r>
      <w:r>
        <w:rPr>
          <w:rFonts w:hint="eastAsia" w:ascii="Times New Roman" w:hAnsi="Times New Roman" w:eastAsia="仿宋_GB2312" w:cs="Times New Roman"/>
          <w:color w:val="auto"/>
          <w:sz w:val="32"/>
          <w:szCs w:val="32"/>
          <w:highlight w:val="none"/>
          <w:shd w:val="clear" w:color="auto" w:fill="FFFFFF"/>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shd w:val="clear" w:color="auto" w:fill="FFFFFF"/>
          <w:lang w:val="en-US" w:eastAsia="zh-CN"/>
        </w:rPr>
        <w:t>（2）</w:t>
      </w:r>
      <w:r>
        <w:rPr>
          <w:rFonts w:hint="default" w:ascii="Times New Roman" w:hAnsi="Times New Roman" w:eastAsia="仿宋_GB2312" w:cs="Times New Roman"/>
          <w:color w:val="auto"/>
          <w:sz w:val="32"/>
          <w:szCs w:val="32"/>
          <w:highlight w:val="none"/>
          <w:shd w:val="clear" w:color="auto" w:fill="FFFFFF"/>
          <w:lang w:val="en-US" w:eastAsia="zh-CN"/>
        </w:rPr>
        <w:t>拓宽揽储渠道，提高服务水平，</w:t>
      </w:r>
      <w:r>
        <w:rPr>
          <w:rFonts w:hint="default" w:ascii="Times New Roman" w:hAnsi="Times New Roman" w:eastAsia="仿宋_GB2312" w:cs="Times New Roman"/>
          <w:color w:val="auto"/>
          <w:sz w:val="32"/>
          <w:szCs w:val="32"/>
          <w:highlight w:val="none"/>
          <w:lang w:val="en-US" w:eastAsia="zh-CN"/>
        </w:rPr>
        <w:t>合理申请人行再贷款，</w:t>
      </w:r>
      <w:r>
        <w:rPr>
          <w:rFonts w:hint="default" w:ascii="Times New Roman" w:hAnsi="Times New Roman" w:eastAsia="仿宋_GB2312" w:cs="Times New Roman"/>
          <w:color w:val="auto"/>
          <w:sz w:val="32"/>
          <w:szCs w:val="32"/>
          <w:highlight w:val="none"/>
        </w:rPr>
        <w:t>进一步强化活期和低成本优质对公存款营销</w:t>
      </w:r>
      <w:r>
        <w:rPr>
          <w:rFonts w:hint="default" w:ascii="Times New Roman" w:hAnsi="Times New Roman" w:eastAsia="仿宋_GB2312" w:cs="Times New Roman"/>
          <w:color w:val="auto"/>
          <w:sz w:val="32"/>
          <w:szCs w:val="32"/>
          <w:highlight w:val="none"/>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lang w:val="en-US" w:eastAsia="zh-CN"/>
        </w:rPr>
        <w:t>围绕“四新”主攻“四化”主战略</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贯彻落实</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国发2号</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文件、金融助力乡村振兴等重大方针政策，进一步摸清当地客群定位、</w:t>
      </w:r>
      <w:r>
        <w:rPr>
          <w:rFonts w:hint="default" w:ascii="Times New Roman" w:hAnsi="Times New Roman" w:eastAsia="仿宋_GB2312" w:cs="Times New Roman"/>
          <w:color w:val="auto"/>
          <w:sz w:val="32"/>
          <w:szCs w:val="32"/>
          <w:highlight w:val="none"/>
          <w:lang w:val="en-US" w:eastAsia="zh-CN"/>
        </w:rPr>
        <w:t>产业发展、市场主体、金融需求情况，结合实际创新金融服务和金融产品，重点在支农支小、乡村振兴上聚焦发力。</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持续</w:t>
      </w:r>
      <w:r>
        <w:rPr>
          <w:rFonts w:hint="default" w:ascii="Times New Roman" w:hAnsi="Times New Roman" w:eastAsia="仿宋_GB2312" w:cs="Times New Roman"/>
          <w:color w:val="auto"/>
          <w:sz w:val="32"/>
          <w:szCs w:val="32"/>
          <w:highlight w:val="none"/>
        </w:rPr>
        <w:t>做好社保卡发行</w:t>
      </w:r>
      <w:r>
        <w:rPr>
          <w:rFonts w:hint="default" w:ascii="Times New Roman" w:hAnsi="Times New Roman" w:eastAsia="仿宋_GB2312" w:cs="Times New Roman"/>
          <w:color w:val="auto"/>
          <w:sz w:val="32"/>
          <w:szCs w:val="32"/>
          <w:highlight w:val="none"/>
          <w:lang w:val="en-US" w:eastAsia="zh-CN"/>
        </w:rPr>
        <w:t>工作</w:t>
      </w:r>
      <w:r>
        <w:rPr>
          <w:rFonts w:hint="default" w:ascii="Times New Roman" w:hAnsi="Times New Roman" w:eastAsia="仿宋_GB2312" w:cs="Times New Roman"/>
          <w:color w:val="auto"/>
          <w:sz w:val="32"/>
          <w:szCs w:val="32"/>
          <w:highlight w:val="none"/>
          <w:shd w:val="clear" w:color="auto" w:fill="FFFFFF"/>
        </w:rPr>
        <w:t>，推进“社银一体化”合作，争取更多补贴资金代发</w:t>
      </w:r>
      <w:r>
        <w:rPr>
          <w:rFonts w:hint="default" w:ascii="Times New Roman" w:hAnsi="Times New Roman" w:eastAsia="仿宋_GB2312" w:cs="Times New Roman"/>
          <w:color w:val="auto"/>
          <w:sz w:val="32"/>
          <w:szCs w:val="32"/>
          <w:highlight w:val="none"/>
          <w:shd w:val="clear" w:color="auto" w:fill="FFFFFF"/>
          <w:lang w:eastAsia="zh-CN"/>
        </w:rPr>
        <w:t>，</w:t>
      </w:r>
      <w:r>
        <w:rPr>
          <w:rFonts w:hint="default" w:ascii="Times New Roman" w:hAnsi="Times New Roman" w:eastAsia="仿宋_GB2312" w:cs="Times New Roman"/>
          <w:color w:val="auto"/>
          <w:sz w:val="32"/>
          <w:szCs w:val="32"/>
          <w:highlight w:val="none"/>
          <w:shd w:val="clear" w:color="auto" w:fill="FFFFFF"/>
          <w:lang w:val="en-US" w:eastAsia="zh-CN"/>
        </w:rPr>
        <w:t>尝试以社保卡为突破口培育年轻客户</w:t>
      </w:r>
      <w:r>
        <w:rPr>
          <w:rFonts w:hint="default" w:ascii="Times New Roman" w:hAnsi="Times New Roman" w:eastAsia="仿宋_GB2312" w:cs="Times New Roman"/>
          <w:color w:val="auto"/>
          <w:sz w:val="32"/>
          <w:szCs w:val="32"/>
          <w:highlight w:val="none"/>
          <w:lang w:val="en-US" w:eastAsia="zh-CN"/>
        </w:rPr>
        <w:t>。</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加强信贷准入管控与监督检查，在处置存量风险时</w:t>
      </w:r>
      <w:r>
        <w:rPr>
          <w:rFonts w:hint="default" w:ascii="Times New Roman" w:hAnsi="Times New Roman" w:eastAsia="仿宋_GB2312" w:cs="Times New Roman"/>
          <w:color w:val="auto"/>
          <w:kern w:val="2"/>
          <w:sz w:val="32"/>
          <w:szCs w:val="32"/>
          <w:highlight w:val="none"/>
          <w:lang w:val="en-US" w:eastAsia="zh-CN" w:bidi="ar-SA"/>
        </w:rPr>
        <w:t>强化新增风险管控，</w:t>
      </w:r>
      <w:r>
        <w:rPr>
          <w:rFonts w:hint="default" w:ascii="Times New Roman" w:hAnsi="Times New Roman" w:eastAsia="仿宋_GB2312" w:cs="Times New Roman"/>
          <w:color w:val="auto"/>
          <w:sz w:val="32"/>
          <w:szCs w:val="32"/>
          <w:highlight w:val="none"/>
          <w:lang w:val="en-US" w:eastAsia="zh-CN"/>
        </w:rPr>
        <w:t>保证新增贷款质量，</w:t>
      </w:r>
      <w:r>
        <w:rPr>
          <w:rFonts w:hint="default" w:ascii="Times New Roman" w:hAnsi="Times New Roman" w:eastAsia="仿宋_GB2312" w:cs="Times New Roman"/>
          <w:color w:val="auto"/>
          <w:kern w:val="2"/>
          <w:sz w:val="32"/>
          <w:szCs w:val="32"/>
          <w:highlight w:val="none"/>
          <w:lang w:val="en-US" w:eastAsia="zh-CN" w:bidi="ar-SA"/>
        </w:rPr>
        <w:t>严控新增贷款逾期率。</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lang w:val="en-US" w:eastAsia="zh-CN"/>
        </w:rPr>
        <w:t>针对监管检查、巡察反馈我行存在问题，会同行纪委持续对问题整改进行监督，</w:t>
      </w:r>
      <w:r>
        <w:rPr>
          <w:rFonts w:hint="default" w:ascii="Times New Roman" w:hAnsi="Times New Roman" w:eastAsia="仿宋_GB2312" w:cs="Times New Roman"/>
          <w:color w:val="auto"/>
          <w:sz w:val="32"/>
          <w:szCs w:val="32"/>
          <w:highlight w:val="none"/>
        </w:rPr>
        <w:t>对</w:t>
      </w:r>
      <w:r>
        <w:rPr>
          <w:rFonts w:hint="default" w:ascii="Times New Roman" w:hAnsi="Times New Roman" w:eastAsia="仿宋_GB2312" w:cs="Times New Roman"/>
          <w:color w:val="auto"/>
          <w:sz w:val="32"/>
          <w:szCs w:val="32"/>
          <w:highlight w:val="none"/>
          <w:lang w:val="en-US" w:eastAsia="zh-CN"/>
        </w:rPr>
        <w:t>各条线存在问题整改情况开展督促，</w:t>
      </w:r>
      <w:r>
        <w:rPr>
          <w:rFonts w:hint="default" w:ascii="Times New Roman" w:hAnsi="Times New Roman" w:eastAsia="仿宋_GB2312" w:cs="Times New Roman"/>
          <w:b w:val="0"/>
          <w:bCs w:val="0"/>
          <w:color w:val="auto"/>
          <w:sz w:val="32"/>
          <w:szCs w:val="32"/>
          <w:highlight w:val="none"/>
          <w:lang w:val="en-US" w:eastAsia="zh-CN"/>
        </w:rPr>
        <w:t>下发《监督意见书》《督办通知书》，</w:t>
      </w:r>
      <w:r>
        <w:rPr>
          <w:rFonts w:hint="default" w:ascii="Times New Roman" w:hAnsi="Times New Roman" w:eastAsia="仿宋_GB2312" w:cs="Times New Roman"/>
          <w:color w:val="auto"/>
          <w:sz w:val="32"/>
          <w:szCs w:val="32"/>
          <w:highlight w:val="none"/>
          <w:lang w:val="en-US" w:eastAsia="zh-CN"/>
        </w:rPr>
        <w:t>促进各类问题整改取得成效</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综上所述，</w:t>
      </w:r>
      <w:r>
        <w:rPr>
          <w:rFonts w:hint="default" w:ascii="Times New Roman" w:hAnsi="Times New Roman" w:eastAsia="仿宋_GB2312" w:cs="Times New Roman"/>
          <w:color w:val="auto"/>
          <w:sz w:val="32"/>
          <w:szCs w:val="32"/>
          <w:highlight w:val="none"/>
        </w:rPr>
        <w:t>董事会聘任的高级管理人员，在经营管理过程中，总体上能够贯彻落实</w:t>
      </w:r>
      <w:r>
        <w:rPr>
          <w:rFonts w:hint="default" w:ascii="Times New Roman" w:hAnsi="Times New Roman" w:eastAsia="仿宋_GB2312" w:cs="Times New Roman"/>
          <w:color w:val="auto"/>
          <w:sz w:val="32"/>
          <w:szCs w:val="32"/>
          <w:highlight w:val="none"/>
          <w:lang w:val="en-US" w:eastAsia="zh-CN"/>
        </w:rPr>
        <w:t>董事会通过的各项决议，</w:t>
      </w:r>
      <w:r>
        <w:rPr>
          <w:rFonts w:hint="default" w:ascii="Times New Roman" w:hAnsi="Times New Roman" w:eastAsia="仿宋_GB2312" w:cs="Times New Roman"/>
          <w:color w:val="auto"/>
          <w:sz w:val="32"/>
          <w:szCs w:val="32"/>
          <w:highlight w:val="none"/>
        </w:rPr>
        <w:t>未发现决而不行、行而未果的情况</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未发现有损害安顺农商银行和股东利益的行为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未发现董事、监事、高级管理人员存在泄漏本行秘密、利用职务便利为本人或他人谋取不正当利益、损害本行及股东利益以及其他违反法律法规和章程规定的行为</w:t>
      </w:r>
      <w:r>
        <w:rPr>
          <w:rFonts w:hint="default" w:ascii="Times New Roman" w:hAnsi="Times New Roman" w:eastAsia="仿宋_GB2312" w:cs="Times New Roman"/>
          <w:color w:val="auto"/>
          <w:sz w:val="32"/>
          <w:szCs w:val="32"/>
          <w:highlight w:val="none"/>
        </w:rPr>
        <w:t>。</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（二）对财务状况和经营成果的监督</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rPr>
        <w:t>1.督促推动财务管理制度机制建立健全。</w:t>
      </w:r>
      <w:r>
        <w:rPr>
          <w:rFonts w:hint="default" w:ascii="Times New Roman" w:hAnsi="Times New Roman" w:eastAsia="仿宋_GB2312" w:cs="Times New Roman"/>
          <w:color w:val="auto"/>
          <w:kern w:val="2"/>
          <w:sz w:val="32"/>
          <w:szCs w:val="32"/>
          <w:highlight w:val="none"/>
          <w:lang w:val="en-US" w:eastAsia="zh-CN"/>
        </w:rPr>
        <w:t>督促财务部</w:t>
      </w:r>
      <w:r>
        <w:rPr>
          <w:rFonts w:hint="default" w:ascii="Times New Roman" w:hAnsi="Times New Roman" w:eastAsia="仿宋_GB2312" w:cs="Times New Roman"/>
          <w:color w:val="auto"/>
          <w:sz w:val="32"/>
          <w:szCs w:val="32"/>
          <w:highlight w:val="none"/>
          <w:lang w:val="en-US" w:eastAsia="zh-CN"/>
        </w:rPr>
        <w:t>制定《安顺农村商业银行股份有限公司全面预算管理办法》《安顺农村商业银行股份有限公司2024年“党建+全面预算”推进业财融合工作方案》，强化全面预算管理，推进全面预算有效落实。</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rPr>
        <w:t>2.监督落实“降本增效”政策落地。</w:t>
      </w:r>
      <w:r>
        <w:rPr>
          <w:rFonts w:hint="default" w:ascii="Times New Roman" w:hAnsi="Times New Roman" w:eastAsia="仿宋_GB2312" w:cs="Times New Roman"/>
          <w:color w:val="auto"/>
          <w:kern w:val="2"/>
          <w:sz w:val="32"/>
          <w:szCs w:val="32"/>
          <w:highlight w:val="none"/>
          <w:lang w:val="en-US" w:eastAsia="zh-CN"/>
        </w:rPr>
        <w:t>督促财务部</w:t>
      </w:r>
      <w:r>
        <w:rPr>
          <w:rFonts w:hint="default" w:ascii="Times New Roman" w:hAnsi="Times New Roman" w:eastAsia="仿宋_GB2312" w:cs="Times New Roman"/>
          <w:color w:val="auto"/>
          <w:sz w:val="32"/>
          <w:szCs w:val="32"/>
          <w:highlight w:val="none"/>
        </w:rPr>
        <w:t>持续强化费用管控，</w:t>
      </w:r>
      <w:r>
        <w:rPr>
          <w:rFonts w:hint="default" w:ascii="Times New Roman" w:hAnsi="Times New Roman" w:eastAsia="仿宋_GB2312" w:cs="Times New Roman"/>
          <w:color w:val="auto"/>
          <w:spacing w:val="-3"/>
          <w:sz w:val="32"/>
          <w:szCs w:val="32"/>
          <w:highlight w:val="none"/>
        </w:rPr>
        <w:t>在确保财务资源充分保障业务发展的同时，充分发挥费用的效能，</w:t>
      </w:r>
      <w:r>
        <w:rPr>
          <w:rFonts w:hint="eastAsia" w:ascii="Times New Roman" w:hAnsi="Times New Roman" w:eastAsia="仿宋_GB2312" w:cs="Times New Roman"/>
          <w:color w:val="auto"/>
          <w:sz w:val="32"/>
          <w:szCs w:val="32"/>
          <w:highlight w:val="none"/>
          <w:lang w:val="en-US" w:eastAsia="zh-CN"/>
        </w:rPr>
        <w:t>落实省联社关于</w:t>
      </w:r>
      <w:r>
        <w:rPr>
          <w:rFonts w:hint="default" w:ascii="Times New Roman" w:hAnsi="Times New Roman" w:eastAsia="仿宋_GB2312" w:cs="Times New Roman"/>
          <w:color w:val="auto"/>
          <w:sz w:val="32"/>
          <w:szCs w:val="32"/>
          <w:highlight w:val="none"/>
        </w:rPr>
        <w:t>成本收入比</w:t>
      </w:r>
      <w:r>
        <w:rPr>
          <w:rFonts w:hint="eastAsia" w:ascii="Times New Roman" w:hAnsi="Times New Roman" w:eastAsia="仿宋_GB2312" w:cs="Times New Roman"/>
          <w:color w:val="auto"/>
          <w:sz w:val="32"/>
          <w:szCs w:val="32"/>
          <w:highlight w:val="none"/>
          <w:lang w:eastAsia="zh-CN"/>
        </w:rPr>
        <w:t>的</w:t>
      </w:r>
      <w:r>
        <w:rPr>
          <w:rFonts w:hint="default" w:ascii="Times New Roman" w:hAnsi="Times New Roman" w:eastAsia="仿宋_GB2312" w:cs="Times New Roman"/>
          <w:color w:val="auto"/>
          <w:sz w:val="32"/>
          <w:szCs w:val="32"/>
          <w:highlight w:val="none"/>
        </w:rPr>
        <w:t>压降</w:t>
      </w:r>
      <w:r>
        <w:rPr>
          <w:rFonts w:hint="default" w:ascii="Times New Roman" w:hAnsi="Times New Roman" w:eastAsia="仿宋_GB2312" w:cs="Times New Roman"/>
          <w:color w:val="auto"/>
          <w:sz w:val="32"/>
          <w:szCs w:val="32"/>
          <w:highlight w:val="none"/>
          <w:lang w:val="en-US" w:eastAsia="zh-CN"/>
        </w:rPr>
        <w:t>目标。</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rPr>
        <w:t>3.强化反诈工作监督力度。督导计划财务部</w:t>
      </w:r>
      <w:r>
        <w:rPr>
          <w:rFonts w:hint="default" w:ascii="Times New Roman" w:hAnsi="Times New Roman" w:eastAsia="仿宋_GB2312" w:cs="Times New Roman"/>
          <w:color w:val="auto"/>
          <w:sz w:val="32"/>
          <w:szCs w:val="32"/>
          <w:highlight w:val="none"/>
          <w:lang w:val="en-US" w:eastAsia="zh-CN"/>
        </w:rPr>
        <w:t>制定</w:t>
      </w:r>
      <w:r>
        <w:rPr>
          <w:rFonts w:hint="default" w:ascii="Times New Roman" w:hAnsi="Times New Roman" w:eastAsia="仿宋_GB2312" w:cs="Times New Roman"/>
          <w:color w:val="auto"/>
          <w:kern w:val="0"/>
          <w:sz w:val="32"/>
          <w:szCs w:val="32"/>
          <w:highlight w:val="none"/>
          <w:lang w:bidi="ar"/>
        </w:rPr>
        <w:t>《安顺农村商业银行股份有限公司2024年打击治理电信网络新型违法犯罪工作方案</w:t>
      </w:r>
      <w:r>
        <w:rPr>
          <w:rFonts w:hint="default" w:ascii="Times New Roman" w:hAnsi="Times New Roman" w:eastAsia="仿宋_GB2312" w:cs="Times New Roman"/>
          <w:color w:val="auto"/>
          <w:kern w:val="0"/>
          <w:sz w:val="32"/>
          <w:szCs w:val="32"/>
          <w:highlight w:val="none"/>
          <w:lang w:eastAsia="zh-CN" w:bidi="ar"/>
        </w:rPr>
        <w:t>》（安农商办函〔2024〕58号）</w:t>
      </w:r>
      <w:r>
        <w:rPr>
          <w:rFonts w:hint="default" w:ascii="Times New Roman" w:hAnsi="Times New Roman" w:eastAsia="仿宋_GB2312" w:cs="Times New Roman"/>
          <w:color w:val="auto"/>
          <w:kern w:val="0"/>
          <w:sz w:val="32"/>
          <w:szCs w:val="32"/>
          <w:highlight w:val="none"/>
          <w:lang w:bidi="ar"/>
        </w:rPr>
        <w:t>，</w:t>
      </w:r>
      <w:r>
        <w:rPr>
          <w:rFonts w:hint="default" w:ascii="Times New Roman" w:hAnsi="Times New Roman" w:eastAsia="仿宋_GB2312" w:cs="Times New Roman"/>
          <w:color w:val="auto"/>
          <w:kern w:val="0"/>
          <w:sz w:val="32"/>
          <w:szCs w:val="32"/>
          <w:highlight w:val="none"/>
          <w:lang w:val="en-US" w:eastAsia="zh-CN" w:bidi="ar"/>
        </w:rPr>
        <w:t>制作反诈宣传视频</w:t>
      </w:r>
      <w:r>
        <w:rPr>
          <w:rFonts w:hint="default" w:ascii="Times New Roman" w:hAnsi="Times New Roman" w:eastAsia="仿宋_GB2312" w:cs="Times New Roman"/>
          <w:color w:val="auto"/>
          <w:sz w:val="32"/>
          <w:szCs w:val="32"/>
          <w:highlight w:val="none"/>
          <w:lang w:val="en-US" w:eastAsia="zh-CN"/>
        </w:rPr>
        <w:t>《“假”老板的真“陷阱”》，提升了反诈宣传覆盖面，</w:t>
      </w:r>
      <w:r>
        <w:rPr>
          <w:rFonts w:hint="default" w:ascii="Times New Roman" w:hAnsi="Times New Roman" w:eastAsia="仿宋_GB2312" w:cs="Times New Roman"/>
          <w:color w:val="auto"/>
          <w:kern w:val="0"/>
          <w:sz w:val="32"/>
          <w:szCs w:val="32"/>
          <w:highlight w:val="none"/>
          <w:lang w:val="en-US" w:eastAsia="zh-CN" w:bidi="ar"/>
        </w:rPr>
        <w:t>进一步提高</w:t>
      </w:r>
      <w:r>
        <w:rPr>
          <w:rFonts w:hint="default" w:ascii="Times New Roman" w:hAnsi="Times New Roman" w:eastAsia="仿宋_GB2312" w:cs="Times New Roman"/>
          <w:color w:val="auto"/>
          <w:sz w:val="32"/>
          <w:szCs w:val="32"/>
          <w:highlight w:val="none"/>
          <w:lang w:val="en-US" w:eastAsia="zh-CN"/>
        </w:rPr>
        <w:t>我行反诈工作成效</w:t>
      </w:r>
      <w:r>
        <w:rPr>
          <w:rFonts w:hint="eastAsia" w:ascii="Times New Roman" w:hAnsi="Times New Roman" w:eastAsia="仿宋_GB2312" w:cs="Times New Roman"/>
          <w:color w:val="auto"/>
          <w:sz w:val="32"/>
          <w:szCs w:val="32"/>
          <w:highlight w:val="none"/>
          <w:lang w:val="en-US" w:eastAsia="zh-CN"/>
        </w:rPr>
        <w:t>，履行社会责任</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kern w:val="2"/>
          <w:sz w:val="32"/>
          <w:szCs w:val="32"/>
          <w:highlight w:val="none"/>
          <w:lang w:val="en-US" w:eastAsia="zh-CN"/>
        </w:rPr>
        <w:t>4.密切关注重要监管指标</w:t>
      </w:r>
      <w:r>
        <w:rPr>
          <w:rFonts w:hint="default" w:ascii="Times New Roman" w:hAnsi="Times New Roman" w:eastAsia="仿宋_GB2312" w:cs="Times New Roman"/>
          <w:color w:val="auto"/>
          <w:kern w:val="2"/>
          <w:sz w:val="32"/>
          <w:szCs w:val="32"/>
          <w:highlight w:val="none"/>
          <w:lang w:val="en-US" w:eastAsia="zh-CN"/>
        </w:rPr>
        <w:t>。</w:t>
      </w:r>
      <w:r>
        <w:rPr>
          <w:rFonts w:hint="default" w:ascii="Times New Roman" w:hAnsi="Times New Roman" w:eastAsia="仿宋_GB2312" w:cs="Times New Roman"/>
          <w:color w:val="auto"/>
          <w:sz w:val="32"/>
          <w:szCs w:val="32"/>
          <w:highlight w:val="none"/>
        </w:rPr>
        <w:t>截止2024年12月末，安顺农商银行各项存款余额131.87亿元，各项贷款余额116.17亿元，资产总额171亿元，负债总额157.04亿元，所有者权益13.96亿元。各项收入8.66亿元，各项支出7.89亿元，营业利润0.79亿元，税前利润0.77亿元，税后利润0.67亿元。资本充足率12.3%，五级分类不良贷款余额为4.76亿元，不良贷款率为4.1%，拨备覆盖率为167.04%。</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rPr>
        <w:t>监事会经认真审查后认为：报告期内</w:t>
      </w:r>
      <w:r>
        <w:rPr>
          <w:rFonts w:hint="default" w:ascii="Times New Roman" w:hAnsi="Times New Roman" w:eastAsia="仿宋_GB2312" w:cs="Times New Roman"/>
          <w:color w:val="auto"/>
          <w:kern w:val="2"/>
          <w:sz w:val="32"/>
          <w:szCs w:val="32"/>
          <w:highlight w:val="none"/>
          <w:lang w:val="en-US" w:eastAsia="zh-CN"/>
        </w:rPr>
        <w:t>我行</w:t>
      </w:r>
      <w:r>
        <w:rPr>
          <w:rFonts w:hint="default" w:ascii="Times New Roman" w:hAnsi="Times New Roman" w:eastAsia="仿宋_GB2312" w:cs="Times New Roman"/>
          <w:color w:val="auto"/>
          <w:kern w:val="2"/>
          <w:sz w:val="32"/>
          <w:szCs w:val="32"/>
          <w:highlight w:val="none"/>
        </w:rPr>
        <w:t>依法</w:t>
      </w:r>
      <w:r>
        <w:rPr>
          <w:rFonts w:hint="default" w:ascii="Times New Roman" w:hAnsi="Times New Roman" w:eastAsia="仿宋_GB2312" w:cs="Times New Roman"/>
          <w:color w:val="auto"/>
          <w:kern w:val="2"/>
          <w:sz w:val="32"/>
          <w:szCs w:val="32"/>
          <w:highlight w:val="none"/>
          <w:lang w:val="en-US" w:eastAsia="zh-CN"/>
        </w:rPr>
        <w:t>合规</w:t>
      </w:r>
      <w:r>
        <w:rPr>
          <w:rFonts w:hint="default" w:ascii="Times New Roman" w:hAnsi="Times New Roman" w:eastAsia="仿宋_GB2312" w:cs="Times New Roman"/>
          <w:color w:val="auto"/>
          <w:kern w:val="2"/>
          <w:sz w:val="32"/>
          <w:szCs w:val="32"/>
          <w:highlight w:val="none"/>
        </w:rPr>
        <w:t>经营、规范管理、业绩真实</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会计无重大遗漏和虚假记载，各项指标逐渐向好发展，公司财务状况、经营成果及现金流量情况良好。</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（三）对合规、风险和内控执行情况的监督</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contextualSpacing/>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年，安顺农商银行持续强化合规</w:t>
      </w:r>
      <w:r>
        <w:rPr>
          <w:rFonts w:hint="eastAsia" w:ascii="Times New Roman" w:hAnsi="Times New Roman" w:eastAsia="仿宋_GB2312" w:cs="Times New Roman"/>
          <w:color w:val="auto"/>
          <w:sz w:val="32"/>
          <w:szCs w:val="32"/>
          <w:highlight w:val="none"/>
          <w:lang w:val="en-US" w:eastAsia="zh-CN"/>
        </w:rPr>
        <w:t>建设</w:t>
      </w:r>
      <w:r>
        <w:rPr>
          <w:rFonts w:hint="default" w:ascii="Times New Roman" w:hAnsi="Times New Roman" w:eastAsia="仿宋_GB2312" w:cs="Times New Roman"/>
          <w:color w:val="auto"/>
          <w:sz w:val="32"/>
          <w:szCs w:val="32"/>
          <w:highlight w:val="none"/>
        </w:rPr>
        <w:t>、风险管理及内控建设，</w:t>
      </w:r>
      <w:r>
        <w:rPr>
          <w:rFonts w:hint="default" w:ascii="Times New Roman" w:hAnsi="Times New Roman" w:eastAsia="仿宋_GB2312" w:cs="Times New Roman"/>
          <w:color w:val="auto"/>
          <w:sz w:val="32"/>
          <w:szCs w:val="32"/>
          <w:highlight w:val="none"/>
          <w:lang w:val="en-US" w:eastAsia="zh-CN"/>
        </w:rPr>
        <w:t>监事会不断加强监督力度，具体情况如下：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1.对案件风险防控的监督。</w:t>
      </w:r>
      <w:r>
        <w:rPr>
          <w:rFonts w:hint="default" w:ascii="Times New Roman" w:hAnsi="Times New Roman" w:eastAsia="仿宋_GB2312" w:cs="Times New Roman"/>
          <w:b w:val="0"/>
          <w:bCs w:val="0"/>
          <w:color w:val="auto"/>
          <w:sz w:val="32"/>
          <w:szCs w:val="32"/>
          <w:highlight w:val="none"/>
          <w:lang w:val="en-US" w:eastAsia="zh-CN"/>
        </w:rPr>
        <w:t>监事会从几个方面</w:t>
      </w:r>
      <w:r>
        <w:rPr>
          <w:rFonts w:hint="default" w:ascii="Times New Roman" w:hAnsi="Times New Roman" w:eastAsia="仿宋_GB2312" w:cs="Times New Roman"/>
          <w:color w:val="auto"/>
          <w:sz w:val="32"/>
          <w:szCs w:val="32"/>
          <w:highlight w:val="none"/>
          <w:lang w:val="en-US" w:eastAsia="zh-CN"/>
        </w:rPr>
        <w:t>督促案防牵头部门做好案件风险防控工作：</w:t>
      </w:r>
      <w:r>
        <w:rPr>
          <w:rFonts w:hint="eastAsia" w:ascii="黑体" w:hAnsi="黑体" w:eastAsia="黑体" w:cs="黑体"/>
          <w:b w:val="0"/>
          <w:bCs w:val="0"/>
          <w:color w:val="auto"/>
          <w:spacing w:val="0"/>
          <w:kern w:val="2"/>
          <w:sz w:val="32"/>
          <w:szCs w:val="32"/>
          <w:highlight w:val="none"/>
          <w:lang w:val="en-US" w:eastAsia="zh-CN" w:bidi="ar-SA"/>
        </w:rPr>
        <w:t>一是</w:t>
      </w:r>
      <w:r>
        <w:rPr>
          <w:rFonts w:hint="default" w:ascii="Times New Roman" w:hAnsi="Times New Roman" w:eastAsia="仿宋_GB2312" w:cs="Times New Roman"/>
          <w:color w:val="auto"/>
          <w:sz w:val="32"/>
          <w:szCs w:val="32"/>
          <w:highlight w:val="none"/>
        </w:rPr>
        <w:t>制定</w:t>
      </w:r>
      <w:r>
        <w:rPr>
          <w:rFonts w:hint="default" w:ascii="Times New Roman" w:hAnsi="Times New Roman" w:eastAsia="仿宋_GB2312" w:cs="Times New Roman"/>
          <w:b w:val="0"/>
          <w:bCs w:val="0"/>
          <w:color w:val="auto"/>
          <w:kern w:val="2"/>
          <w:sz w:val="32"/>
          <w:szCs w:val="32"/>
          <w:highlight w:val="none"/>
          <w:lang w:val="en-US" w:eastAsia="zh-CN" w:bidi="ar-SA"/>
        </w:rPr>
        <w:t>不良资产保全清收考核、</w:t>
      </w:r>
      <w:r>
        <w:rPr>
          <w:rFonts w:hint="default" w:ascii="Times New Roman" w:hAnsi="Times New Roman" w:eastAsia="仿宋_GB2312" w:cs="Times New Roman"/>
          <w:b w:val="0"/>
          <w:bCs w:val="0"/>
          <w:color w:val="auto"/>
          <w:sz w:val="32"/>
          <w:szCs w:val="32"/>
          <w:highlight w:val="none"/>
          <w:lang w:val="en-US" w:eastAsia="zh-CN"/>
        </w:rPr>
        <w:t>“挂息转本”贷款压降处置</w:t>
      </w:r>
      <w:r>
        <w:rPr>
          <w:rFonts w:hint="default" w:ascii="Times New Roman" w:hAnsi="Times New Roman" w:eastAsia="仿宋_GB2312" w:cs="Times New Roman"/>
          <w:color w:val="auto"/>
          <w:kern w:val="2"/>
          <w:sz w:val="32"/>
          <w:szCs w:val="32"/>
          <w:highlight w:val="none"/>
          <w:lang w:val="en-US" w:eastAsia="zh-CN" w:bidi="ar-SA"/>
        </w:rPr>
        <w:t>等方案</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大额关联系列贷款实行“一户一策”管理处置分层机制，常态化进行调度处置，压紧压实清收中心、支行落实贷款管理主体责任，</w:t>
      </w:r>
      <w:r>
        <w:rPr>
          <w:rFonts w:hint="default" w:ascii="Times New Roman" w:hAnsi="Times New Roman" w:eastAsia="仿宋_GB2312" w:cs="Times New Roman"/>
          <w:color w:val="auto"/>
          <w:sz w:val="32"/>
          <w:szCs w:val="32"/>
          <w:highlight w:val="none"/>
          <w:lang w:val="en-US" w:eastAsia="zh-CN"/>
        </w:rPr>
        <w:t>加大信用风险处置力度；</w:t>
      </w:r>
      <w:r>
        <w:rPr>
          <w:rFonts w:hint="default" w:ascii="Times New Roman" w:hAnsi="Times New Roman" w:eastAsia="仿宋_GB2312" w:cs="Times New Roman"/>
          <w:b w:val="0"/>
          <w:bCs w:val="0"/>
          <w:color w:val="auto"/>
          <w:spacing w:val="0"/>
          <w:kern w:val="2"/>
          <w:sz w:val="32"/>
          <w:szCs w:val="32"/>
          <w:highlight w:val="none"/>
          <w:lang w:val="en-US" w:eastAsia="zh-CN" w:bidi="ar-SA"/>
        </w:rPr>
        <w:t>对大额贷款风险隐患做到早预防、早发现、早处置，符合处置化解条件的大额贷款做到应处置尽处置，持续做好存量风险压降工作。</w:t>
      </w:r>
      <w:r>
        <w:rPr>
          <w:rFonts w:hint="eastAsia" w:ascii="黑体" w:hAnsi="黑体" w:eastAsia="黑体" w:cs="黑体"/>
          <w:b w:val="0"/>
          <w:bCs/>
          <w:color w:val="auto"/>
          <w:sz w:val="32"/>
          <w:szCs w:val="32"/>
          <w:highlight w:val="none"/>
          <w:lang w:val="en-US" w:eastAsia="zh-CN"/>
        </w:rPr>
        <w:t>二是</w:t>
      </w:r>
      <w:r>
        <w:rPr>
          <w:rFonts w:hint="default" w:ascii="Times New Roman" w:hAnsi="Times New Roman" w:eastAsia="仿宋_GB2312" w:cs="Times New Roman"/>
          <w:b w:val="0"/>
          <w:bCs w:val="0"/>
          <w:color w:val="auto"/>
          <w:spacing w:val="0"/>
          <w:kern w:val="2"/>
          <w:sz w:val="32"/>
          <w:szCs w:val="32"/>
          <w:highlight w:val="none"/>
          <w:lang w:val="en-US" w:eastAsia="zh-CN" w:bidi="ar-SA"/>
        </w:rPr>
        <w:t>落实防范化解金融风险相关工作要求，采取降低政府融资成本、展期、重组及延长还本付息期限等方式逐步缓释政府平台贷款风险。</w:t>
      </w:r>
      <w:r>
        <w:rPr>
          <w:rFonts w:hint="eastAsia" w:ascii="黑体" w:hAnsi="黑体" w:eastAsia="黑体" w:cs="黑体"/>
          <w:b w:val="0"/>
          <w:bCs w:val="0"/>
          <w:color w:val="auto"/>
          <w:sz w:val="32"/>
          <w:szCs w:val="32"/>
          <w:highlight w:val="none"/>
          <w:lang w:val="en-US" w:eastAsia="zh-CN"/>
        </w:rPr>
        <w:t>三是</w:t>
      </w:r>
      <w:r>
        <w:rPr>
          <w:rFonts w:hint="default" w:ascii="Times New Roman" w:hAnsi="Times New Roman" w:eastAsia="仿宋_GB2312" w:cs="Times New Roman"/>
          <w:b w:val="0"/>
          <w:color w:val="auto"/>
          <w:sz w:val="32"/>
          <w:szCs w:val="32"/>
          <w:highlight w:val="none"/>
          <w:lang w:val="en-US" w:eastAsia="zh-CN"/>
        </w:rPr>
        <w:t>依托监管预警系统、风险预警系统做好监控监测员工账户流水，对异常行为及时下发风险提示、工作提示。</w:t>
      </w:r>
      <w:r>
        <w:rPr>
          <w:rFonts w:hint="eastAsia" w:ascii="黑体" w:hAnsi="黑体" w:eastAsia="黑体" w:cs="黑体"/>
          <w:b w:val="0"/>
          <w:bCs w:val="0"/>
          <w:color w:val="auto"/>
          <w:sz w:val="32"/>
          <w:szCs w:val="32"/>
          <w:highlight w:val="none"/>
          <w:lang w:val="en-US" w:eastAsia="zh-CN"/>
        </w:rPr>
        <w:t>四是</w:t>
      </w:r>
      <w:r>
        <w:rPr>
          <w:rFonts w:hint="default" w:ascii="Times New Roman" w:hAnsi="Times New Roman" w:eastAsia="仿宋_GB2312" w:cs="Times New Roman"/>
          <w:color w:val="auto"/>
          <w:sz w:val="32"/>
          <w:szCs w:val="32"/>
          <w:highlight w:val="none"/>
          <w:lang w:val="en-US" w:eastAsia="zh-CN"/>
        </w:rPr>
        <w:t>督促压实</w:t>
      </w:r>
      <w:r>
        <w:rPr>
          <w:rFonts w:hint="default" w:ascii="Times New Roman" w:hAnsi="Times New Roman" w:eastAsia="仿宋_GB2312" w:cs="Times New Roman"/>
          <w:b w:val="0"/>
          <w:bCs w:val="0"/>
          <w:color w:val="auto"/>
          <w:sz w:val="32"/>
          <w:szCs w:val="32"/>
          <w:highlight w:val="none"/>
          <w:lang w:val="en-US" w:eastAsia="zh-CN"/>
        </w:rPr>
        <w:t>案防责任。督促干部员工签订</w:t>
      </w:r>
      <w:r>
        <w:rPr>
          <w:rFonts w:hint="default" w:ascii="Times New Roman" w:hAnsi="Times New Roman" w:eastAsia="仿宋_GB2312" w:cs="Times New Roman"/>
          <w:color w:val="auto"/>
          <w:sz w:val="32"/>
          <w:szCs w:val="32"/>
          <w:highlight w:val="none"/>
          <w:lang w:val="en-US" w:eastAsia="zh-CN"/>
        </w:rPr>
        <w:t>《全面从严治党工作责任书》《案件防控责任书》</w:t>
      </w:r>
      <w:r>
        <w:rPr>
          <w:rFonts w:hint="default" w:ascii="Times New Roman" w:hAnsi="Times New Roman" w:eastAsia="仿宋_GB2312" w:cs="Times New Roman"/>
          <w:b w:val="0"/>
          <w:bCs w:val="0"/>
          <w:color w:val="auto"/>
          <w:kern w:val="2"/>
          <w:sz w:val="32"/>
          <w:szCs w:val="32"/>
          <w:highlight w:val="none"/>
          <w:lang w:val="en-US" w:eastAsia="zh-CN" w:bidi="ar-SA"/>
        </w:rPr>
        <w:t>《贵州农信合规承诺书》</w:t>
      </w:r>
      <w:r>
        <w:rPr>
          <w:rFonts w:hint="default" w:ascii="Times New Roman" w:hAnsi="Times New Roman" w:eastAsia="仿宋_GB2312" w:cs="Times New Roman"/>
          <w:color w:val="auto"/>
          <w:sz w:val="32"/>
          <w:szCs w:val="32"/>
          <w:highlight w:val="none"/>
          <w:lang w:val="en-US" w:eastAsia="zh-CN"/>
        </w:rPr>
        <w:t>等，</w:t>
      </w:r>
      <w:r>
        <w:rPr>
          <w:rFonts w:hint="default" w:ascii="Times New Roman" w:hAnsi="Times New Roman" w:eastAsia="仿宋_GB2312" w:cs="Times New Roman"/>
          <w:b w:val="0"/>
          <w:color w:val="auto"/>
          <w:sz w:val="32"/>
          <w:szCs w:val="32"/>
          <w:highlight w:val="none"/>
          <w:lang w:val="en-US" w:eastAsia="zh-CN"/>
        </w:rPr>
        <w:t>持续做好监督关键岗位、关键人员的八小时内外的行为管控工作。</w:t>
      </w:r>
      <w:r>
        <w:rPr>
          <w:rFonts w:hint="eastAsia" w:ascii="黑体" w:hAnsi="黑体" w:eastAsia="黑体" w:cs="黑体"/>
          <w:b w:val="0"/>
          <w:bCs w:val="0"/>
          <w:color w:val="auto"/>
          <w:sz w:val="32"/>
          <w:szCs w:val="32"/>
          <w:highlight w:val="none"/>
          <w:lang w:val="en-US" w:eastAsia="zh-CN"/>
        </w:rPr>
        <w:t>五是</w:t>
      </w:r>
      <w:r>
        <w:rPr>
          <w:rFonts w:hint="default" w:ascii="Times New Roman" w:hAnsi="Times New Roman" w:eastAsia="仿宋_GB2312" w:cs="Times New Roman"/>
          <w:b w:val="0"/>
          <w:bCs w:val="0"/>
          <w:color w:val="auto"/>
          <w:sz w:val="32"/>
          <w:szCs w:val="32"/>
          <w:highlight w:val="none"/>
          <w:lang w:val="en-US" w:eastAsia="zh-CN"/>
        </w:rPr>
        <w:t>重点对信贷、财务、柜面、风险管理重要岗位人员进行</w:t>
      </w:r>
      <w:r>
        <w:rPr>
          <w:rFonts w:hint="default" w:ascii="Times New Roman" w:hAnsi="Times New Roman" w:eastAsia="仿宋_GB2312" w:cs="Times New Roman"/>
          <w:color w:val="auto"/>
          <w:kern w:val="0"/>
          <w:sz w:val="32"/>
          <w:szCs w:val="32"/>
          <w:highlight w:val="none"/>
          <w:lang w:val="en-US" w:eastAsia="zh-CN"/>
        </w:rPr>
        <w:t>提醒谈话，</w:t>
      </w:r>
      <w:r>
        <w:rPr>
          <w:rFonts w:hint="default" w:ascii="Times New Roman" w:hAnsi="Times New Roman" w:eastAsia="仿宋_GB2312" w:cs="Times New Roman"/>
          <w:i w:val="0"/>
          <w:color w:val="auto"/>
          <w:kern w:val="0"/>
          <w:sz w:val="32"/>
          <w:szCs w:val="32"/>
          <w:highlight w:val="none"/>
          <w:u w:val="none"/>
          <w:lang w:val="en-US" w:eastAsia="zh-CN" w:bidi="ar"/>
        </w:rPr>
        <w:t>让其自觉带头廉洁自律、合规经营，</w:t>
      </w:r>
      <w:r>
        <w:rPr>
          <w:rFonts w:hint="default" w:ascii="Times New Roman" w:hAnsi="Times New Roman" w:eastAsia="仿宋_GB2312" w:cs="Times New Roman"/>
          <w:color w:val="auto"/>
          <w:sz w:val="32"/>
          <w:szCs w:val="32"/>
          <w:highlight w:val="none"/>
          <w:lang w:val="en-US" w:eastAsia="zh-CN"/>
        </w:rPr>
        <w:t>树立正确的人生观、价值观和政绩观，</w:t>
      </w:r>
      <w:r>
        <w:rPr>
          <w:rFonts w:hint="default" w:ascii="Times New Roman" w:hAnsi="Times New Roman" w:eastAsia="仿宋_GB2312" w:cs="Times New Roman"/>
          <w:color w:val="auto"/>
          <w:sz w:val="32"/>
          <w:szCs w:val="32"/>
          <w:highlight w:val="none"/>
        </w:rPr>
        <w:t>累计开展谈话</w:t>
      </w:r>
      <w:r>
        <w:rPr>
          <w:rFonts w:hint="default" w:ascii="Times New Roman" w:hAnsi="Times New Roman" w:eastAsia="仿宋_GB2312" w:cs="Times New Roman"/>
          <w:color w:val="auto"/>
          <w:sz w:val="32"/>
          <w:szCs w:val="32"/>
          <w:highlight w:val="none"/>
          <w:lang w:val="en-US" w:eastAsia="zh-CN"/>
        </w:rPr>
        <w:t>54</w:t>
      </w:r>
      <w:r>
        <w:rPr>
          <w:rFonts w:hint="default" w:ascii="Times New Roman" w:hAnsi="Times New Roman" w:eastAsia="仿宋_GB2312" w:cs="Times New Roman"/>
          <w:color w:val="auto"/>
          <w:sz w:val="32"/>
          <w:szCs w:val="32"/>
          <w:highlight w:val="none"/>
        </w:rPr>
        <w:t>人次</w:t>
      </w:r>
      <w:r>
        <w:rPr>
          <w:rFonts w:hint="default" w:ascii="Times New Roman" w:hAnsi="Times New Roman" w:eastAsia="仿宋_GB2312" w:cs="Times New Roman"/>
          <w:color w:val="auto"/>
          <w:kern w:val="0"/>
          <w:sz w:val="32"/>
          <w:szCs w:val="32"/>
          <w:highlight w:val="none"/>
          <w:lang w:val="en-US" w:eastAsia="zh-CN"/>
        </w:rPr>
        <w:t>。</w:t>
      </w:r>
      <w:r>
        <w:rPr>
          <w:rFonts w:hint="eastAsia" w:ascii="黑体" w:hAnsi="黑体" w:eastAsia="黑体" w:cs="黑体"/>
          <w:b w:val="0"/>
          <w:bCs w:val="0"/>
          <w:color w:val="auto"/>
          <w:kern w:val="0"/>
          <w:sz w:val="32"/>
          <w:szCs w:val="32"/>
          <w:highlight w:val="none"/>
          <w:lang w:val="en-US" w:eastAsia="zh-CN"/>
        </w:rPr>
        <w:t>六是</w:t>
      </w:r>
      <w:r>
        <w:rPr>
          <w:rFonts w:hint="default" w:ascii="Times New Roman" w:hAnsi="Times New Roman" w:eastAsia="仿宋_GB2312" w:cs="Times New Roman"/>
          <w:b w:val="0"/>
          <w:bCs w:val="0"/>
          <w:color w:val="auto"/>
          <w:sz w:val="32"/>
          <w:szCs w:val="32"/>
          <w:highlight w:val="none"/>
          <w:lang w:val="en-US" w:eastAsia="zh-CN"/>
        </w:rPr>
        <w:t>分类开展警示教育4次</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“一案一整改”工作3次，以“身边事”警示“身边人”。</w:t>
      </w:r>
      <w:r>
        <w:rPr>
          <w:rFonts w:hint="eastAsia" w:ascii="黑体" w:hAnsi="黑体" w:eastAsia="黑体" w:cs="黑体"/>
          <w:b w:val="0"/>
          <w:bCs w:val="0"/>
          <w:color w:val="auto"/>
          <w:sz w:val="32"/>
          <w:szCs w:val="32"/>
          <w:highlight w:val="none"/>
          <w:lang w:val="en-US" w:eastAsia="zh-CN"/>
        </w:rPr>
        <w:t>七是</w:t>
      </w:r>
      <w:r>
        <w:rPr>
          <w:rFonts w:hint="default" w:ascii="Times New Roman" w:hAnsi="Times New Roman" w:eastAsia="仿宋_GB2312" w:cs="Times New Roman"/>
          <w:color w:val="auto"/>
          <w:sz w:val="32"/>
          <w:szCs w:val="32"/>
          <w:highlight w:val="none"/>
          <w:lang w:val="en-US" w:eastAsia="zh-CN"/>
        </w:rPr>
        <w:t>召开第三方公司人员“廉政座谈会”，</w:t>
      </w:r>
      <w:r>
        <w:rPr>
          <w:rFonts w:hint="default" w:ascii="Times New Roman" w:hAnsi="Times New Roman" w:eastAsia="仿宋_GB2312" w:cs="Times New Roman"/>
          <w:b w:val="0"/>
          <w:bCs w:val="0"/>
          <w:color w:val="auto"/>
          <w:kern w:val="2"/>
          <w:sz w:val="32"/>
          <w:szCs w:val="32"/>
          <w:highlight w:val="none"/>
          <w:lang w:val="en-US" w:eastAsia="zh-CN" w:bidi="ar-SA"/>
        </w:rPr>
        <w:t>加强对与</w:t>
      </w:r>
      <w:r>
        <w:rPr>
          <w:rFonts w:hint="default" w:ascii="Times New Roman" w:hAnsi="Times New Roman" w:eastAsia="仿宋_GB2312" w:cs="Times New Roman"/>
          <w:b w:val="0"/>
          <w:bCs w:val="0"/>
          <w:color w:val="auto"/>
          <w:sz w:val="32"/>
          <w:szCs w:val="32"/>
          <w:highlight w:val="none"/>
          <w:lang w:eastAsia="zh-CN"/>
        </w:rPr>
        <w:t>我行合作的</w:t>
      </w:r>
      <w:r>
        <w:rPr>
          <w:rFonts w:hint="default" w:ascii="Times New Roman" w:hAnsi="Times New Roman" w:eastAsia="仿宋_GB2312" w:cs="Times New Roman"/>
          <w:b w:val="0"/>
          <w:bCs w:val="0"/>
          <w:color w:val="auto"/>
          <w:sz w:val="32"/>
          <w:szCs w:val="32"/>
          <w:highlight w:val="none"/>
          <w:lang w:val="en-US" w:eastAsia="zh-CN"/>
        </w:rPr>
        <w:t>基建维修施工方、押运公司、保洁公司、工装洗涤公司、办公用品供货商等合作单位的监督，</w:t>
      </w:r>
      <w:r>
        <w:rPr>
          <w:rFonts w:hint="default" w:ascii="Times New Roman" w:hAnsi="Times New Roman" w:eastAsia="仿宋_GB2312" w:cs="Times New Roman"/>
          <w:color w:val="auto"/>
          <w:sz w:val="32"/>
          <w:szCs w:val="32"/>
          <w:highlight w:val="none"/>
          <w:lang w:val="en-US" w:eastAsia="zh-CN"/>
        </w:rPr>
        <w:t>杜绝</w:t>
      </w:r>
      <w:r>
        <w:rPr>
          <w:rFonts w:hint="default" w:ascii="Times New Roman" w:hAnsi="Times New Roman" w:eastAsia="仿宋_GB2312" w:cs="Times New Roman"/>
          <w:color w:val="auto"/>
          <w:sz w:val="32"/>
          <w:szCs w:val="32"/>
          <w:highlight w:val="none"/>
        </w:rPr>
        <w:t>私下交易</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违规</w:t>
      </w:r>
      <w:r>
        <w:rPr>
          <w:rFonts w:hint="default" w:ascii="Times New Roman" w:hAnsi="Times New Roman" w:eastAsia="仿宋_GB2312" w:cs="Times New Roman"/>
          <w:color w:val="auto"/>
          <w:sz w:val="32"/>
          <w:szCs w:val="32"/>
          <w:highlight w:val="none"/>
          <w:lang w:eastAsia="zh-CN"/>
        </w:rPr>
        <w:t>吃请</w:t>
      </w:r>
      <w:r>
        <w:rPr>
          <w:rFonts w:hint="default" w:ascii="Times New Roman" w:hAnsi="Times New Roman" w:eastAsia="仿宋_GB2312" w:cs="Times New Roman"/>
          <w:color w:val="auto"/>
          <w:sz w:val="32"/>
          <w:szCs w:val="32"/>
          <w:highlight w:val="none"/>
          <w:lang w:val="en-US" w:eastAsia="zh-CN"/>
        </w:rPr>
        <w:t>和收送礼品礼金等违规</w:t>
      </w:r>
      <w:r>
        <w:rPr>
          <w:rFonts w:hint="default" w:ascii="Times New Roman" w:hAnsi="Times New Roman" w:eastAsia="仿宋_GB2312" w:cs="Times New Roman"/>
          <w:color w:val="auto"/>
          <w:sz w:val="32"/>
          <w:szCs w:val="32"/>
          <w:highlight w:val="none"/>
          <w:lang w:eastAsia="zh-CN"/>
        </w:rPr>
        <w:t>行为</w:t>
      </w:r>
      <w:r>
        <w:rPr>
          <w:rFonts w:hint="default" w:ascii="Times New Roman" w:hAnsi="Times New Roman" w:eastAsia="仿宋_GB2312" w:cs="Times New Roman"/>
          <w:color w:val="auto"/>
          <w:sz w:val="32"/>
          <w:szCs w:val="32"/>
          <w:highlight w:val="none"/>
          <w:lang w:val="en-US" w:eastAsia="zh-CN"/>
        </w:rPr>
        <w:t>发生，</w:t>
      </w:r>
      <w:r>
        <w:rPr>
          <w:rFonts w:hint="default" w:ascii="Times New Roman" w:hAnsi="Times New Roman" w:eastAsia="仿宋_GB2312" w:cs="Times New Roman"/>
          <w:b w:val="0"/>
          <w:bCs w:val="0"/>
          <w:color w:val="auto"/>
          <w:sz w:val="32"/>
          <w:szCs w:val="32"/>
          <w:highlight w:val="none"/>
          <w:lang w:val="en-US" w:eastAsia="zh-CN"/>
        </w:rPr>
        <w:t>督促各层级负责人履行案防职责，有效推动了我行案防质效提升，确保案防工作落到实处、取得实效，助推依法合规经营和高质量发展。</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Times New Roman"/>
          <w:b w:val="0"/>
          <w:bCs w:val="0"/>
          <w:color w:val="auto"/>
          <w:sz w:val="32"/>
          <w:szCs w:val="32"/>
          <w:highlight w:val="none"/>
          <w:lang w:val="en-US" w:eastAsia="zh-CN"/>
        </w:rPr>
        <w:t>.对</w:t>
      </w:r>
      <w:r>
        <w:rPr>
          <w:rFonts w:hint="eastAsia" w:ascii="Times New Roman" w:hAnsi="Times New Roman" w:eastAsia="仿宋_GB2312" w:cs="Times New Roman"/>
          <w:b w:val="0"/>
          <w:bCs w:val="0"/>
          <w:color w:val="auto"/>
          <w:sz w:val="32"/>
          <w:szCs w:val="32"/>
          <w:highlight w:val="none"/>
          <w:lang w:val="en-US" w:eastAsia="zh-CN"/>
        </w:rPr>
        <w:t>内控制度执行</w:t>
      </w:r>
      <w:r>
        <w:rPr>
          <w:rFonts w:hint="default" w:ascii="Times New Roman" w:hAnsi="Times New Roman" w:eastAsia="仿宋_GB2312" w:cs="Times New Roman"/>
          <w:b w:val="0"/>
          <w:bCs w:val="0"/>
          <w:color w:val="auto"/>
          <w:sz w:val="32"/>
          <w:szCs w:val="32"/>
          <w:highlight w:val="none"/>
          <w:lang w:val="en-US" w:eastAsia="zh-CN"/>
        </w:rPr>
        <w:t>的</w:t>
      </w:r>
      <w:r>
        <w:rPr>
          <w:rFonts w:hint="default" w:ascii="Times New Roman" w:hAnsi="Times New Roman" w:eastAsia="仿宋_GB2312" w:cs="Times New Roman"/>
          <w:b w:val="0"/>
          <w:bCs w:val="0"/>
          <w:color w:val="auto"/>
          <w:sz w:val="32"/>
          <w:szCs w:val="32"/>
          <w:highlight w:val="none"/>
        </w:rPr>
        <w:t>监督。</w:t>
      </w:r>
      <w:r>
        <w:rPr>
          <w:rFonts w:hint="eastAsia" w:ascii="黑体" w:hAnsi="黑体" w:eastAsia="黑体" w:cs="黑体"/>
          <w:b w:val="0"/>
          <w:bCs w:val="0"/>
          <w:color w:val="auto"/>
          <w:kern w:val="2"/>
          <w:sz w:val="32"/>
          <w:szCs w:val="32"/>
          <w:highlight w:val="none"/>
          <w:lang w:val="en-US" w:eastAsia="zh-CN" w:bidi="ar-SA"/>
        </w:rPr>
        <w:t>一是</w:t>
      </w:r>
      <w:r>
        <w:rPr>
          <w:rFonts w:hint="default" w:ascii="Times New Roman" w:hAnsi="Times New Roman" w:eastAsia="仿宋_GB2312" w:cs="Times New Roman"/>
          <w:b w:val="0"/>
          <w:bCs w:val="0"/>
          <w:color w:val="auto"/>
          <w:sz w:val="32"/>
          <w:szCs w:val="32"/>
          <w:highlight w:val="none"/>
          <w:lang w:val="en-US" w:eastAsia="zh-CN"/>
        </w:rPr>
        <w:t>督促</w:t>
      </w:r>
      <w:r>
        <w:rPr>
          <w:rFonts w:hint="default" w:ascii="Times New Roman" w:hAnsi="Times New Roman" w:eastAsia="仿宋_GB2312" w:cs="Times New Roman"/>
          <w:b w:val="0"/>
          <w:bCs w:val="0"/>
          <w:color w:val="auto"/>
          <w:kern w:val="2"/>
          <w:sz w:val="32"/>
          <w:szCs w:val="32"/>
          <w:highlight w:val="none"/>
          <w:lang w:val="en-US" w:eastAsia="zh-CN" w:bidi="ar-SA"/>
        </w:rPr>
        <w:t>经营层</w:t>
      </w:r>
      <w:r>
        <w:rPr>
          <w:rFonts w:hint="default" w:ascii="Times New Roman" w:hAnsi="Times New Roman" w:eastAsia="仿宋_GB2312" w:cs="Times New Roman"/>
          <w:b w:val="0"/>
          <w:bCs w:val="0"/>
          <w:color w:val="auto"/>
          <w:sz w:val="32"/>
          <w:szCs w:val="32"/>
          <w:highlight w:val="none"/>
          <w:lang w:val="en-US" w:eastAsia="zh-CN"/>
        </w:rPr>
        <w:t>严格按</w:t>
      </w:r>
      <w:r>
        <w:rPr>
          <w:rFonts w:hint="default" w:ascii="Times New Roman" w:hAnsi="Times New Roman" w:eastAsia="仿宋_GB2312" w:cs="Times New Roman"/>
          <w:color w:val="auto"/>
          <w:sz w:val="32"/>
          <w:szCs w:val="32"/>
          <w:highlight w:val="none"/>
          <w:lang w:val="en-US" w:eastAsia="zh-CN"/>
        </w:rPr>
        <w:t>照法律法规和监管规定开展关联交易管理工作，重点防范向股东、内部人、关联方进行利益输送，防止本行权益受到侵害</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shd w:val="clear" w:color="auto" w:fill="FFFFFF"/>
        </w:rPr>
        <w:t>严控大额关联贷款，</w:t>
      </w:r>
      <w:r>
        <w:rPr>
          <w:rFonts w:hint="default" w:ascii="Times New Roman" w:hAnsi="Times New Roman" w:eastAsia="仿宋_GB2312" w:cs="Times New Roman"/>
          <w:color w:val="auto"/>
          <w:sz w:val="32"/>
          <w:szCs w:val="32"/>
          <w:highlight w:val="none"/>
          <w:lang w:val="en-US" w:eastAsia="zh-CN"/>
        </w:rPr>
        <w:t>加强贷款穿透式管理，强化关联授信集中度监测，避免因关联交易控制不当引发信用风险</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二是</w:t>
      </w:r>
      <w:r>
        <w:rPr>
          <w:rFonts w:hint="default" w:ascii="Times New Roman" w:hAnsi="Times New Roman" w:eastAsia="仿宋_GB2312" w:cs="Times New Roman"/>
          <w:b w:val="0"/>
          <w:bCs w:val="0"/>
          <w:color w:val="auto"/>
          <w:sz w:val="32"/>
          <w:szCs w:val="32"/>
          <w:highlight w:val="none"/>
          <w:lang w:val="en-US" w:eastAsia="zh-CN"/>
        </w:rPr>
        <w:t>督促</w:t>
      </w:r>
      <w:r>
        <w:rPr>
          <w:rFonts w:hint="default" w:ascii="Times New Roman" w:hAnsi="Times New Roman" w:eastAsia="仿宋_GB2312" w:cs="Times New Roman"/>
          <w:color w:val="auto"/>
          <w:sz w:val="32"/>
          <w:szCs w:val="32"/>
          <w:highlight w:val="none"/>
          <w:lang w:val="en-US" w:eastAsia="zh-CN"/>
        </w:rPr>
        <w:t>加强员工征信业务培训和征信数据管理，出台有效措施以降低客户征信申请异议数量</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加强网络和信息安全管理，强化信息风险隐患排查。</w:t>
      </w:r>
      <w:r>
        <w:rPr>
          <w:rFonts w:hint="eastAsia" w:ascii="黑体" w:hAnsi="黑体" w:eastAsia="黑体" w:cs="黑体"/>
          <w:b w:val="0"/>
          <w:bCs w:val="0"/>
          <w:color w:val="auto"/>
          <w:kern w:val="2"/>
          <w:sz w:val="32"/>
          <w:szCs w:val="32"/>
          <w:highlight w:val="none"/>
          <w:lang w:val="en-US" w:eastAsia="zh-CN" w:bidi="ar-SA"/>
        </w:rPr>
        <w:t>三是</w:t>
      </w:r>
      <w:r>
        <w:rPr>
          <w:rFonts w:hint="default" w:ascii="Times New Roman" w:hAnsi="Times New Roman" w:eastAsia="仿宋_GB2312" w:cs="Times New Roman"/>
          <w:b w:val="0"/>
          <w:bCs w:val="0"/>
          <w:color w:val="auto"/>
          <w:sz w:val="32"/>
          <w:szCs w:val="32"/>
          <w:highlight w:val="none"/>
          <w:lang w:val="en-US" w:eastAsia="zh-CN"/>
        </w:rPr>
        <w:t>督促</w:t>
      </w:r>
      <w:r>
        <w:rPr>
          <w:rFonts w:hint="default" w:ascii="Times New Roman" w:hAnsi="Times New Roman" w:eastAsia="仿宋_GB2312" w:cs="Times New Roman"/>
          <w:b w:val="0"/>
          <w:bCs w:val="0"/>
          <w:color w:val="auto"/>
          <w:spacing w:val="-4"/>
          <w:sz w:val="32"/>
          <w:szCs w:val="32"/>
          <w:highlight w:val="none"/>
          <w:lang w:val="en-US" w:eastAsia="zh-CN"/>
        </w:rPr>
        <w:t>加强内控合规和案防培训，强化各层级人员案件防控管理工作责任落实，</w:t>
      </w:r>
      <w:r>
        <w:rPr>
          <w:rFonts w:hint="default" w:ascii="Times New Roman" w:hAnsi="Times New Roman" w:eastAsia="仿宋_GB2312" w:cs="Times New Roman"/>
          <w:color w:val="auto"/>
          <w:sz w:val="32"/>
          <w:szCs w:val="32"/>
          <w:highlight w:val="none"/>
        </w:rPr>
        <w:t>全面梳理重要业务、重点领域、关键环节风险管理</w:t>
      </w:r>
      <w:r>
        <w:rPr>
          <w:rFonts w:hint="default" w:ascii="Times New Roman" w:hAnsi="Times New Roman" w:eastAsia="仿宋_GB2312" w:cs="Times New Roman"/>
          <w:color w:val="auto"/>
          <w:sz w:val="32"/>
          <w:szCs w:val="32"/>
          <w:highlight w:val="none"/>
          <w:lang w:val="en-US" w:eastAsia="zh-CN"/>
        </w:rPr>
        <w:t>和内部控制制度和</w:t>
      </w:r>
      <w:r>
        <w:rPr>
          <w:rFonts w:hint="default" w:ascii="Times New Roman" w:hAnsi="Times New Roman" w:eastAsia="仿宋_GB2312" w:cs="Times New Roman"/>
          <w:color w:val="auto"/>
          <w:sz w:val="32"/>
          <w:szCs w:val="32"/>
          <w:highlight w:val="none"/>
        </w:rPr>
        <w:t>流程，</w:t>
      </w:r>
      <w:r>
        <w:rPr>
          <w:rFonts w:hint="default" w:ascii="Times New Roman" w:hAnsi="Times New Roman" w:eastAsia="仿宋_GB2312" w:cs="Times New Roman"/>
          <w:b w:val="0"/>
          <w:bCs w:val="0"/>
          <w:color w:val="auto"/>
          <w:sz w:val="32"/>
          <w:szCs w:val="32"/>
          <w:highlight w:val="none"/>
          <w:lang w:val="en-US" w:eastAsia="zh-CN"/>
        </w:rPr>
        <w:t>及时优化流程，推动</w:t>
      </w:r>
      <w:r>
        <w:rPr>
          <w:rFonts w:hint="default" w:ascii="Times New Roman" w:hAnsi="Times New Roman" w:eastAsia="仿宋_GB2312" w:cs="Times New Roman"/>
          <w:color w:val="auto"/>
          <w:sz w:val="32"/>
          <w:szCs w:val="32"/>
          <w:highlight w:val="none"/>
        </w:rPr>
        <w:t>制度“废改立</w:t>
      </w:r>
      <w:r>
        <w:rPr>
          <w:rFonts w:hint="default" w:ascii="Times New Roman" w:hAnsi="Times New Roman" w:eastAsia="仿宋_GB2312" w:cs="Times New Roman"/>
          <w:color w:val="auto"/>
          <w:sz w:val="32"/>
          <w:szCs w:val="32"/>
          <w:highlight w:val="none"/>
          <w:lang w:val="en-US" w:eastAsia="zh-CN"/>
        </w:rPr>
        <w:t>释</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四是</w:t>
      </w:r>
      <w:r>
        <w:rPr>
          <w:rFonts w:hint="default" w:ascii="Times New Roman" w:hAnsi="Times New Roman" w:eastAsia="仿宋_GB2312" w:cs="Times New Roman"/>
          <w:b w:val="0"/>
          <w:bCs w:val="0"/>
          <w:color w:val="auto"/>
          <w:sz w:val="32"/>
          <w:szCs w:val="32"/>
          <w:highlight w:val="none"/>
          <w:lang w:val="en-US" w:eastAsia="zh-CN"/>
        </w:rPr>
        <w:t>督促开展消费者权益保护宣传、培训，贯彻落实好合规教育活动工作，并做好监管部门转办投诉事项，</w:t>
      </w:r>
      <w:r>
        <w:rPr>
          <w:rFonts w:hint="default" w:ascii="Times New Roman" w:hAnsi="Times New Roman" w:eastAsia="仿宋_GB2312" w:cs="Times New Roman"/>
          <w:color w:val="auto"/>
          <w:sz w:val="32"/>
          <w:szCs w:val="32"/>
          <w:highlight w:val="none"/>
          <w:lang w:val="en-US" w:eastAsia="zh-CN"/>
        </w:rPr>
        <w:t>消费者权益保护审查工作，强化产品、</w:t>
      </w:r>
      <w:r>
        <w:rPr>
          <w:rFonts w:hint="default" w:ascii="Times New Roman" w:hAnsi="Times New Roman" w:eastAsia="仿宋_GB2312" w:cs="Times New Roman"/>
          <w:b w:val="0"/>
          <w:bCs w:val="0"/>
          <w:i w:val="0"/>
          <w:iCs w:val="0"/>
          <w:color w:val="auto"/>
          <w:sz w:val="32"/>
          <w:szCs w:val="32"/>
          <w:highlight w:val="none"/>
          <w:lang w:val="en-US" w:eastAsia="zh-CN"/>
        </w:rPr>
        <w:t>制度及对外宣传等内</w:t>
      </w:r>
      <w:r>
        <w:rPr>
          <w:rFonts w:hint="default" w:ascii="Times New Roman" w:hAnsi="Times New Roman" w:eastAsia="仿宋_GB2312" w:cs="Times New Roman"/>
          <w:b w:val="0"/>
          <w:bCs w:val="0"/>
          <w:i w:val="0"/>
          <w:iCs w:val="0"/>
          <w:color w:val="auto"/>
          <w:spacing w:val="0"/>
          <w:sz w:val="32"/>
          <w:szCs w:val="32"/>
          <w:highlight w:val="none"/>
          <w:lang w:val="en-US" w:eastAsia="zh-CN"/>
        </w:rPr>
        <w:t>容的消保审查工作，</w:t>
      </w:r>
      <w:r>
        <w:rPr>
          <w:rFonts w:hint="default" w:ascii="Times New Roman" w:hAnsi="Times New Roman" w:eastAsia="仿宋_GB2312" w:cs="Times New Roman"/>
          <w:i w:val="0"/>
          <w:iCs w:val="0"/>
          <w:color w:val="auto"/>
          <w:sz w:val="32"/>
          <w:szCs w:val="32"/>
          <w:highlight w:val="none"/>
          <w:lang w:val="en-US" w:eastAsia="zh-CN"/>
        </w:rPr>
        <w:t>履行客户个人金融信息保护义务，</w:t>
      </w:r>
      <w:r>
        <w:rPr>
          <w:rFonts w:hint="default" w:ascii="Times New Roman" w:hAnsi="Times New Roman" w:eastAsia="仿宋_GB2312" w:cs="Times New Roman"/>
          <w:color w:val="auto"/>
          <w:sz w:val="32"/>
          <w:szCs w:val="32"/>
          <w:highlight w:val="none"/>
          <w:lang w:val="en-US" w:eastAsia="zh-CN"/>
        </w:rPr>
        <w:t>确保客户个人金融信息安全。</w:t>
      </w:r>
      <w:r>
        <w:rPr>
          <w:rFonts w:hint="eastAsia" w:ascii="黑体" w:hAnsi="黑体" w:eastAsia="黑体" w:cs="黑体"/>
          <w:b w:val="0"/>
          <w:bCs w:val="0"/>
          <w:color w:val="auto"/>
          <w:sz w:val="32"/>
          <w:szCs w:val="32"/>
          <w:highlight w:val="none"/>
          <w:lang w:val="en-US" w:eastAsia="zh-CN"/>
        </w:rPr>
        <w:t>五是</w:t>
      </w:r>
      <w:r>
        <w:rPr>
          <w:rFonts w:hint="default" w:ascii="Times New Roman" w:hAnsi="Times New Roman" w:eastAsia="仿宋_GB2312" w:cs="Times New Roman"/>
          <w:b w:val="0"/>
          <w:bCs w:val="0"/>
          <w:color w:val="auto"/>
          <w:sz w:val="32"/>
          <w:szCs w:val="32"/>
          <w:highlight w:val="none"/>
          <w:lang w:val="en-US" w:eastAsia="zh-CN"/>
        </w:rPr>
        <w:t>督促</w:t>
      </w:r>
      <w:r>
        <w:rPr>
          <w:rFonts w:hint="default" w:ascii="Times New Roman" w:hAnsi="Times New Roman" w:eastAsia="仿宋_GB2312" w:cs="Times New Roman"/>
          <w:color w:val="auto"/>
          <w:sz w:val="32"/>
          <w:szCs w:val="32"/>
          <w:highlight w:val="none"/>
          <w:lang w:val="en-US" w:eastAsia="zh-CN"/>
        </w:rPr>
        <w:t>加大对反洗钱的宣传力度，丰富宣传方式，并结合受益所有人相关规定制作具有地方特色文化元素的宣传作品，推动广大客户了解洗钱知识，增强反电信诈骗犯罪意识，提高对洗钱危害性的认识。</w:t>
      </w:r>
      <w:r>
        <w:rPr>
          <w:rFonts w:hint="eastAsia" w:ascii="黑体" w:hAnsi="黑体" w:eastAsia="黑体" w:cs="黑体"/>
          <w:b w:val="0"/>
          <w:bCs w:val="0"/>
          <w:color w:val="auto"/>
          <w:sz w:val="32"/>
          <w:szCs w:val="32"/>
          <w:highlight w:val="none"/>
          <w:lang w:val="en-US" w:eastAsia="zh-CN"/>
        </w:rPr>
        <w:t>六是</w:t>
      </w:r>
      <w:r>
        <w:rPr>
          <w:rFonts w:hint="default" w:ascii="Times New Roman" w:hAnsi="Times New Roman" w:eastAsia="仿宋_GB2312" w:cs="Times New Roman"/>
          <w:b w:val="0"/>
          <w:bCs w:val="0"/>
          <w:color w:val="auto"/>
          <w:sz w:val="32"/>
          <w:szCs w:val="32"/>
          <w:highlight w:val="none"/>
          <w:lang w:val="en-US" w:eastAsia="zh-CN"/>
        </w:rPr>
        <w:t>督促</w:t>
      </w:r>
      <w:r>
        <w:rPr>
          <w:rFonts w:hint="eastAsia" w:ascii="Times New Roman" w:hAnsi="Times New Roman" w:eastAsia="仿宋_GB2312" w:cs="Times New Roman"/>
          <w:color w:val="auto"/>
          <w:sz w:val="32"/>
          <w:szCs w:val="32"/>
          <w:highlight w:val="none"/>
          <w:lang w:val="en-US" w:eastAsia="zh-CN"/>
        </w:rPr>
        <w:t>规范大额交易、</w:t>
      </w:r>
      <w:r>
        <w:rPr>
          <w:rFonts w:hint="default" w:ascii="Times New Roman" w:hAnsi="Times New Roman" w:eastAsia="仿宋_GB2312" w:cs="Times New Roman"/>
          <w:color w:val="auto"/>
          <w:sz w:val="32"/>
          <w:szCs w:val="32"/>
          <w:highlight w:val="none"/>
        </w:rPr>
        <w:t>可疑交易的监测</w:t>
      </w:r>
      <w:r>
        <w:rPr>
          <w:rFonts w:hint="eastAsia" w:ascii="Times New Roman" w:hAnsi="Times New Roman" w:eastAsia="仿宋_GB2312" w:cs="Times New Roman"/>
          <w:color w:val="auto"/>
          <w:sz w:val="32"/>
          <w:szCs w:val="32"/>
          <w:highlight w:val="none"/>
          <w:lang w:val="en-US" w:eastAsia="zh-CN"/>
        </w:rPr>
        <w:t>与报告工作</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对</w:t>
      </w:r>
      <w:r>
        <w:rPr>
          <w:rFonts w:hint="default" w:ascii="Times New Roman" w:hAnsi="Times New Roman" w:eastAsia="仿宋_GB2312" w:cs="Times New Roman"/>
          <w:color w:val="auto"/>
          <w:sz w:val="32"/>
          <w:szCs w:val="32"/>
          <w:highlight w:val="none"/>
        </w:rPr>
        <w:t>发掘有价值的可疑信息</w:t>
      </w:r>
      <w:r>
        <w:rPr>
          <w:rFonts w:hint="default" w:ascii="Times New Roman" w:hAnsi="Times New Roman" w:eastAsia="仿宋_GB2312" w:cs="Times New Roman"/>
          <w:color w:val="auto"/>
          <w:sz w:val="32"/>
          <w:szCs w:val="32"/>
          <w:highlight w:val="none"/>
          <w:lang w:val="en-US" w:eastAsia="zh-CN"/>
        </w:rPr>
        <w:t>及时向公安机关</w:t>
      </w:r>
      <w:r>
        <w:rPr>
          <w:rFonts w:hint="default" w:ascii="Times New Roman" w:hAnsi="Times New Roman" w:eastAsia="仿宋_GB2312" w:cs="Times New Roman"/>
          <w:color w:val="auto"/>
          <w:sz w:val="32"/>
          <w:szCs w:val="32"/>
          <w:highlight w:val="none"/>
        </w:rPr>
        <w:t>提供线索</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严厉</w:t>
      </w:r>
      <w:r>
        <w:rPr>
          <w:rFonts w:hint="default" w:ascii="Times New Roman" w:hAnsi="Times New Roman" w:eastAsia="仿宋_GB2312" w:cs="Times New Roman"/>
          <w:color w:val="auto"/>
          <w:sz w:val="32"/>
          <w:szCs w:val="32"/>
          <w:highlight w:val="none"/>
        </w:rPr>
        <w:t>打击电信诈骗等</w:t>
      </w:r>
      <w:r>
        <w:rPr>
          <w:rFonts w:hint="default" w:ascii="Times New Roman" w:hAnsi="Times New Roman" w:eastAsia="仿宋_GB2312" w:cs="Times New Roman"/>
          <w:color w:val="auto"/>
          <w:sz w:val="32"/>
          <w:szCs w:val="32"/>
          <w:highlight w:val="none"/>
          <w:lang w:val="en-US" w:eastAsia="zh-CN"/>
        </w:rPr>
        <w:t>违法犯罪行为</w:t>
      </w:r>
      <w:r>
        <w:rPr>
          <w:rFonts w:hint="eastAsia" w:ascii="Times New Roman" w:hAnsi="Times New Roman" w:eastAsia="仿宋_GB2312" w:cs="Times New Roman"/>
          <w:color w:val="auto"/>
          <w:sz w:val="32"/>
          <w:szCs w:val="32"/>
          <w:highlight w:val="none"/>
          <w:lang w:val="en-US" w:eastAsia="zh-CN"/>
        </w:rPr>
        <w:t>，履行反洗钱法定义务</w:t>
      </w:r>
      <w:r>
        <w:rPr>
          <w:rFonts w:hint="default" w:ascii="Times New Roman" w:hAnsi="Times New Roman" w:eastAsia="仿宋_GB2312" w:cs="Times New Roman"/>
          <w:color w:val="auto"/>
          <w:sz w:val="32"/>
          <w:szCs w:val="32"/>
          <w:highlight w:val="none"/>
        </w:rPr>
        <w:t>。</w:t>
      </w:r>
      <w:r>
        <w:rPr>
          <w:rFonts w:hint="eastAsia" w:ascii="黑体" w:hAnsi="黑体" w:eastAsia="黑体" w:cs="黑体"/>
          <w:b w:val="0"/>
          <w:bCs w:val="0"/>
          <w:color w:val="auto"/>
          <w:sz w:val="32"/>
          <w:szCs w:val="32"/>
          <w:highlight w:val="none"/>
          <w:lang w:val="en-US" w:eastAsia="zh-CN"/>
        </w:rPr>
        <w:t>七</w:t>
      </w:r>
      <w:r>
        <w:rPr>
          <w:rFonts w:hint="eastAsia" w:ascii="黑体" w:hAnsi="黑体" w:eastAsia="黑体" w:cs="黑体"/>
          <w:b w:val="0"/>
          <w:bCs w:val="0"/>
          <w:color w:val="auto"/>
          <w:spacing w:val="-4"/>
          <w:sz w:val="32"/>
          <w:szCs w:val="32"/>
          <w:highlight w:val="none"/>
          <w:lang w:val="en-US" w:eastAsia="zh-CN"/>
        </w:rPr>
        <w:t>是</w:t>
      </w:r>
      <w:r>
        <w:rPr>
          <w:rFonts w:hint="default" w:ascii="Times New Roman" w:hAnsi="Times New Roman" w:eastAsia="仿宋_GB2312" w:cs="Times New Roman"/>
          <w:b w:val="0"/>
          <w:bCs w:val="0"/>
          <w:color w:val="auto"/>
          <w:kern w:val="2"/>
          <w:sz w:val="32"/>
          <w:szCs w:val="32"/>
          <w:highlight w:val="none"/>
          <w:lang w:val="en-US" w:eastAsia="zh-CN" w:bidi="ar-SA"/>
        </w:rPr>
        <w:t>对违反各项制度的行为开展问责监督，</w:t>
      </w:r>
      <w:r>
        <w:rPr>
          <w:rFonts w:hint="default" w:ascii="Times New Roman" w:hAnsi="Times New Roman" w:eastAsia="仿宋_GB2312" w:cs="Times New Roman"/>
          <w:b w:val="0"/>
          <w:bCs w:val="0"/>
          <w:color w:val="auto"/>
          <w:spacing w:val="-4"/>
          <w:sz w:val="32"/>
          <w:szCs w:val="32"/>
          <w:highlight w:val="none"/>
          <w:lang w:val="en-US" w:eastAsia="zh-CN"/>
        </w:rPr>
        <w:t>2024年</w:t>
      </w:r>
      <w:r>
        <w:rPr>
          <w:rFonts w:hint="default" w:ascii="Times New Roman" w:hAnsi="Times New Roman" w:eastAsia="仿宋_GB2312" w:cs="Times New Roman"/>
          <w:bCs/>
          <w:color w:val="auto"/>
          <w:sz w:val="32"/>
          <w:szCs w:val="32"/>
          <w:highlight w:val="none"/>
        </w:rPr>
        <w:t>出具《问责处理决定书》</w:t>
      </w:r>
      <w:r>
        <w:rPr>
          <w:rFonts w:hint="default" w:ascii="Times New Roman" w:hAnsi="Times New Roman" w:eastAsia="仿宋_GB2312" w:cs="Times New Roman"/>
          <w:bCs/>
          <w:color w:val="auto"/>
          <w:sz w:val="32"/>
          <w:szCs w:val="32"/>
          <w:highlight w:val="none"/>
          <w:lang w:val="en-US" w:eastAsia="zh-CN"/>
        </w:rPr>
        <w:t>83</w:t>
      </w:r>
      <w:r>
        <w:rPr>
          <w:rFonts w:hint="default" w:ascii="Times New Roman" w:hAnsi="Times New Roman" w:eastAsia="仿宋_GB2312" w:cs="Times New Roman"/>
          <w:bCs/>
          <w:color w:val="auto"/>
          <w:sz w:val="32"/>
          <w:szCs w:val="32"/>
          <w:highlight w:val="none"/>
        </w:rPr>
        <w:t>份，</w:t>
      </w:r>
      <w:r>
        <w:rPr>
          <w:rFonts w:hint="default" w:ascii="Times New Roman" w:hAnsi="Times New Roman" w:eastAsia="仿宋_GB2312" w:cs="Times New Roman"/>
          <w:color w:val="auto"/>
          <w:sz w:val="32"/>
          <w:szCs w:val="32"/>
          <w:highlight w:val="none"/>
        </w:rPr>
        <w:t>处罚</w:t>
      </w:r>
      <w:r>
        <w:rPr>
          <w:rFonts w:hint="default" w:ascii="Times New Roman" w:hAnsi="Times New Roman" w:eastAsia="仿宋_GB2312" w:cs="Times New Roman"/>
          <w:color w:val="auto"/>
          <w:sz w:val="32"/>
          <w:szCs w:val="32"/>
          <w:highlight w:val="none"/>
          <w:lang w:val="en-US" w:eastAsia="zh-CN"/>
        </w:rPr>
        <w:t>528</w:t>
      </w:r>
      <w:r>
        <w:rPr>
          <w:rFonts w:hint="default" w:ascii="Times New Roman" w:hAnsi="Times New Roman" w:eastAsia="仿宋_GB2312" w:cs="Times New Roman"/>
          <w:color w:val="auto"/>
          <w:sz w:val="32"/>
          <w:szCs w:val="32"/>
          <w:highlight w:val="none"/>
        </w:rPr>
        <w:t>人次</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问责范围主要包括违反信贷管理规定、不良贷款责任追究、内控管理制度</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2024年省联社党委第七巡察组指出的问题</w:t>
      </w:r>
      <w:r>
        <w:rPr>
          <w:rFonts w:hint="default" w:ascii="Times New Roman" w:hAnsi="Times New Roman" w:eastAsia="仿宋_GB2312" w:cs="Times New Roman"/>
          <w:color w:val="auto"/>
          <w:sz w:val="32"/>
          <w:szCs w:val="32"/>
          <w:highlight w:val="none"/>
        </w:rPr>
        <w:t>等</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八是</w:t>
      </w:r>
      <w:r>
        <w:rPr>
          <w:rFonts w:hint="default" w:ascii="Times New Roman" w:hAnsi="Times New Roman" w:eastAsia="仿宋_GB2312" w:cs="Times New Roman"/>
          <w:b w:val="0"/>
          <w:bCs w:val="0"/>
          <w:color w:val="auto"/>
          <w:spacing w:val="-4"/>
          <w:sz w:val="32"/>
          <w:szCs w:val="32"/>
          <w:highlight w:val="none"/>
          <w:lang w:val="en-US" w:eastAsia="zh-CN"/>
        </w:rPr>
        <w:t>为推动“回头看”问题整改见成效，</w:t>
      </w:r>
      <w:r>
        <w:rPr>
          <w:rFonts w:hint="default" w:ascii="Times New Roman" w:hAnsi="Times New Roman" w:eastAsia="仿宋_GB2312" w:cs="Times New Roman"/>
          <w:b w:val="0"/>
          <w:bCs w:val="0"/>
          <w:color w:val="auto"/>
          <w:kern w:val="2"/>
          <w:sz w:val="32"/>
          <w:szCs w:val="32"/>
          <w:highlight w:val="none"/>
          <w:lang w:val="en-US" w:eastAsia="zh-CN" w:bidi="ar-SA"/>
        </w:rPr>
        <w:t>督促各部门制定、修订或完善制度共29个，</w:t>
      </w:r>
      <w:r>
        <w:rPr>
          <w:rFonts w:hint="default" w:ascii="Times New Roman" w:hAnsi="Times New Roman" w:eastAsia="仿宋_GB2312" w:cs="Times New Roman"/>
          <w:b w:val="0"/>
          <w:bCs w:val="0"/>
          <w:color w:val="auto"/>
          <w:spacing w:val="-4"/>
          <w:sz w:val="32"/>
          <w:szCs w:val="32"/>
          <w:highlight w:val="none"/>
        </w:rPr>
        <w:t>涉及</w:t>
      </w:r>
      <w:r>
        <w:rPr>
          <w:rFonts w:hint="default" w:ascii="Times New Roman" w:hAnsi="Times New Roman" w:eastAsia="仿宋_GB2312" w:cs="Times New Roman"/>
          <w:b w:val="0"/>
          <w:bCs w:val="0"/>
          <w:color w:val="auto"/>
          <w:spacing w:val="-4"/>
          <w:sz w:val="32"/>
          <w:szCs w:val="32"/>
          <w:highlight w:val="none"/>
          <w:lang w:val="en-US" w:eastAsia="zh-CN"/>
        </w:rPr>
        <w:t>信贷业务、信贷档案管理、</w:t>
      </w:r>
      <w:r>
        <w:rPr>
          <w:rFonts w:hint="default" w:ascii="Times New Roman" w:hAnsi="Times New Roman" w:eastAsia="仿宋_GB2312" w:cs="Times New Roman"/>
          <w:color w:val="auto"/>
          <w:sz w:val="32"/>
          <w:szCs w:val="32"/>
          <w:highlight w:val="none"/>
          <w:lang w:val="en-US" w:eastAsia="zh-CN"/>
        </w:rPr>
        <w:t>文明规范服务、信访工作、作风整顿、制度建立方面、同业业务</w:t>
      </w:r>
      <w:r>
        <w:rPr>
          <w:rFonts w:hint="default" w:ascii="Times New Roman" w:hAnsi="Times New Roman" w:eastAsia="仿宋_GB2312" w:cs="Times New Roman"/>
          <w:b w:val="0"/>
          <w:bCs w:val="0"/>
          <w:color w:val="auto"/>
          <w:spacing w:val="-4"/>
          <w:sz w:val="32"/>
          <w:szCs w:val="32"/>
          <w:highlight w:val="none"/>
        </w:rPr>
        <w:t>等方面。</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lang w:val="en-US" w:eastAsia="zh-CN"/>
        </w:rPr>
        <w:t>.对</w:t>
      </w:r>
      <w:r>
        <w:rPr>
          <w:rFonts w:hint="default" w:ascii="Times New Roman" w:hAnsi="Times New Roman" w:eastAsia="仿宋_GB2312" w:cs="Times New Roman"/>
          <w:b w:val="0"/>
          <w:bCs w:val="0"/>
          <w:color w:val="auto"/>
          <w:sz w:val="32"/>
          <w:szCs w:val="32"/>
          <w:highlight w:val="none"/>
          <w:lang w:eastAsia="zh-CN"/>
        </w:rPr>
        <w:t>内部稽核审计工作</w:t>
      </w:r>
      <w:r>
        <w:rPr>
          <w:rFonts w:hint="default" w:ascii="Times New Roman" w:hAnsi="Times New Roman" w:eastAsia="仿宋_GB2312" w:cs="Times New Roman"/>
          <w:b w:val="0"/>
          <w:bCs w:val="0"/>
          <w:color w:val="auto"/>
          <w:sz w:val="32"/>
          <w:szCs w:val="32"/>
          <w:highlight w:val="none"/>
          <w:lang w:val="en-US" w:eastAsia="zh-CN"/>
        </w:rPr>
        <w:t>的</w:t>
      </w:r>
      <w:r>
        <w:rPr>
          <w:rFonts w:hint="default" w:ascii="Times New Roman" w:hAnsi="Times New Roman" w:eastAsia="仿宋_GB2312" w:cs="Times New Roman"/>
          <w:b w:val="0"/>
          <w:bCs w:val="0"/>
          <w:color w:val="auto"/>
          <w:sz w:val="32"/>
          <w:szCs w:val="32"/>
          <w:highlight w:val="none"/>
          <w:lang w:eastAsia="zh-CN"/>
        </w:rPr>
        <w:t>监督指导。</w:t>
      </w:r>
      <w:r>
        <w:rPr>
          <w:rFonts w:hint="eastAsia" w:ascii="黑体" w:hAnsi="黑体" w:eastAsia="黑体" w:cs="黑体"/>
          <w:b w:val="0"/>
          <w:bCs w:val="0"/>
          <w:color w:val="auto"/>
          <w:sz w:val="32"/>
          <w:szCs w:val="32"/>
          <w:highlight w:val="none"/>
          <w:lang w:val="en-US" w:eastAsia="zh-CN"/>
        </w:rPr>
        <w:t>一是</w:t>
      </w:r>
      <w:r>
        <w:rPr>
          <w:rFonts w:hint="default" w:ascii="Times New Roman" w:hAnsi="Times New Roman" w:eastAsia="仿宋_GB2312" w:cs="Times New Roman"/>
          <w:b w:val="0"/>
          <w:bCs w:val="0"/>
          <w:color w:val="auto"/>
          <w:sz w:val="32"/>
          <w:szCs w:val="32"/>
          <w:highlight w:val="none"/>
          <w:lang w:eastAsia="zh-CN"/>
        </w:rPr>
        <w:t>督</w:t>
      </w:r>
      <w:r>
        <w:rPr>
          <w:rFonts w:hint="default" w:ascii="Times New Roman" w:hAnsi="Times New Roman" w:eastAsia="仿宋_GB2312" w:cs="Times New Roman"/>
          <w:b w:val="0"/>
          <w:bCs w:val="0"/>
          <w:color w:val="auto"/>
          <w:sz w:val="32"/>
          <w:szCs w:val="32"/>
          <w:highlight w:val="none"/>
          <w:lang w:val="en-US" w:eastAsia="zh-CN"/>
        </w:rPr>
        <w:t>促</w:t>
      </w:r>
      <w:r>
        <w:rPr>
          <w:rFonts w:hint="default" w:ascii="Times New Roman" w:hAnsi="Times New Roman" w:eastAsia="仿宋_GB2312" w:cs="Times New Roman"/>
          <w:b w:val="0"/>
          <w:bCs w:val="0"/>
          <w:color w:val="auto"/>
          <w:sz w:val="32"/>
          <w:szCs w:val="32"/>
          <w:highlight w:val="none"/>
          <w:lang w:eastAsia="zh-CN"/>
        </w:rPr>
        <w:t>稽核审计部</w:t>
      </w:r>
      <w:r>
        <w:rPr>
          <w:rFonts w:hint="default" w:ascii="Times New Roman" w:hAnsi="Times New Roman" w:eastAsia="仿宋_GB2312" w:cs="Times New Roman"/>
          <w:b w:val="0"/>
          <w:bCs w:val="0"/>
          <w:color w:val="auto"/>
          <w:sz w:val="32"/>
          <w:szCs w:val="32"/>
          <w:highlight w:val="none"/>
          <w:lang w:val="en-US" w:eastAsia="zh-CN"/>
        </w:rPr>
        <w:t>根据</w:t>
      </w:r>
      <w:r>
        <w:rPr>
          <w:rFonts w:hint="eastAsia" w:ascii="Times New Roman" w:hAnsi="Times New Roman" w:eastAsia="仿宋_GB2312" w:cs="Times New Roman"/>
          <w:color w:val="auto"/>
          <w:sz w:val="32"/>
          <w:szCs w:val="32"/>
          <w:highlight w:val="none"/>
          <w:lang w:val="en-US" w:eastAsia="zh-CN"/>
        </w:rPr>
        <w:t>监管</w:t>
      </w:r>
      <w:r>
        <w:rPr>
          <w:rFonts w:hint="default" w:ascii="Times New Roman" w:hAnsi="Times New Roman" w:eastAsia="仿宋_GB2312" w:cs="Times New Roman"/>
          <w:color w:val="auto"/>
          <w:sz w:val="32"/>
          <w:szCs w:val="32"/>
          <w:highlight w:val="none"/>
        </w:rPr>
        <w:t>要求</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围绕省联社</w:t>
      </w: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年稽核审计工作要点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制定符合我行实际情况的</w:t>
      </w: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年稽核审计工作要点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有序地开展审计工作，提高审计效率。</w:t>
      </w:r>
      <w:r>
        <w:rPr>
          <w:rFonts w:hint="eastAsia" w:ascii="黑体" w:hAnsi="黑体" w:eastAsia="黑体" w:cs="黑体"/>
          <w:b w:val="0"/>
          <w:bCs w:val="0"/>
          <w:color w:val="auto"/>
          <w:sz w:val="32"/>
          <w:szCs w:val="32"/>
          <w:highlight w:val="none"/>
          <w:lang w:val="en-US" w:eastAsia="zh-CN"/>
        </w:rPr>
        <w:t>二是</w:t>
      </w:r>
      <w:r>
        <w:rPr>
          <w:rFonts w:hint="default" w:ascii="Times New Roman" w:hAnsi="Times New Roman" w:eastAsia="仿宋_GB2312" w:cs="Times New Roman"/>
          <w:b w:val="0"/>
          <w:bCs w:val="0"/>
          <w:color w:val="auto"/>
          <w:sz w:val="32"/>
          <w:szCs w:val="32"/>
          <w:highlight w:val="none"/>
          <w:lang w:val="en-US" w:eastAsia="zh-CN"/>
        </w:rPr>
        <w:t>指导</w:t>
      </w:r>
      <w:r>
        <w:rPr>
          <w:rFonts w:hint="default" w:ascii="Times New Roman" w:hAnsi="Times New Roman" w:eastAsia="仿宋_GB2312" w:cs="Times New Roman"/>
          <w:color w:val="auto"/>
          <w:sz w:val="32"/>
          <w:szCs w:val="32"/>
          <w:highlight w:val="none"/>
          <w:lang w:val="en-US" w:eastAsia="zh-CN"/>
        </w:rPr>
        <w:t>稽核审计部全面完成2024年审计项目30项，</w:t>
      </w:r>
      <w:r>
        <w:rPr>
          <w:rFonts w:hint="eastAsia" w:ascii="Times New Roman" w:hAnsi="Times New Roman" w:eastAsia="仿宋_GB2312" w:cs="Times New Roman"/>
          <w:color w:val="auto"/>
          <w:sz w:val="32"/>
          <w:szCs w:val="32"/>
          <w:highlight w:val="none"/>
          <w:lang w:val="en-US" w:eastAsia="zh-CN"/>
        </w:rPr>
        <w:t>审计</w:t>
      </w:r>
      <w:r>
        <w:rPr>
          <w:rFonts w:hint="default" w:ascii="Times New Roman" w:hAnsi="Times New Roman" w:eastAsia="仿宋_GB2312" w:cs="Times New Roman"/>
          <w:color w:val="auto"/>
          <w:sz w:val="32"/>
          <w:szCs w:val="32"/>
          <w:highlight w:val="none"/>
        </w:rPr>
        <w:t>发现问题</w:t>
      </w:r>
      <w:r>
        <w:rPr>
          <w:rFonts w:hint="default" w:ascii="Times New Roman" w:hAnsi="Times New Roman" w:eastAsia="仿宋_GB2312" w:cs="Times New Roman"/>
          <w:color w:val="auto"/>
          <w:sz w:val="32"/>
          <w:szCs w:val="32"/>
          <w:highlight w:val="none"/>
          <w:lang w:val="en-US" w:eastAsia="zh-CN"/>
        </w:rPr>
        <w:t>840</w:t>
      </w:r>
      <w:r>
        <w:rPr>
          <w:rFonts w:hint="default" w:ascii="Times New Roman" w:hAnsi="Times New Roman" w:eastAsia="仿宋_GB2312" w:cs="Times New Roman"/>
          <w:color w:val="auto"/>
          <w:sz w:val="32"/>
          <w:szCs w:val="32"/>
          <w:highlight w:val="none"/>
        </w:rPr>
        <w:t>个，</w:t>
      </w:r>
      <w:r>
        <w:rPr>
          <w:rFonts w:hint="default" w:ascii="Times New Roman" w:hAnsi="Times New Roman" w:eastAsia="仿宋_GB2312" w:cs="Times New Roman"/>
          <w:color w:val="auto"/>
          <w:sz w:val="32"/>
          <w:szCs w:val="32"/>
          <w:highlight w:val="none"/>
          <w:lang w:val="en-US" w:eastAsia="zh-CN"/>
        </w:rPr>
        <w:t>完成整改773个，整改率92%。</w:t>
      </w:r>
      <w:r>
        <w:rPr>
          <w:rFonts w:hint="eastAsia" w:ascii="黑体" w:hAnsi="黑体" w:eastAsia="黑体" w:cs="黑体"/>
          <w:b w:val="0"/>
          <w:bCs w:val="0"/>
          <w:color w:val="auto"/>
          <w:sz w:val="32"/>
          <w:szCs w:val="32"/>
          <w:highlight w:val="none"/>
          <w:lang w:val="en-US" w:eastAsia="zh-CN"/>
        </w:rPr>
        <w:t>三是</w:t>
      </w:r>
      <w:r>
        <w:rPr>
          <w:rFonts w:hint="default" w:ascii="Times New Roman" w:hAnsi="Times New Roman" w:eastAsia="仿宋_GB2312" w:cs="Times New Roman"/>
          <w:b w:val="0"/>
          <w:bCs w:val="0"/>
          <w:color w:val="auto"/>
          <w:sz w:val="32"/>
          <w:szCs w:val="32"/>
          <w:highlight w:val="none"/>
          <w:lang w:val="en-US" w:eastAsia="zh-CN"/>
        </w:rPr>
        <w:t>指导</w:t>
      </w:r>
      <w:r>
        <w:rPr>
          <w:rFonts w:hint="default" w:ascii="Times New Roman" w:hAnsi="Times New Roman" w:eastAsia="仿宋_GB2312" w:cs="Times New Roman"/>
          <w:color w:val="auto"/>
          <w:sz w:val="32"/>
          <w:szCs w:val="32"/>
          <w:highlight w:val="none"/>
          <w:lang w:val="en-US" w:eastAsia="zh-CN"/>
        </w:rPr>
        <w:t>稽核审计部对新增大额贷款</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新增贷款逾期率高的支行开展全面检查，对检查发现的</w:t>
      </w:r>
      <w:r>
        <w:rPr>
          <w:rFonts w:hint="default" w:ascii="Times New Roman" w:hAnsi="Times New Roman" w:eastAsia="仿宋_GB2312" w:cs="Times New Roman"/>
          <w:color w:val="auto"/>
          <w:sz w:val="32"/>
          <w:szCs w:val="32"/>
          <w:highlight w:val="none"/>
        </w:rPr>
        <w:t>问题</w:t>
      </w:r>
      <w:r>
        <w:rPr>
          <w:rFonts w:hint="default" w:ascii="Times New Roman" w:hAnsi="Times New Roman" w:eastAsia="仿宋_GB2312" w:cs="Times New Roman"/>
          <w:color w:val="auto"/>
          <w:sz w:val="32"/>
          <w:szCs w:val="32"/>
          <w:highlight w:val="none"/>
          <w:lang w:val="en-US" w:eastAsia="zh-CN"/>
        </w:rPr>
        <w:t>及时向总行报告，同时将相关</w:t>
      </w:r>
      <w:r>
        <w:rPr>
          <w:rFonts w:hint="eastAsia" w:ascii="Times New Roman" w:hAnsi="Times New Roman" w:eastAsia="仿宋_GB2312" w:cs="Times New Roman"/>
          <w:color w:val="auto"/>
          <w:sz w:val="32"/>
          <w:szCs w:val="32"/>
          <w:highlight w:val="none"/>
          <w:lang w:val="en-US" w:eastAsia="zh-CN"/>
        </w:rPr>
        <w:t>违规行为</w:t>
      </w:r>
      <w:r>
        <w:rPr>
          <w:rFonts w:hint="default" w:ascii="Times New Roman" w:hAnsi="Times New Roman" w:eastAsia="仿宋_GB2312" w:cs="Times New Roman"/>
          <w:color w:val="auto"/>
          <w:sz w:val="32"/>
          <w:szCs w:val="32"/>
          <w:highlight w:val="none"/>
          <w:lang w:val="en-US" w:eastAsia="zh-CN"/>
        </w:rPr>
        <w:t>移送至问责委员会进行问责处理。</w:t>
      </w:r>
      <w:r>
        <w:rPr>
          <w:rFonts w:hint="eastAsia" w:ascii="黑体" w:hAnsi="黑体" w:eastAsia="黑体" w:cs="黑体"/>
          <w:b w:val="0"/>
          <w:bCs w:val="0"/>
          <w:color w:val="auto"/>
          <w:sz w:val="32"/>
          <w:szCs w:val="32"/>
          <w:highlight w:val="none"/>
          <w:lang w:val="en-US" w:eastAsia="zh-CN"/>
        </w:rPr>
        <w:t>四是</w:t>
      </w:r>
      <w:r>
        <w:rPr>
          <w:rFonts w:hint="default" w:ascii="Times New Roman" w:hAnsi="Times New Roman" w:eastAsia="仿宋_GB2312" w:cs="Times New Roman"/>
          <w:b w:val="0"/>
          <w:bCs w:val="0"/>
          <w:color w:val="auto"/>
          <w:sz w:val="32"/>
          <w:szCs w:val="32"/>
          <w:highlight w:val="none"/>
          <w:lang w:val="en-US" w:eastAsia="zh-CN"/>
        </w:rPr>
        <w:t>指导</w:t>
      </w:r>
      <w:r>
        <w:rPr>
          <w:rFonts w:hint="default" w:ascii="Times New Roman" w:hAnsi="Times New Roman" w:eastAsia="仿宋_GB2312" w:cs="Times New Roman"/>
          <w:color w:val="auto"/>
          <w:sz w:val="32"/>
          <w:szCs w:val="32"/>
          <w:highlight w:val="none"/>
          <w:lang w:val="en-US" w:eastAsia="zh-CN"/>
        </w:rPr>
        <w:t>稽核审计部</w:t>
      </w:r>
      <w:r>
        <w:rPr>
          <w:rFonts w:hint="default" w:ascii="Times New Roman" w:hAnsi="Times New Roman" w:eastAsia="仿宋_GB2312" w:cs="Times New Roman"/>
          <w:b w:val="0"/>
          <w:bCs w:val="0"/>
          <w:color w:val="auto"/>
          <w:sz w:val="32"/>
          <w:szCs w:val="32"/>
          <w:highlight w:val="none"/>
          <w:lang w:val="en-US" w:eastAsia="zh-CN"/>
        </w:rPr>
        <w:t>对信贷领域检查</w:t>
      </w:r>
      <w:r>
        <w:rPr>
          <w:rFonts w:hint="default" w:ascii="Times New Roman" w:hAnsi="Times New Roman" w:eastAsia="仿宋_GB2312" w:cs="Times New Roman"/>
          <w:color w:val="auto"/>
          <w:sz w:val="32"/>
          <w:szCs w:val="32"/>
          <w:highlight w:val="none"/>
          <w:lang w:val="en-US" w:eastAsia="zh-CN"/>
        </w:rPr>
        <w:t>发现的问题及时向业务部门、人力资源部</w:t>
      </w:r>
      <w:r>
        <w:rPr>
          <w:rFonts w:hint="default" w:ascii="Times New Roman" w:hAnsi="Times New Roman" w:eastAsia="仿宋_GB2312" w:cs="Times New Roman"/>
          <w:color w:val="auto"/>
          <w:sz w:val="32"/>
          <w:szCs w:val="32"/>
          <w:highlight w:val="none"/>
          <w:lang w:eastAsia="zh-CN"/>
        </w:rPr>
        <w:t>提出</w:t>
      </w:r>
      <w:r>
        <w:rPr>
          <w:rFonts w:hint="default" w:ascii="Times New Roman" w:hAnsi="Times New Roman" w:eastAsia="仿宋_GB2312" w:cs="Times New Roman"/>
          <w:color w:val="auto"/>
          <w:sz w:val="32"/>
          <w:szCs w:val="32"/>
          <w:highlight w:val="none"/>
          <w:lang w:val="en-US" w:eastAsia="zh-CN"/>
        </w:rPr>
        <w:t>合理化</w:t>
      </w:r>
      <w:r>
        <w:rPr>
          <w:rFonts w:hint="default" w:ascii="Times New Roman" w:hAnsi="Times New Roman" w:eastAsia="仿宋_GB2312" w:cs="Times New Roman"/>
          <w:color w:val="auto"/>
          <w:sz w:val="32"/>
          <w:szCs w:val="32"/>
          <w:highlight w:val="none"/>
          <w:lang w:eastAsia="zh-CN"/>
        </w:rPr>
        <w:t>建议</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同时对营业网点信贷业务存在的</w:t>
      </w:r>
      <w:r>
        <w:rPr>
          <w:rFonts w:hint="default" w:ascii="Times New Roman" w:hAnsi="Times New Roman" w:eastAsia="仿宋_GB2312" w:cs="Times New Roman"/>
          <w:color w:val="auto"/>
          <w:sz w:val="32"/>
          <w:szCs w:val="32"/>
          <w:highlight w:val="none"/>
        </w:rPr>
        <w:t>问题</w:t>
      </w:r>
      <w:r>
        <w:rPr>
          <w:rFonts w:hint="default" w:ascii="Times New Roman" w:hAnsi="Times New Roman" w:eastAsia="仿宋_GB2312" w:cs="Times New Roman"/>
          <w:color w:val="auto"/>
          <w:sz w:val="32"/>
          <w:szCs w:val="32"/>
          <w:highlight w:val="none"/>
          <w:lang w:val="en-US" w:eastAsia="zh-CN"/>
        </w:rPr>
        <w:t>进行</w:t>
      </w:r>
      <w:r>
        <w:rPr>
          <w:rFonts w:hint="default" w:ascii="Times New Roman" w:hAnsi="Times New Roman" w:eastAsia="仿宋_GB2312" w:cs="Times New Roman"/>
          <w:color w:val="auto"/>
          <w:sz w:val="32"/>
          <w:szCs w:val="32"/>
          <w:highlight w:val="none"/>
        </w:rPr>
        <w:t>汇总、分析，</w:t>
      </w:r>
      <w:r>
        <w:rPr>
          <w:rFonts w:hint="default" w:ascii="Times New Roman" w:hAnsi="Times New Roman" w:eastAsia="仿宋_GB2312" w:cs="Times New Roman"/>
          <w:color w:val="auto"/>
          <w:sz w:val="32"/>
          <w:szCs w:val="32"/>
          <w:highlight w:val="none"/>
          <w:lang w:val="en-US" w:eastAsia="zh-CN"/>
        </w:rPr>
        <w:t>2024</w:t>
      </w:r>
      <w:r>
        <w:rPr>
          <w:rFonts w:hint="default" w:ascii="Times New Roman" w:hAnsi="Times New Roman" w:eastAsia="仿宋_GB2312" w:cs="Times New Roman"/>
          <w:color w:val="auto"/>
          <w:sz w:val="32"/>
          <w:szCs w:val="32"/>
          <w:highlight w:val="none"/>
          <w:lang w:eastAsia="zh-CN"/>
        </w:rPr>
        <w:t>年</w:t>
      </w:r>
      <w:r>
        <w:rPr>
          <w:rFonts w:hint="default" w:ascii="Times New Roman" w:hAnsi="Times New Roman" w:eastAsia="仿宋_GB2312" w:cs="Times New Roman"/>
          <w:color w:val="auto"/>
          <w:sz w:val="32"/>
          <w:szCs w:val="32"/>
          <w:highlight w:val="none"/>
        </w:rPr>
        <w:t>累计</w:t>
      </w:r>
      <w:r>
        <w:rPr>
          <w:rFonts w:hint="default" w:ascii="Times New Roman" w:hAnsi="Times New Roman" w:eastAsia="仿宋_GB2312" w:cs="Times New Roman"/>
          <w:color w:val="auto"/>
          <w:sz w:val="32"/>
          <w:szCs w:val="32"/>
          <w:highlight w:val="none"/>
          <w:lang w:val="en-US" w:eastAsia="zh-CN"/>
        </w:rPr>
        <w:t>下发</w:t>
      </w:r>
      <w:r>
        <w:rPr>
          <w:rFonts w:hint="default" w:ascii="Times New Roman" w:hAnsi="Times New Roman" w:eastAsia="仿宋_GB2312" w:cs="Times New Roman"/>
          <w:color w:val="auto"/>
          <w:sz w:val="32"/>
          <w:szCs w:val="32"/>
          <w:highlight w:val="none"/>
          <w:lang w:eastAsia="zh-CN"/>
        </w:rPr>
        <w:t>稽核辅导</w:t>
      </w:r>
      <w:r>
        <w:rPr>
          <w:rFonts w:hint="default" w:ascii="Times New Roman" w:hAnsi="Times New Roman" w:eastAsia="仿宋_GB2312" w:cs="Times New Roman"/>
          <w:color w:val="auto"/>
          <w:sz w:val="32"/>
          <w:szCs w:val="32"/>
          <w:highlight w:val="none"/>
          <w:lang w:val="en-US" w:eastAsia="zh-CN"/>
        </w:rPr>
        <w:t>30</w:t>
      </w:r>
      <w:r>
        <w:rPr>
          <w:rFonts w:hint="default" w:ascii="Times New Roman" w:hAnsi="Times New Roman" w:eastAsia="仿宋_GB2312" w:cs="Times New Roman"/>
          <w:color w:val="auto"/>
          <w:sz w:val="32"/>
          <w:szCs w:val="32"/>
          <w:highlight w:val="none"/>
        </w:rPr>
        <w:t>次</w:t>
      </w:r>
      <w:r>
        <w:rPr>
          <w:rFonts w:hint="default" w:ascii="Times New Roman" w:hAnsi="Times New Roman" w:eastAsia="仿宋_GB2312" w:cs="Times New Roman"/>
          <w:color w:val="auto"/>
          <w:sz w:val="32"/>
          <w:szCs w:val="32"/>
          <w:highlight w:val="none"/>
          <w:lang w:eastAsia="zh-CN"/>
        </w:rPr>
        <w:t>。</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2"/>
          <w:sz w:val="32"/>
          <w:szCs w:val="32"/>
          <w:highlight w:val="none"/>
        </w:rPr>
        <w:t>监事会审查后认为：报告期本</w:t>
      </w:r>
      <w:r>
        <w:rPr>
          <w:rFonts w:hint="default" w:ascii="Times New Roman" w:hAnsi="Times New Roman" w:eastAsia="仿宋_GB2312" w:cs="Times New Roman"/>
          <w:color w:val="auto"/>
          <w:kern w:val="2"/>
          <w:sz w:val="32"/>
          <w:szCs w:val="32"/>
          <w:highlight w:val="none"/>
          <w:lang w:val="en-US" w:eastAsia="zh-CN"/>
        </w:rPr>
        <w:t>行经营管理、案件防控、</w:t>
      </w:r>
      <w:r>
        <w:rPr>
          <w:rFonts w:hint="default" w:ascii="Times New Roman" w:hAnsi="Times New Roman" w:eastAsia="仿宋_GB2312" w:cs="Times New Roman"/>
          <w:color w:val="auto"/>
          <w:kern w:val="2"/>
          <w:sz w:val="32"/>
          <w:szCs w:val="32"/>
          <w:highlight w:val="none"/>
        </w:rPr>
        <w:t>内控管理工作有序开展，并取得了一定的成效</w:t>
      </w:r>
      <w:r>
        <w:rPr>
          <w:rFonts w:hint="eastAsia" w:ascii="Times New Roman" w:hAnsi="Times New Roman" w:eastAsia="仿宋_GB2312"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lang w:val="en-US" w:eastAsia="zh-CN"/>
        </w:rPr>
        <w:t>稽核审计有效履职，充分发挥为业务发展保驾护航作用</w:t>
      </w:r>
      <w:r>
        <w:rPr>
          <w:rFonts w:hint="eastAsia" w:ascii="Times New Roman" w:hAnsi="Times New Roman" w:eastAsia="仿宋_GB2312" w:cs="Times New Roman"/>
          <w:color w:val="auto"/>
          <w:kern w:val="2"/>
          <w:sz w:val="32"/>
          <w:szCs w:val="32"/>
          <w:highlight w:val="none"/>
          <w:lang w:val="en-US" w:eastAsia="zh-CN"/>
        </w:rPr>
        <w:t>；内控制度执行得到进一步规范，合规意识逐步得到强化，全行风险总体可控</w:t>
      </w:r>
      <w:r>
        <w:rPr>
          <w:rFonts w:hint="default" w:ascii="Times New Roman" w:hAnsi="Times New Roman" w:eastAsia="仿宋_GB2312" w:cs="Times New Roman"/>
          <w:color w:val="auto"/>
          <w:kern w:val="2"/>
          <w:sz w:val="32"/>
          <w:szCs w:val="32"/>
          <w:highlight w:val="none"/>
        </w:rPr>
        <w:t>。</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三、对董事会、高级管理层工作的评价</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2024年是安顺农商银行实现由“强机关”向“强支行”的“深化转型年”。</w:t>
      </w:r>
      <w:r>
        <w:rPr>
          <w:rFonts w:hint="default" w:ascii="Times New Roman" w:hAnsi="Times New Roman" w:eastAsia="仿宋_GB2312" w:cs="Times New Roman"/>
          <w:color w:val="auto"/>
          <w:sz w:val="32"/>
          <w:szCs w:val="32"/>
          <w:highlight w:val="none"/>
        </w:rPr>
        <w:t>董事会、高级管理层</w:t>
      </w:r>
      <w:r>
        <w:rPr>
          <w:rFonts w:hint="default" w:ascii="Times New Roman" w:hAnsi="Times New Roman" w:eastAsia="仿宋_GB2312" w:cs="Times New Roman"/>
          <w:b w:val="0"/>
          <w:bCs w:val="0"/>
          <w:color w:val="auto"/>
          <w:kern w:val="2"/>
          <w:sz w:val="32"/>
          <w:szCs w:val="32"/>
          <w:highlight w:val="none"/>
          <w:lang w:val="en-US" w:eastAsia="zh-CN" w:bidi="ar-SA"/>
        </w:rPr>
        <w:t>牢牢把握省联社、安顺审计中心具体工作要求，按照“十四五”发展战略纲要部署，</w:t>
      </w:r>
      <w:r>
        <w:rPr>
          <w:rFonts w:hint="default" w:ascii="Times New Roman" w:hAnsi="Times New Roman" w:eastAsia="仿宋_GB2312" w:cs="Times New Roman"/>
          <w:color w:val="auto"/>
          <w:kern w:val="2"/>
          <w:sz w:val="32"/>
          <w:szCs w:val="32"/>
          <w:highlight w:val="none"/>
          <w:lang w:val="en-US" w:eastAsia="zh-CN" w:bidi="ar-SA"/>
        </w:rPr>
        <w:t>紧紧</w:t>
      </w:r>
      <w:r>
        <w:rPr>
          <w:rFonts w:hint="default" w:ascii="Times New Roman" w:hAnsi="Times New Roman" w:eastAsia="仿宋_GB2312" w:cs="Times New Roman"/>
          <w:b w:val="0"/>
          <w:bCs w:val="0"/>
          <w:color w:val="auto"/>
          <w:kern w:val="2"/>
          <w:sz w:val="32"/>
          <w:szCs w:val="32"/>
          <w:highlight w:val="none"/>
          <w:lang w:val="en-US" w:eastAsia="zh-CN" w:bidi="ar-SA"/>
        </w:rPr>
        <w:t>围绕“一深三拓两稳”的客群定位，聚焦主责主业</w:t>
      </w:r>
      <w:r>
        <w:rPr>
          <w:rFonts w:hint="default" w:ascii="Times New Roman" w:hAnsi="Times New Roman" w:eastAsia="仿宋_GB2312" w:cs="Times New Roman"/>
          <w:color w:val="auto"/>
          <w:kern w:val="2"/>
          <w:sz w:val="32"/>
          <w:szCs w:val="32"/>
          <w:highlight w:val="none"/>
          <w:lang w:val="en-US" w:eastAsia="zh-CN" w:bidi="ar-SA"/>
        </w:rPr>
        <w:t>，初步实现预期目标。</w:t>
      </w:r>
      <w:r>
        <w:rPr>
          <w:rFonts w:hint="default" w:ascii="Times New Roman" w:hAnsi="Times New Roman" w:eastAsia="仿宋_GB2312" w:cs="Times New Roman"/>
          <w:color w:val="auto"/>
          <w:sz w:val="32"/>
          <w:szCs w:val="32"/>
          <w:highlight w:val="none"/>
          <w:lang w:val="en-US" w:eastAsia="zh-CN"/>
        </w:rPr>
        <w:t>监事会对</w:t>
      </w:r>
      <w:r>
        <w:rPr>
          <w:rFonts w:hint="default" w:ascii="Times New Roman" w:hAnsi="Times New Roman" w:eastAsia="仿宋_GB2312" w:cs="Times New Roman"/>
          <w:color w:val="auto"/>
          <w:sz w:val="32"/>
          <w:szCs w:val="32"/>
          <w:highlight w:val="none"/>
        </w:rPr>
        <w:t>董事会、高级管理层</w:t>
      </w:r>
      <w:r>
        <w:rPr>
          <w:rFonts w:hint="default" w:ascii="Times New Roman" w:hAnsi="Times New Roman" w:eastAsia="仿宋_GB2312" w:cs="Times New Roman"/>
          <w:color w:val="auto"/>
          <w:sz w:val="32"/>
          <w:szCs w:val="32"/>
          <w:highlight w:val="none"/>
          <w:lang w:val="en-US" w:eastAsia="zh-CN"/>
        </w:rPr>
        <w:t>一年来的工作评价如下：</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（一）业务总体保持增长。</w:t>
      </w:r>
      <w:r>
        <w:rPr>
          <w:rFonts w:hint="default" w:ascii="Times New Roman" w:hAnsi="Times New Roman" w:eastAsia="仿宋_GB2312" w:cs="Times New Roman"/>
          <w:color w:val="auto"/>
          <w:sz w:val="32"/>
          <w:szCs w:val="32"/>
          <w:highlight w:val="none"/>
          <w:lang w:val="en-US" w:eastAsia="zh-CN"/>
        </w:rPr>
        <w:t>董事会及高级管理层按照省联社及本行董事会确定的各项目标任务，不断开拓业务渠道，优化负债结构、客户结构，推动增收节支管理落地。</w:t>
      </w:r>
      <w:r>
        <w:rPr>
          <w:rFonts w:hint="default" w:ascii="Times New Roman" w:hAnsi="Times New Roman" w:eastAsia="仿宋_GB2312" w:cs="Times New Roman"/>
          <w:color w:val="auto"/>
          <w:sz w:val="32"/>
          <w:szCs w:val="32"/>
          <w:highlight w:val="none"/>
        </w:rPr>
        <w:t>截</w:t>
      </w:r>
      <w:r>
        <w:rPr>
          <w:rFonts w:hint="eastAsia" w:ascii="Times New Roman" w:hAnsi="Times New Roman" w:eastAsia="仿宋_GB2312" w:cs="Times New Roman"/>
          <w:color w:val="auto"/>
          <w:sz w:val="32"/>
          <w:szCs w:val="32"/>
          <w:highlight w:val="none"/>
          <w:lang w:val="en-US" w:eastAsia="zh-CN"/>
        </w:rPr>
        <w:t>至</w:t>
      </w:r>
      <w:r>
        <w:rPr>
          <w:rFonts w:hint="default" w:ascii="Times New Roman" w:hAnsi="Times New Roman" w:eastAsia="仿宋_GB2312" w:cs="Times New Roman"/>
          <w:color w:val="auto"/>
          <w:sz w:val="32"/>
          <w:szCs w:val="32"/>
          <w:highlight w:val="none"/>
        </w:rPr>
        <w:t>2024年</w:t>
      </w:r>
      <w:r>
        <w:rPr>
          <w:rFonts w:hint="default"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szCs w:val="32"/>
          <w:highlight w:val="none"/>
        </w:rPr>
        <w:t>月末，各项存款余额</w:t>
      </w:r>
      <w:r>
        <w:rPr>
          <w:rFonts w:hint="default" w:ascii="Times New Roman" w:hAnsi="Times New Roman" w:eastAsia="仿宋_GB2312" w:cs="Times New Roman"/>
          <w:color w:val="auto"/>
          <w:sz w:val="32"/>
          <w:szCs w:val="32"/>
          <w:highlight w:val="none"/>
          <w:lang w:val="en-US" w:eastAsia="zh-CN"/>
        </w:rPr>
        <w:t>138.76</w:t>
      </w:r>
      <w:r>
        <w:rPr>
          <w:rFonts w:hint="default" w:ascii="Times New Roman" w:hAnsi="Times New Roman" w:eastAsia="仿宋_GB2312" w:cs="Times New Roman"/>
          <w:color w:val="auto"/>
          <w:sz w:val="32"/>
          <w:szCs w:val="32"/>
          <w:highlight w:val="none"/>
        </w:rPr>
        <w:t>亿元，较年初增加</w:t>
      </w:r>
      <w:r>
        <w:rPr>
          <w:rFonts w:hint="default" w:ascii="Times New Roman" w:hAnsi="Times New Roman" w:eastAsia="仿宋_GB2312" w:cs="Times New Roman"/>
          <w:color w:val="auto"/>
          <w:sz w:val="32"/>
          <w:szCs w:val="32"/>
          <w:highlight w:val="none"/>
          <w:lang w:val="en-US" w:eastAsia="zh-CN"/>
        </w:rPr>
        <w:t>7.11</w:t>
      </w:r>
      <w:r>
        <w:rPr>
          <w:rFonts w:hint="default" w:ascii="Times New Roman" w:hAnsi="Times New Roman" w:eastAsia="仿宋_GB2312" w:cs="Times New Roman"/>
          <w:color w:val="auto"/>
          <w:sz w:val="32"/>
          <w:szCs w:val="32"/>
          <w:highlight w:val="none"/>
        </w:rPr>
        <w:t>亿元，增幅</w:t>
      </w:r>
      <w:r>
        <w:rPr>
          <w:rFonts w:hint="default" w:ascii="Times New Roman" w:hAnsi="Times New Roman" w:eastAsia="仿宋_GB2312" w:cs="Times New Roman"/>
          <w:color w:val="auto"/>
          <w:sz w:val="32"/>
          <w:szCs w:val="32"/>
          <w:highlight w:val="none"/>
          <w:lang w:val="en-US" w:eastAsia="zh-CN"/>
        </w:rPr>
        <w:t>5.4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各项贷款余额116.17亿元，返算核销和批转后，较年初增加2.53亿元，增速2.13%</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numPr>
          <w:ilvl w:val="0"/>
          <w:numId w:val="0"/>
        </w:numPr>
        <w:kinsoku/>
        <w:wordWrap/>
        <w:overflowPunct/>
        <w:topLinePunct w:val="0"/>
        <w:autoSpaceDE/>
        <w:autoSpaceDN/>
        <w:bidi w:val="0"/>
        <w:spacing w:beforeLines="0" w:afterLines="0" w:line="560" w:lineRule="exact"/>
        <w:ind w:firstLine="640" w:firstLineChars="200"/>
        <w:textAlignment w:val="auto"/>
        <w:rPr>
          <w:rFonts w:hint="default" w:ascii="Times New Roman" w:hAnsi="Times New Roman" w:eastAsia="仿宋_GB2312" w:cs="Times New Roman"/>
          <w:b w:val="0"/>
          <w:bCs/>
          <w:color w:val="auto"/>
          <w:sz w:val="32"/>
          <w:szCs w:val="32"/>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（二）风险处置稳妥推进。</w:t>
      </w:r>
      <w:r>
        <w:rPr>
          <w:rFonts w:hint="default" w:ascii="Times New Roman" w:hAnsi="Times New Roman" w:eastAsia="仿宋_GB2312" w:cs="Times New Roman"/>
          <w:color w:val="auto"/>
          <w:sz w:val="32"/>
          <w:szCs w:val="32"/>
          <w:highlight w:val="none"/>
        </w:rPr>
        <w:t>董事会</w:t>
      </w:r>
      <w:r>
        <w:rPr>
          <w:rFonts w:hint="default" w:ascii="Times New Roman" w:hAnsi="Times New Roman" w:eastAsia="仿宋_GB2312" w:cs="Times New Roman"/>
          <w:color w:val="auto"/>
          <w:sz w:val="32"/>
          <w:szCs w:val="32"/>
          <w:highlight w:val="none"/>
          <w:lang w:val="en-US" w:eastAsia="zh-CN"/>
        </w:rPr>
        <w:t>及高级管理层不断完善</w:t>
      </w:r>
      <w:r>
        <w:rPr>
          <w:rFonts w:hint="default" w:ascii="Times New Roman" w:hAnsi="Times New Roman" w:eastAsia="仿宋_GB2312" w:cs="Times New Roman"/>
          <w:color w:val="auto"/>
          <w:sz w:val="32"/>
          <w:szCs w:val="32"/>
          <w:highlight w:val="none"/>
          <w:lang w:eastAsia="zh-CN"/>
        </w:rPr>
        <w:t>全面风险管理体系，建立多维联动清收机制，</w:t>
      </w:r>
      <w:r>
        <w:rPr>
          <w:rFonts w:hint="default" w:ascii="Times New Roman" w:hAnsi="Times New Roman" w:eastAsia="仿宋_GB2312" w:cs="Times New Roman"/>
          <w:color w:val="auto"/>
          <w:sz w:val="32"/>
          <w:szCs w:val="32"/>
          <w:highlight w:val="none"/>
          <w:lang w:val="en-US" w:eastAsia="zh-CN"/>
        </w:rPr>
        <w:t>拓宽</w:t>
      </w:r>
      <w:r>
        <w:rPr>
          <w:rFonts w:hint="default" w:ascii="Times New Roman" w:hAnsi="Times New Roman" w:eastAsia="仿宋_GB2312" w:cs="Times New Roman"/>
          <w:color w:val="auto"/>
          <w:sz w:val="32"/>
          <w:szCs w:val="32"/>
          <w:highlight w:val="none"/>
          <w:lang w:eastAsia="zh-CN"/>
        </w:rPr>
        <w:t>不良资产处置</w:t>
      </w:r>
      <w:r>
        <w:rPr>
          <w:rFonts w:hint="default" w:ascii="Times New Roman" w:hAnsi="Times New Roman" w:eastAsia="仿宋_GB2312" w:cs="Times New Roman"/>
          <w:color w:val="auto"/>
          <w:sz w:val="32"/>
          <w:szCs w:val="32"/>
          <w:highlight w:val="none"/>
          <w:lang w:val="en-US" w:eastAsia="zh-CN"/>
        </w:rPr>
        <w:t>渠道，</w:t>
      </w:r>
      <w:r>
        <w:rPr>
          <w:rFonts w:hint="default" w:ascii="Times New Roman" w:hAnsi="Times New Roman" w:eastAsia="仿宋_GB2312" w:cs="Times New Roman"/>
          <w:b w:val="0"/>
          <w:bCs/>
          <w:color w:val="auto"/>
          <w:sz w:val="32"/>
          <w:szCs w:val="32"/>
          <w:highlight w:val="none"/>
          <w:lang w:val="en-US" w:eastAsia="zh-CN"/>
        </w:rPr>
        <w:t>加大抵债资产处置力度，</w:t>
      </w:r>
      <w:r>
        <w:rPr>
          <w:rFonts w:hint="default" w:ascii="Times New Roman" w:hAnsi="Times New Roman" w:eastAsia="仿宋_GB2312" w:cs="Times New Roman"/>
          <w:color w:val="auto"/>
          <w:sz w:val="32"/>
          <w:szCs w:val="32"/>
          <w:highlight w:val="none"/>
          <w:lang w:val="en-US" w:eastAsia="zh-CN"/>
        </w:rPr>
        <w:t>将合规风险管理要求落</w:t>
      </w:r>
      <w:r>
        <w:rPr>
          <w:rFonts w:hint="default" w:ascii="Times New Roman" w:hAnsi="Times New Roman" w:eastAsia="仿宋_GB2312" w:cs="Times New Roman"/>
          <w:bCs/>
          <w:color w:val="auto"/>
          <w:sz w:val="32"/>
          <w:szCs w:val="32"/>
          <w:highlight w:val="none"/>
          <w:lang w:val="en-US" w:eastAsia="zh-CN"/>
        </w:rPr>
        <w:t>实到日常工作中。</w:t>
      </w:r>
      <w:r>
        <w:rPr>
          <w:rFonts w:hint="default" w:ascii="Times New Roman" w:hAnsi="Times New Roman" w:eastAsia="仿宋_GB2312" w:cs="Times New Roman"/>
          <w:bCs/>
          <w:color w:val="auto"/>
          <w:sz w:val="32"/>
          <w:szCs w:val="32"/>
          <w:highlight w:val="none"/>
          <w:lang w:eastAsia="zh-CN"/>
        </w:rPr>
        <w:t>截至</w:t>
      </w:r>
      <w:r>
        <w:rPr>
          <w:rFonts w:hint="default" w:ascii="Times New Roman" w:hAnsi="Times New Roman" w:eastAsia="仿宋_GB2312" w:cs="Times New Roman"/>
          <w:bCs/>
          <w:color w:val="auto"/>
          <w:sz w:val="32"/>
          <w:szCs w:val="32"/>
          <w:highlight w:val="none"/>
          <w:lang w:val="en-US" w:eastAsia="zh-CN"/>
        </w:rPr>
        <w:t>2024年</w:t>
      </w:r>
      <w:r>
        <w:rPr>
          <w:rFonts w:hint="default"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bCs/>
          <w:color w:val="auto"/>
          <w:sz w:val="32"/>
          <w:szCs w:val="32"/>
          <w:highlight w:val="none"/>
          <w:lang w:val="en-US" w:eastAsia="zh-CN"/>
        </w:rPr>
        <w:t>末，我行账面不良贷款率为4.11%，</w:t>
      </w:r>
      <w:r>
        <w:rPr>
          <w:rFonts w:hint="default" w:ascii="Times New Roman" w:hAnsi="Times New Roman" w:eastAsia="仿宋_GB2312" w:cs="Times New Roman"/>
          <w:color w:val="auto"/>
          <w:sz w:val="32"/>
          <w:szCs w:val="32"/>
          <w:highlight w:val="none"/>
        </w:rPr>
        <w:t>较年初下降0.</w:t>
      </w:r>
      <w:r>
        <w:rPr>
          <w:rFonts w:hint="default" w:ascii="Times New Roman" w:hAnsi="Times New Roman" w:eastAsia="仿宋_GB2312" w:cs="Times New Roman"/>
          <w:color w:val="auto"/>
          <w:sz w:val="32"/>
          <w:szCs w:val="32"/>
          <w:highlight w:val="none"/>
          <w:lang w:val="en-US" w:eastAsia="zh-CN"/>
        </w:rPr>
        <w:t>02</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非批量转让市场化处置不良贷款现金收回599万元，表外核销贷款现金收回0.21亿元；</w:t>
      </w:r>
      <w:r>
        <w:rPr>
          <w:rFonts w:hint="default" w:ascii="Times New Roman" w:hAnsi="Times New Roman" w:eastAsia="仿宋_GB2312" w:cs="Times New Roman"/>
          <w:b w:val="0"/>
          <w:bCs/>
          <w:color w:val="auto"/>
          <w:sz w:val="32"/>
          <w:szCs w:val="32"/>
          <w:highlight w:val="none"/>
          <w:lang w:val="en-US" w:eastAsia="zh-CN"/>
        </w:rPr>
        <w:t>结构化处置不良贷款本金4.45亿元；</w:t>
      </w:r>
      <w:r>
        <w:rPr>
          <w:rFonts w:hint="default" w:ascii="Times New Roman" w:hAnsi="Times New Roman" w:eastAsia="仿宋_GB2312" w:cs="Times New Roman"/>
          <w:color w:val="auto"/>
          <w:sz w:val="32"/>
          <w:szCs w:val="32"/>
          <w:highlight w:val="none"/>
          <w:lang w:val="en-US" w:eastAsia="zh-CN"/>
        </w:rPr>
        <w:t>核销不良贷款2.34亿元；市场化转让不良贷款2.84亿元。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（三）数据治理取得实效。</w:t>
      </w:r>
      <w:r>
        <w:rPr>
          <w:rFonts w:hint="default" w:ascii="Times New Roman" w:hAnsi="Times New Roman" w:eastAsia="仿宋_GB2312" w:cs="Times New Roman"/>
          <w:color w:val="auto"/>
          <w:sz w:val="32"/>
          <w:szCs w:val="32"/>
          <w:highlight w:val="none"/>
        </w:rPr>
        <w:t>董事会</w:t>
      </w:r>
      <w:r>
        <w:rPr>
          <w:rFonts w:hint="default" w:ascii="Times New Roman" w:hAnsi="Times New Roman" w:eastAsia="仿宋_GB2312" w:cs="Times New Roman"/>
          <w:color w:val="auto"/>
          <w:sz w:val="32"/>
          <w:szCs w:val="32"/>
          <w:highlight w:val="none"/>
          <w:lang w:val="en-US" w:eastAsia="zh-CN"/>
        </w:rPr>
        <w:t>及高级管理层在履行数据治理工作中，按上级要求完成组织架构的建立，根据自身实际完善有关管理制度、考核制度、安全制度，严格落实相关数据报备制度，完成各期数据治理任务，加强内部培训和数据监测，严格执行考核制度和数据安全制度，持续提升全行数据治理工作质效，数据治理工作总体实现达标。</w:t>
      </w:r>
    </w:p>
    <w:p>
      <w:pPr>
        <w:pStyle w:val="3"/>
        <w:keepNext w:val="0"/>
        <w:keepLines w:val="0"/>
        <w:pageBreakBefore w:val="0"/>
        <w:kinsoku/>
        <w:wordWrap/>
        <w:overflowPunct/>
        <w:topLinePunct w:val="0"/>
        <w:autoSpaceDE/>
        <w:autoSpaceDN/>
        <w:bidi w:val="0"/>
        <w:spacing w:before="0" w:beforeAutospacing="0" w:after="0" w:afterAutospacing="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（四）勤勉尽职合规经营。</w:t>
      </w:r>
      <w:r>
        <w:rPr>
          <w:rFonts w:hint="default" w:ascii="Times New Roman" w:hAnsi="Times New Roman" w:eastAsia="仿宋_GB2312" w:cs="Times New Roman"/>
          <w:color w:val="auto"/>
          <w:sz w:val="32"/>
          <w:szCs w:val="32"/>
          <w:highlight w:val="none"/>
        </w:rPr>
        <w:t>董事会</w:t>
      </w:r>
      <w:r>
        <w:rPr>
          <w:rFonts w:hint="default" w:ascii="Times New Roman" w:hAnsi="Times New Roman" w:eastAsia="仿宋_GB2312" w:cs="Times New Roman"/>
          <w:color w:val="auto"/>
          <w:sz w:val="32"/>
          <w:szCs w:val="32"/>
          <w:highlight w:val="none"/>
          <w:lang w:val="en-US" w:eastAsia="zh-CN"/>
        </w:rPr>
        <w:t>及高级管理层勤勉履职、担当作为、开拓进取，在重大经营活动和参与市场竞争中，能认真贯彻国家法律法规和《公司章程》有关规定，紧紧围绕中心，服务大局，严格按照股东大会的要求开展开展工作，坚持依法合规经营，不踩“红线”，不触“底线”，未发现董事及高级管理人员有违反廉洁自律和其他违规违纪的情况。</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四、下一步工作打算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为</w:t>
      </w:r>
      <w:r>
        <w:rPr>
          <w:rFonts w:hint="default" w:ascii="Times New Roman" w:hAnsi="Times New Roman" w:eastAsia="仿宋_GB2312" w:cs="Times New Roman"/>
          <w:color w:val="auto"/>
          <w:sz w:val="32"/>
          <w:szCs w:val="32"/>
          <w:highlight w:val="none"/>
        </w:rPr>
        <w:t>更好履行公司章程赋予的监督职责，发挥监事会在公司治理架构中的监督作用</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持续推动我行各项业务高质量</w:t>
      </w:r>
      <w:r>
        <w:rPr>
          <w:rFonts w:hint="default" w:ascii="Times New Roman" w:hAnsi="Times New Roman" w:eastAsia="仿宋_GB2312" w:cs="Times New Roman"/>
          <w:color w:val="auto"/>
          <w:sz w:val="32"/>
          <w:szCs w:val="32"/>
          <w:highlight w:val="none"/>
        </w:rPr>
        <w:t>发展</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2025年监事会将从几方面开展工作</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一是</w:t>
      </w:r>
      <w:r>
        <w:rPr>
          <w:rFonts w:hint="default" w:ascii="Times New Roman" w:hAnsi="Times New Roman" w:eastAsia="仿宋_GB2312" w:cs="Times New Roman"/>
          <w:color w:val="auto"/>
          <w:sz w:val="32"/>
          <w:szCs w:val="32"/>
          <w:highlight w:val="none"/>
        </w:rPr>
        <w:t>监事会将持续关注董事、监事及高级管理层的履职情况，通过</w:t>
      </w:r>
      <w:r>
        <w:rPr>
          <w:rFonts w:hint="default" w:ascii="Times New Roman" w:hAnsi="Times New Roman" w:eastAsia="仿宋_GB2312" w:cs="Times New Roman"/>
          <w:color w:val="auto"/>
          <w:sz w:val="32"/>
          <w:szCs w:val="32"/>
          <w:highlight w:val="none"/>
          <w:lang w:val="en-US" w:eastAsia="zh-CN"/>
        </w:rPr>
        <w:t>列席会议</w:t>
      </w:r>
      <w:r>
        <w:rPr>
          <w:rFonts w:hint="default" w:ascii="Times New Roman" w:hAnsi="Times New Roman" w:eastAsia="仿宋_GB2312" w:cs="Times New Roman"/>
          <w:color w:val="auto"/>
          <w:sz w:val="32"/>
          <w:szCs w:val="32"/>
          <w:highlight w:val="none"/>
        </w:rPr>
        <w:t>和专项检查，确保董事、监事及高级管理层</w:t>
      </w:r>
      <w:r>
        <w:rPr>
          <w:rFonts w:hint="eastAsia" w:ascii="Times New Roman" w:hAnsi="Times New Roman" w:eastAsia="仿宋_GB2312" w:cs="Times New Roman"/>
          <w:color w:val="auto"/>
          <w:sz w:val="32"/>
          <w:szCs w:val="32"/>
          <w:highlight w:val="none"/>
          <w:lang w:val="en-US" w:eastAsia="zh-CN"/>
        </w:rPr>
        <w:t>规范开展</w:t>
      </w:r>
      <w:r>
        <w:rPr>
          <w:rFonts w:hint="default" w:ascii="Times New Roman" w:hAnsi="Times New Roman" w:eastAsia="仿宋_GB2312" w:cs="Times New Roman"/>
          <w:color w:val="auto"/>
          <w:sz w:val="32"/>
          <w:szCs w:val="32"/>
          <w:highlight w:val="none"/>
        </w:rPr>
        <w:t>工作。</w:t>
      </w:r>
      <w:r>
        <w:rPr>
          <w:rFonts w:hint="eastAsia" w:ascii="黑体" w:hAnsi="黑体" w:eastAsia="黑体" w:cs="黑体"/>
          <w:b w:val="0"/>
          <w:bCs w:val="0"/>
          <w:color w:val="auto"/>
          <w:sz w:val="32"/>
          <w:szCs w:val="32"/>
          <w:highlight w:val="none"/>
          <w:lang w:val="en-US" w:eastAsia="zh-CN"/>
        </w:rPr>
        <w:t>二是</w:t>
      </w:r>
      <w:r>
        <w:rPr>
          <w:rFonts w:hint="default" w:ascii="Times New Roman" w:hAnsi="Times New Roman" w:eastAsia="仿宋_GB2312" w:cs="Times New Roman"/>
          <w:color w:val="auto"/>
          <w:sz w:val="32"/>
          <w:szCs w:val="32"/>
          <w:highlight w:val="none"/>
          <w:lang w:val="en-US" w:eastAsia="zh-CN"/>
        </w:rPr>
        <w:t>监事会加强与</w:t>
      </w:r>
      <w:r>
        <w:rPr>
          <w:rFonts w:hint="default" w:ascii="Times New Roman" w:hAnsi="Times New Roman" w:eastAsia="仿宋_GB2312" w:cs="Times New Roman"/>
          <w:color w:val="auto"/>
          <w:sz w:val="32"/>
          <w:szCs w:val="32"/>
          <w:highlight w:val="none"/>
        </w:rPr>
        <w:t>审计、合规、纪检和外部监管等部门</w:t>
      </w:r>
      <w:r>
        <w:rPr>
          <w:rFonts w:hint="default"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rPr>
        <w:t>联动，</w:t>
      </w:r>
      <w:r>
        <w:rPr>
          <w:rFonts w:hint="default" w:ascii="Times New Roman" w:hAnsi="Times New Roman" w:eastAsia="仿宋_GB2312" w:cs="Times New Roman"/>
          <w:color w:val="auto"/>
          <w:sz w:val="32"/>
          <w:szCs w:val="32"/>
          <w:highlight w:val="none"/>
          <w:lang w:val="en-US" w:eastAsia="zh-CN"/>
        </w:rPr>
        <w:t>强化</w:t>
      </w:r>
      <w:r>
        <w:rPr>
          <w:rFonts w:hint="default" w:ascii="Times New Roman" w:hAnsi="Times New Roman" w:eastAsia="仿宋_GB2312" w:cs="Times New Roman"/>
          <w:color w:val="auto"/>
          <w:sz w:val="32"/>
          <w:szCs w:val="32"/>
          <w:highlight w:val="none"/>
        </w:rPr>
        <w:t>对财务活动、内部控制、风险管理、关联交易等重点领域</w:t>
      </w:r>
      <w:r>
        <w:rPr>
          <w:rFonts w:hint="default"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rPr>
        <w:t>检查和监督</w:t>
      </w:r>
      <w:r>
        <w:rPr>
          <w:rFonts w:hint="default" w:ascii="Times New Roman" w:hAnsi="Times New Roman" w:eastAsia="仿宋_GB2312" w:cs="Times New Roman"/>
          <w:color w:val="auto"/>
          <w:sz w:val="32"/>
          <w:szCs w:val="32"/>
          <w:highlight w:val="none"/>
          <w:lang w:eastAsia="zh-CN"/>
        </w:rPr>
        <w:t>。</w:t>
      </w:r>
      <w:r>
        <w:rPr>
          <w:rFonts w:hint="eastAsia" w:ascii="黑体" w:hAnsi="黑体" w:eastAsia="黑体" w:cs="黑体"/>
          <w:b w:val="0"/>
          <w:bCs w:val="0"/>
          <w:color w:val="auto"/>
          <w:sz w:val="32"/>
          <w:szCs w:val="32"/>
          <w:highlight w:val="none"/>
          <w:lang w:val="en-US" w:eastAsia="zh-CN"/>
        </w:rPr>
        <w:t>三是</w:t>
      </w:r>
      <w:r>
        <w:rPr>
          <w:rFonts w:hint="default" w:ascii="Times New Roman" w:hAnsi="Times New Roman" w:eastAsia="仿宋_GB2312" w:cs="Times New Roman"/>
          <w:color w:val="auto"/>
          <w:sz w:val="32"/>
          <w:szCs w:val="32"/>
          <w:highlight w:val="none"/>
        </w:rPr>
        <w:t>强化</w:t>
      </w:r>
      <w:r>
        <w:rPr>
          <w:rFonts w:hint="default" w:ascii="Times New Roman" w:hAnsi="Times New Roman" w:eastAsia="仿宋_GB2312" w:cs="Times New Roman"/>
          <w:color w:val="auto"/>
          <w:sz w:val="32"/>
          <w:szCs w:val="32"/>
          <w:highlight w:val="none"/>
          <w:lang w:val="en-US" w:eastAsia="zh-CN"/>
        </w:rPr>
        <w:t>监事</w:t>
      </w:r>
      <w:r>
        <w:rPr>
          <w:rFonts w:hint="default" w:ascii="Times New Roman" w:hAnsi="Times New Roman" w:eastAsia="仿宋_GB2312" w:cs="Times New Roman"/>
          <w:color w:val="auto"/>
          <w:sz w:val="32"/>
          <w:szCs w:val="32"/>
          <w:highlight w:val="none"/>
        </w:rPr>
        <w:t>履职培训，提升</w:t>
      </w:r>
      <w:r>
        <w:rPr>
          <w:rFonts w:hint="default" w:ascii="Times New Roman" w:hAnsi="Times New Roman" w:eastAsia="仿宋_GB2312" w:cs="Times New Roman"/>
          <w:color w:val="auto"/>
          <w:sz w:val="32"/>
          <w:szCs w:val="32"/>
          <w:highlight w:val="none"/>
          <w:lang w:val="en-US" w:eastAsia="zh-CN"/>
        </w:rPr>
        <w:t>监事</w:t>
      </w:r>
      <w:r>
        <w:rPr>
          <w:rFonts w:hint="default" w:ascii="Times New Roman" w:hAnsi="Times New Roman" w:eastAsia="仿宋_GB2312" w:cs="Times New Roman"/>
          <w:color w:val="auto"/>
          <w:sz w:val="32"/>
          <w:szCs w:val="32"/>
          <w:highlight w:val="none"/>
        </w:rPr>
        <w:t>的专业素养和履职能力</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不断改进监督方式，有效整合内部资源，</w:t>
      </w:r>
      <w:r>
        <w:rPr>
          <w:rFonts w:hint="eastAsia" w:ascii="Times New Roman" w:hAnsi="Times New Roman" w:eastAsia="仿宋_GB2312" w:cs="Times New Roman"/>
          <w:color w:val="auto"/>
          <w:sz w:val="32"/>
          <w:szCs w:val="32"/>
          <w:highlight w:val="none"/>
          <w:lang w:val="en-US" w:eastAsia="zh-CN"/>
        </w:rPr>
        <w:t>提升</w:t>
      </w:r>
      <w:r>
        <w:rPr>
          <w:rFonts w:hint="default" w:ascii="Times New Roman" w:hAnsi="Times New Roman" w:eastAsia="仿宋_GB2312" w:cs="Times New Roman"/>
          <w:color w:val="auto"/>
          <w:sz w:val="32"/>
          <w:szCs w:val="32"/>
          <w:highlight w:val="none"/>
        </w:rPr>
        <w:t>及时发现并纠正问题</w:t>
      </w:r>
      <w:r>
        <w:rPr>
          <w:rFonts w:hint="eastAsia" w:ascii="Times New Roman" w:hAnsi="Times New Roman" w:eastAsia="仿宋_GB2312" w:cs="Times New Roman"/>
          <w:color w:val="auto"/>
          <w:sz w:val="32"/>
          <w:szCs w:val="32"/>
          <w:highlight w:val="none"/>
          <w:lang w:eastAsia="zh-CN"/>
        </w:rPr>
        <w:t>的</w:t>
      </w:r>
      <w:r>
        <w:rPr>
          <w:rFonts w:hint="eastAsia" w:ascii="Times New Roman" w:hAnsi="Times New Roman" w:eastAsia="仿宋_GB2312" w:cs="Times New Roman"/>
          <w:color w:val="auto"/>
          <w:sz w:val="32"/>
          <w:szCs w:val="32"/>
          <w:highlight w:val="none"/>
          <w:lang w:val="en-US" w:eastAsia="zh-CN"/>
        </w:rPr>
        <w:t>能力</w:t>
      </w:r>
      <w:r>
        <w:rPr>
          <w:rFonts w:hint="default" w:ascii="Times New Roman" w:hAnsi="Times New Roman" w:eastAsia="仿宋_GB2312" w:cs="Times New Roman"/>
          <w:color w:val="auto"/>
          <w:sz w:val="32"/>
          <w:szCs w:val="32"/>
          <w:highlight w:val="none"/>
        </w:rPr>
        <w:t>。</w:t>
      </w:r>
      <w:r>
        <w:rPr>
          <w:rFonts w:hint="eastAsia" w:ascii="黑体" w:hAnsi="黑体" w:eastAsia="黑体" w:cs="黑体"/>
          <w:b w:val="0"/>
          <w:bCs w:val="0"/>
          <w:color w:val="auto"/>
          <w:sz w:val="32"/>
          <w:szCs w:val="32"/>
          <w:highlight w:val="none"/>
          <w:lang w:val="en-US" w:eastAsia="zh-CN"/>
        </w:rPr>
        <w:t>四是</w:t>
      </w:r>
      <w:r>
        <w:rPr>
          <w:rFonts w:hint="eastAsia" w:ascii="Times New Roman" w:hAnsi="Times New Roman" w:eastAsia="仿宋_GB2312" w:cs="Times New Roman"/>
          <w:color w:val="auto"/>
          <w:sz w:val="32"/>
          <w:szCs w:val="32"/>
          <w:highlight w:val="none"/>
          <w:lang w:val="en-US" w:eastAsia="zh-CN"/>
        </w:rPr>
        <w:t>强化</w:t>
      </w:r>
      <w:r>
        <w:rPr>
          <w:rFonts w:hint="default" w:ascii="Times New Roman" w:hAnsi="Times New Roman" w:eastAsia="仿宋_GB2312" w:cs="Times New Roman"/>
          <w:color w:val="auto"/>
          <w:sz w:val="32"/>
          <w:szCs w:val="32"/>
          <w:highlight w:val="none"/>
        </w:rPr>
        <w:t>履职评价结果</w:t>
      </w:r>
      <w:r>
        <w:rPr>
          <w:rFonts w:hint="eastAsia" w:ascii="Times New Roman" w:hAnsi="Times New Roman" w:eastAsia="仿宋_GB2312" w:cs="Times New Roman"/>
          <w:color w:val="auto"/>
          <w:sz w:val="32"/>
          <w:szCs w:val="32"/>
          <w:highlight w:val="none"/>
          <w:lang w:val="en-US" w:eastAsia="zh-CN"/>
        </w:rPr>
        <w:t>运用</w:t>
      </w:r>
      <w:r>
        <w:rPr>
          <w:rFonts w:hint="default" w:ascii="Times New Roman" w:hAnsi="Times New Roman" w:eastAsia="仿宋_GB2312" w:cs="Times New Roman"/>
          <w:color w:val="auto"/>
          <w:sz w:val="32"/>
          <w:szCs w:val="32"/>
          <w:highlight w:val="none"/>
        </w:rPr>
        <w:t>，对董事、监事及高级管理层进行激励与约束，推动公司治理水平持续提升。</w:t>
      </w:r>
      <w:r>
        <w:rPr>
          <w:rFonts w:hint="eastAsia" w:ascii="黑体" w:hAnsi="黑体" w:eastAsia="黑体" w:cs="黑体"/>
          <w:b w:val="0"/>
          <w:bCs w:val="0"/>
          <w:color w:val="auto"/>
          <w:sz w:val="32"/>
          <w:szCs w:val="32"/>
          <w:highlight w:val="none"/>
          <w:lang w:val="en-US" w:eastAsia="zh-CN"/>
        </w:rPr>
        <w:t>五是</w:t>
      </w:r>
      <w:r>
        <w:rPr>
          <w:rFonts w:hint="eastAsia" w:ascii="Times New Roman" w:hAnsi="Times New Roman" w:eastAsia="仿宋_GB2312" w:cs="Times New Roman"/>
          <w:color w:val="auto"/>
          <w:sz w:val="32"/>
          <w:szCs w:val="32"/>
          <w:highlight w:val="none"/>
          <w:lang w:val="en-US" w:eastAsia="zh-CN"/>
        </w:rPr>
        <w:t>加强沟通协作，</w:t>
      </w:r>
      <w:r>
        <w:rPr>
          <w:rFonts w:hint="default" w:ascii="Times New Roman" w:hAnsi="Times New Roman" w:eastAsia="仿宋_GB2312" w:cs="Times New Roman"/>
          <w:color w:val="auto"/>
          <w:sz w:val="32"/>
          <w:szCs w:val="32"/>
          <w:highlight w:val="none"/>
        </w:rPr>
        <w:t>与董事、监事及高级管理层保持密切沟通，</w:t>
      </w:r>
      <w:r>
        <w:rPr>
          <w:rFonts w:hint="default" w:ascii="Times New Roman" w:hAnsi="Times New Roman" w:eastAsia="仿宋_GB2312" w:cs="Times New Roman"/>
          <w:color w:val="auto"/>
          <w:sz w:val="32"/>
          <w:szCs w:val="32"/>
          <w:highlight w:val="none"/>
          <w:lang w:val="en-US" w:eastAsia="zh-CN"/>
        </w:rPr>
        <w:t>独立</w:t>
      </w:r>
      <w:r>
        <w:rPr>
          <w:rFonts w:hint="default" w:ascii="Times New Roman" w:hAnsi="Times New Roman" w:eastAsia="仿宋_GB2312" w:cs="Times New Roman"/>
          <w:color w:val="auto"/>
          <w:sz w:val="32"/>
          <w:szCs w:val="32"/>
          <w:highlight w:val="none"/>
        </w:rPr>
        <w:t>提出意见建议，</w:t>
      </w:r>
      <w:r>
        <w:rPr>
          <w:rFonts w:hint="eastAsia" w:ascii="Times New Roman" w:hAnsi="Times New Roman" w:eastAsia="仿宋_GB2312" w:cs="Times New Roman"/>
          <w:color w:val="auto"/>
          <w:sz w:val="32"/>
          <w:szCs w:val="32"/>
          <w:highlight w:val="none"/>
          <w:lang w:eastAsia="zh-CN"/>
        </w:rPr>
        <w:t>在</w:t>
      </w:r>
      <w:r>
        <w:rPr>
          <w:rFonts w:hint="default" w:ascii="Times New Roman" w:hAnsi="Times New Roman" w:eastAsia="仿宋_GB2312" w:cs="Times New Roman"/>
          <w:color w:val="auto"/>
          <w:sz w:val="32"/>
          <w:szCs w:val="32"/>
          <w:highlight w:val="none"/>
        </w:rPr>
        <w:t>不干预</w:t>
      </w:r>
      <w:r>
        <w:rPr>
          <w:rFonts w:hint="default" w:ascii="Times New Roman" w:hAnsi="Times New Roman" w:eastAsia="仿宋_GB2312" w:cs="Times New Roman"/>
          <w:color w:val="auto"/>
          <w:sz w:val="32"/>
          <w:szCs w:val="32"/>
          <w:highlight w:val="none"/>
          <w:lang w:val="en-US" w:eastAsia="zh-CN"/>
        </w:rPr>
        <w:t>正常业务</w:t>
      </w:r>
      <w:r>
        <w:rPr>
          <w:rFonts w:hint="eastAsia" w:ascii="Times New Roman" w:hAnsi="Times New Roman" w:eastAsia="仿宋_GB2312" w:cs="Times New Roman"/>
          <w:color w:val="auto"/>
          <w:sz w:val="32"/>
          <w:szCs w:val="32"/>
          <w:highlight w:val="none"/>
          <w:lang w:val="en-US" w:eastAsia="zh-CN"/>
        </w:rPr>
        <w:t>的前提下</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坚持监督到位不越位的工作理念</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深入贯彻</w:t>
      </w:r>
      <w:r>
        <w:rPr>
          <w:rFonts w:hint="default" w:ascii="Times New Roman" w:hAnsi="Times New Roman" w:eastAsia="仿宋_GB2312" w:cs="Times New Roman"/>
          <w:color w:val="auto"/>
          <w:sz w:val="32"/>
          <w:szCs w:val="32"/>
          <w:highlight w:val="none"/>
        </w:rPr>
        <w:t>运转协调、有效制衡的管理理念</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共同推动公司战略目标的实现，确保公司利益最大化。</w:t>
      </w:r>
    </w:p>
    <w:p>
      <w:pPr>
        <w:pStyle w:val="10"/>
        <w:rPr>
          <w:rFonts w:hint="default"/>
          <w:color w:val="auto"/>
          <w:highlight w:val="none"/>
          <w:lang w:eastAsia="zh-CN"/>
        </w:rPr>
      </w:pPr>
    </w:p>
    <w:p>
      <w:pPr>
        <w:pStyle w:val="10"/>
        <w:rPr>
          <w:rFonts w:hint="default"/>
          <w:color w:val="auto"/>
          <w:highlight w:val="none"/>
          <w:lang w:val="en-US" w:eastAsia="zh-CN"/>
        </w:rPr>
      </w:pPr>
    </w:p>
    <w:p>
      <w:pPr>
        <w:keepNext w:val="0"/>
        <w:keepLines w:val="0"/>
        <w:pageBreakBefore w:val="0"/>
        <w:numPr>
          <w:ilvl w:val="0"/>
          <w:numId w:val="0"/>
        </w:numPr>
        <w:kinsoku/>
        <w:wordWrap/>
        <w:topLinePunct w:val="0"/>
        <w:bidi w:val="0"/>
        <w:adjustRightInd w:val="0"/>
        <w:snapToGrid w:val="0"/>
        <w:spacing w:line="560" w:lineRule="exact"/>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kern w:val="2"/>
          <w:sz w:val="36"/>
          <w:szCs w:val="36"/>
          <w:highlight w:val="none"/>
          <w:lang w:val="en-US" w:eastAsia="zh-CN" w:bidi="ar-SA"/>
        </w:rPr>
        <w:t>第七章</w:t>
      </w:r>
      <w:r>
        <w:rPr>
          <w:rFonts w:hint="eastAsia" w:ascii="黑体" w:hAnsi="黑体" w:eastAsia="黑体" w:cs="黑体"/>
          <w:b w:val="0"/>
          <w:bCs/>
          <w:color w:val="auto"/>
          <w:sz w:val="36"/>
          <w:szCs w:val="36"/>
          <w:highlight w:val="none"/>
        </w:rPr>
        <w:t xml:space="preserve"> </w:t>
      </w:r>
      <w:r>
        <w:rPr>
          <w:rFonts w:hint="eastAsia" w:ascii="黑体" w:hAnsi="黑体" w:eastAsia="黑体" w:cs="黑体"/>
          <w:b w:val="0"/>
          <w:bCs/>
          <w:color w:val="auto"/>
          <w:sz w:val="36"/>
          <w:szCs w:val="36"/>
          <w:highlight w:val="none"/>
          <w:lang w:eastAsia="zh-CN"/>
        </w:rPr>
        <w:t>关联交易情况</w:t>
      </w:r>
    </w:p>
    <w:p>
      <w:pPr>
        <w:pStyle w:val="11"/>
        <w:keepNext w:val="0"/>
        <w:keepLines w:val="0"/>
        <w:pageBreakBefore w:val="0"/>
        <w:kinsoku/>
        <w:wordWrap/>
        <w:topLinePunct w:val="0"/>
        <w:bidi w:val="0"/>
        <w:spacing w:line="560" w:lineRule="exact"/>
        <w:ind w:left="0" w:leftChars="0" w:firstLine="0" w:firstLineChars="0"/>
        <w:rPr>
          <w:rFonts w:hint="eastAsia"/>
          <w:color w:val="auto"/>
          <w:highlight w:val="none"/>
        </w:rPr>
      </w:pPr>
    </w:p>
    <w:p>
      <w:pPr>
        <w:numPr>
          <w:ilvl w:val="0"/>
          <w:numId w:val="0"/>
        </w:numPr>
        <w:spacing w:line="520" w:lineRule="exact"/>
        <w:ind w:firstLine="640" w:firstLineChars="200"/>
        <w:rPr>
          <w:rFonts w:hint="eastAsia" w:ascii="Times New Roman" w:hAnsi="Times New Roman"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2024年，我行</w:t>
      </w:r>
      <w:r>
        <w:rPr>
          <w:rFonts w:hint="eastAsia" w:ascii="Times New Roman" w:hAnsi="Times New Roman" w:eastAsia="仿宋_GB2312" w:cs="Times New Roman"/>
          <w:color w:val="auto"/>
          <w:sz w:val="32"/>
          <w:szCs w:val="32"/>
          <w:highlight w:val="none"/>
          <w:lang w:eastAsia="zh-CN"/>
        </w:rPr>
        <w:t>根据</w:t>
      </w:r>
      <w:r>
        <w:rPr>
          <w:rFonts w:hint="eastAsia" w:ascii="Times New Roman" w:hAnsi="Times New Roman" w:eastAsia="仿宋_GB2312" w:cs="Times New Roman"/>
          <w:color w:val="auto"/>
          <w:sz w:val="32"/>
          <w:szCs w:val="32"/>
          <w:highlight w:val="none"/>
          <w:lang w:val="en-US" w:eastAsia="zh-CN"/>
        </w:rPr>
        <w:t>安顺</w:t>
      </w:r>
      <w:r>
        <w:rPr>
          <w:rFonts w:hint="eastAsia" w:ascii="Times New Roman" w:hAnsi="Times New Roman" w:eastAsia="仿宋_GB2312" w:cs="Times New Roman"/>
          <w:color w:val="auto"/>
          <w:sz w:val="32"/>
          <w:szCs w:val="32"/>
          <w:highlight w:val="none"/>
          <w:lang w:eastAsia="zh-CN"/>
        </w:rPr>
        <w:t>银保监分局、省联社要求，加强关联方名单管理，根据最新监管规定，及时、全面、完整识别关联方，强化对日常关联交易额度的监测、管理，严格执行关联交易事项备案及审批流程，抓好关联交易的报告、披露工作，进一步提升关联交易管理水平，董事会及关联交易控制委员会认真贯彻落实监管规定及内部管理制度要求，有效统筹开展关联交易管理工作，持续规范完善内部管理流程</w:t>
      </w:r>
      <w:r>
        <w:rPr>
          <w:rFonts w:hint="eastAsia" w:ascii="Times New Roman" w:hAnsi="Times New Roman" w:cs="Times New Roman"/>
          <w:color w:val="auto"/>
          <w:sz w:val="32"/>
          <w:szCs w:val="32"/>
          <w:highlight w:val="none"/>
          <w:lang w:eastAsia="zh-CN"/>
        </w:rPr>
        <w:t>。</w:t>
      </w:r>
    </w:p>
    <w:p>
      <w:pPr>
        <w:numPr>
          <w:ilvl w:val="0"/>
          <w:numId w:val="0"/>
        </w:numPr>
        <w:spacing w:line="52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按照关联交易管理办法及省联社指导我行于2024年4月确定了年度关联方名单共计794名，其中直接关联方共185名，分别为持有或控制本行5％以上股权的5名法人股东；持股不足5%但对我们经营管理有重大影响的2名法人股东；本行的董事、监事、高级管理人员19名；营业网点负责人以及总行具有授信、资产转移、资金使用、采购等核心业务审批或决策权（包含支行审贷小组成员）的人员159名；间接关联方人次为609名，间接关联方包含了直接关联方的股东、董事、监事、高级管理人员或直接关联方的亲属。</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截至 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 年末，我行关联交易类型为授信类关联交易，</w:t>
      </w:r>
      <w:r>
        <w:rPr>
          <w:rFonts w:hint="eastAsia" w:ascii="仿宋_GB2312" w:hAnsi="仿宋_GB2312" w:eastAsia="仿宋_GB2312" w:cs="仿宋_GB2312"/>
          <w:color w:val="auto"/>
          <w:sz w:val="32"/>
          <w:szCs w:val="32"/>
          <w:highlight w:val="none"/>
          <w:lang w:val="en-US" w:eastAsia="zh-CN"/>
        </w:rPr>
        <w:t>本行</w:t>
      </w:r>
      <w:r>
        <w:rPr>
          <w:rFonts w:hint="eastAsia" w:ascii="仿宋_GB2312" w:hAnsi="仿宋_GB2312" w:eastAsia="仿宋_GB2312" w:cs="仿宋_GB2312"/>
          <w:color w:val="auto"/>
          <w:sz w:val="32"/>
          <w:szCs w:val="32"/>
          <w:highlight w:val="none"/>
          <w:lang w:eastAsia="zh-CN"/>
        </w:rPr>
        <w:t>全部关联方的关联交易</w:t>
      </w:r>
      <w:r>
        <w:rPr>
          <w:rFonts w:hint="eastAsia" w:ascii="仿宋_GB2312" w:hAnsi="仿宋_GB2312" w:eastAsia="仿宋_GB2312" w:cs="仿宋_GB2312"/>
          <w:color w:val="auto"/>
          <w:sz w:val="32"/>
          <w:szCs w:val="32"/>
          <w:highlight w:val="none"/>
          <w:lang w:val="en-US" w:eastAsia="zh-CN"/>
        </w:rPr>
        <w:t>授信总额为16535.24万元，</w:t>
      </w:r>
      <w:r>
        <w:rPr>
          <w:rFonts w:hint="eastAsia" w:ascii="仿宋_GB2312" w:hAnsi="仿宋_GB2312" w:eastAsia="仿宋_GB2312" w:cs="仿宋_GB2312"/>
          <w:color w:val="auto"/>
          <w:sz w:val="32"/>
          <w:szCs w:val="32"/>
          <w:highlight w:val="none"/>
          <w:lang w:eastAsia="zh-CN"/>
        </w:rPr>
        <w:t>授信余额为  16059.4</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万元，本行</w:t>
      </w:r>
      <w:r>
        <w:rPr>
          <w:rFonts w:hint="eastAsia" w:ascii="仿宋_GB2312" w:hAnsi="仿宋_GB2312" w:eastAsia="仿宋_GB2312" w:cs="仿宋_GB2312"/>
          <w:color w:val="auto"/>
          <w:sz w:val="32"/>
          <w:szCs w:val="32"/>
          <w:highlight w:val="none"/>
          <w:lang w:val="en-US" w:eastAsia="zh-CN"/>
        </w:rPr>
        <w:t>2024年第三季度末资本净额为157314.4万元，</w:t>
      </w:r>
      <w:r>
        <w:rPr>
          <w:rFonts w:hint="eastAsia" w:ascii="仿宋_GB2312" w:hAnsi="仿宋_GB2312" w:eastAsia="仿宋_GB2312" w:cs="仿宋_GB2312"/>
          <w:color w:val="auto"/>
          <w:sz w:val="32"/>
          <w:szCs w:val="32"/>
          <w:highlight w:val="none"/>
          <w:lang w:eastAsia="zh-CN"/>
        </w:rPr>
        <w:t>授信余额</w:t>
      </w:r>
      <w:r>
        <w:rPr>
          <w:rFonts w:hint="eastAsia" w:ascii="仿宋_GB2312" w:hAnsi="仿宋_GB2312" w:eastAsia="仿宋_GB2312" w:cs="仿宋_GB2312"/>
          <w:color w:val="auto"/>
          <w:sz w:val="32"/>
          <w:szCs w:val="32"/>
          <w:highlight w:val="none"/>
          <w:lang w:val="en-US" w:eastAsia="zh-CN"/>
        </w:rPr>
        <w:t>占</w:t>
      </w:r>
      <w:r>
        <w:rPr>
          <w:rFonts w:hint="eastAsia" w:ascii="仿宋_GB2312" w:hAnsi="仿宋_GB2312" w:eastAsia="仿宋_GB2312" w:cs="仿宋_GB2312"/>
          <w:color w:val="auto"/>
          <w:sz w:val="32"/>
          <w:szCs w:val="32"/>
          <w:highlight w:val="none"/>
          <w:lang w:eastAsia="zh-CN"/>
        </w:rPr>
        <w:t>上季度末资本净额的10.21%，其中关联法人授信余额为 15088.59万元，关联自然人授信余额为 </w:t>
      </w:r>
      <w:r>
        <w:rPr>
          <w:rFonts w:hint="eastAsia" w:ascii="仿宋_GB2312" w:hAnsi="仿宋_GB2312" w:eastAsia="仿宋_GB2312" w:cs="仿宋_GB2312"/>
          <w:color w:val="auto"/>
          <w:sz w:val="32"/>
          <w:szCs w:val="32"/>
          <w:highlight w:val="none"/>
          <w:lang w:val="en-US" w:eastAsia="zh-CN"/>
        </w:rPr>
        <w:t>970.82</w:t>
      </w:r>
      <w:r>
        <w:rPr>
          <w:rFonts w:hint="eastAsia" w:ascii="仿宋_GB2312" w:hAnsi="仿宋_GB2312" w:eastAsia="仿宋_GB2312" w:cs="仿宋_GB2312"/>
          <w:color w:val="auto"/>
          <w:sz w:val="32"/>
          <w:szCs w:val="32"/>
          <w:highlight w:val="none"/>
          <w:lang w:eastAsia="zh-CN"/>
        </w:rPr>
        <w:t> 万元。</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b w:val="0"/>
          <w:bCs/>
          <w:color w:val="auto"/>
          <w:sz w:val="32"/>
          <w:szCs w:val="32"/>
          <w:highlight w:val="none"/>
          <w:lang w:val="en-US" w:eastAsia="zh-CN"/>
        </w:rPr>
      </w:pPr>
      <w:r>
        <w:rPr>
          <w:rFonts w:hint="eastAsia" w:eastAsia="黑体" w:cs="Times New Roman"/>
          <w:b w:val="0"/>
          <w:bCs/>
          <w:color w:val="auto"/>
          <w:sz w:val="32"/>
          <w:szCs w:val="32"/>
          <w:highlight w:val="none"/>
          <w:lang w:val="en-US" w:eastAsia="zh-CN"/>
        </w:rPr>
        <w:t>一</w:t>
      </w:r>
      <w:r>
        <w:rPr>
          <w:rFonts w:hint="default" w:ascii="Times New Roman" w:hAnsi="Times New Roman" w:eastAsia="黑体" w:cs="Times New Roman"/>
          <w:b w:val="0"/>
          <w:bCs/>
          <w:color w:val="auto"/>
          <w:sz w:val="32"/>
          <w:szCs w:val="32"/>
          <w:highlight w:val="none"/>
          <w:lang w:eastAsia="zh-CN"/>
        </w:rPr>
        <w:t>、</w:t>
      </w:r>
      <w:r>
        <w:rPr>
          <w:rFonts w:hint="default" w:ascii="Times New Roman" w:hAnsi="Times New Roman" w:eastAsia="黑体" w:cs="Times New Roman"/>
          <w:b w:val="0"/>
          <w:bCs/>
          <w:color w:val="auto"/>
          <w:sz w:val="32"/>
          <w:szCs w:val="32"/>
          <w:highlight w:val="none"/>
        </w:rPr>
        <w:t>关联</w:t>
      </w:r>
      <w:r>
        <w:rPr>
          <w:rFonts w:hint="default" w:ascii="Times New Roman" w:hAnsi="Times New Roman" w:eastAsia="黑体" w:cs="Times New Roman"/>
          <w:b w:val="0"/>
          <w:bCs/>
          <w:color w:val="auto"/>
          <w:sz w:val="32"/>
          <w:szCs w:val="32"/>
          <w:highlight w:val="none"/>
          <w:lang w:eastAsia="zh-CN"/>
        </w:rPr>
        <w:t>贷款情况</w:t>
      </w:r>
      <w:r>
        <w:rPr>
          <w:rFonts w:hint="default" w:ascii="Times New Roman" w:hAnsi="Times New Roman" w:eastAsia="黑体" w:cs="Times New Roman"/>
          <w:b w:val="0"/>
          <w:bCs/>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仿宋_GB2312" w:hAnsi="仿宋_GB2312" w:eastAsia="仿宋_GB2312" w:cs="仿宋_GB2312"/>
          <w:b w:val="0"/>
          <w:bCs/>
          <w:color w:val="auto"/>
          <w:sz w:val="32"/>
          <w:szCs w:val="32"/>
          <w:highlight w:val="none"/>
          <w:lang w:val="en-US" w:eastAsia="zh-CN"/>
        </w:rPr>
      </w:pPr>
      <w:r>
        <w:rPr>
          <w:rFonts w:hint="eastAsia" w:ascii="楷体_GB2312" w:hAnsi="楷体_GB2312" w:eastAsia="楷体_GB2312" w:cs="楷体_GB2312"/>
          <w:b w:val="0"/>
          <w:bCs/>
          <w:color w:val="auto"/>
          <w:sz w:val="32"/>
          <w:szCs w:val="32"/>
          <w:highlight w:val="none"/>
          <w:lang w:eastAsia="zh-CN"/>
        </w:rPr>
        <w:t>（一）</w:t>
      </w:r>
      <w:r>
        <w:rPr>
          <w:rFonts w:hint="eastAsia" w:ascii="楷体_GB2312" w:hAnsi="楷体_GB2312" w:eastAsia="楷体_GB2312" w:cs="楷体_GB2312"/>
          <w:b w:val="0"/>
          <w:bCs/>
          <w:color w:val="auto"/>
          <w:sz w:val="32"/>
          <w:szCs w:val="32"/>
          <w:highlight w:val="none"/>
          <w:lang w:val="en-US" w:eastAsia="zh-CN"/>
        </w:rPr>
        <w:t>一般关联交易</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截止2024年，本行发生一般关联交易共计49户84笔，合计余额为970.82万元，均为关联自然人授信，交易余额占上季度末资本净额的0.62%，符合监管要求。</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楷体_GB2312" w:hAnsi="楷体_GB2312" w:eastAsia="楷体_GB2312" w:cs="楷体_GB2312"/>
          <w:b w:val="0"/>
          <w:bCs/>
          <w:color w:val="auto"/>
          <w:sz w:val="32"/>
          <w:szCs w:val="32"/>
          <w:highlight w:val="none"/>
          <w:lang w:val="en-US" w:eastAsia="zh-CN"/>
        </w:rPr>
      </w:pPr>
      <w:r>
        <w:rPr>
          <w:rFonts w:hint="eastAsia" w:ascii="楷体_GB2312" w:hAnsi="楷体_GB2312" w:eastAsia="楷体_GB2312" w:cs="楷体_GB2312"/>
          <w:b w:val="0"/>
          <w:bCs/>
          <w:color w:val="auto"/>
          <w:sz w:val="32"/>
          <w:szCs w:val="32"/>
          <w:highlight w:val="none"/>
          <w:lang w:val="en-US" w:eastAsia="zh-CN"/>
        </w:rPr>
        <w:t>（二）</w:t>
      </w:r>
      <w:r>
        <w:rPr>
          <w:rFonts w:hint="default" w:ascii="楷体_GB2312" w:hAnsi="楷体_GB2312" w:eastAsia="楷体_GB2312" w:cs="楷体_GB2312"/>
          <w:b w:val="0"/>
          <w:bCs/>
          <w:color w:val="auto"/>
          <w:sz w:val="32"/>
          <w:szCs w:val="32"/>
          <w:highlight w:val="none"/>
          <w:lang w:val="en-US" w:eastAsia="zh-CN"/>
        </w:rPr>
        <w:t>重大关联交易</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第三季度末资本净额157314.4万元测算，</w:t>
      </w:r>
      <w:r>
        <w:rPr>
          <w:rFonts w:hint="eastAsia" w:ascii="仿宋_GB2312" w:hAnsi="仿宋_GB2312" w:eastAsia="仿宋_GB2312" w:cs="仿宋_GB2312"/>
          <w:color w:val="auto"/>
          <w:sz w:val="32"/>
          <w:szCs w:val="32"/>
          <w:highlight w:val="none"/>
        </w:rPr>
        <w:t>重大关联交易为：</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贵州省安顺交通运输集团有限公司，贷款金额5550万元，贷款余额5549.60万元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贷款</w:t>
      </w:r>
      <w:r>
        <w:rPr>
          <w:rFonts w:hint="eastAsia" w:ascii="仿宋_GB2312" w:hAnsi="仿宋_GB2312" w:eastAsia="仿宋_GB2312" w:cs="仿宋_GB2312"/>
          <w:color w:val="auto"/>
          <w:sz w:val="32"/>
          <w:szCs w:val="32"/>
          <w:highlight w:val="none"/>
        </w:rPr>
        <w:t>余额占</w:t>
      </w:r>
      <w:r>
        <w:rPr>
          <w:rFonts w:hint="eastAsia" w:ascii="仿宋_GB2312" w:hAnsi="仿宋_GB2312" w:eastAsia="仿宋_GB2312" w:cs="仿宋_GB2312"/>
          <w:color w:val="auto"/>
          <w:sz w:val="32"/>
          <w:szCs w:val="32"/>
          <w:highlight w:val="none"/>
          <w:lang w:val="en-US" w:eastAsia="zh-CN"/>
        </w:rPr>
        <w:t>上季度</w:t>
      </w:r>
      <w:r>
        <w:rPr>
          <w:rFonts w:hint="eastAsia" w:ascii="仿宋_GB2312" w:hAnsi="仿宋_GB2312" w:eastAsia="仿宋_GB2312" w:cs="仿宋_GB2312"/>
          <w:color w:val="auto"/>
          <w:sz w:val="32"/>
          <w:szCs w:val="32"/>
          <w:highlight w:val="none"/>
        </w:rPr>
        <w:t>资本净额3.</w:t>
      </w:r>
      <w:r>
        <w:rPr>
          <w:rFonts w:hint="eastAsia" w:ascii="仿宋_GB2312" w:hAnsi="仿宋_GB2312" w:eastAsia="仿宋_GB2312" w:cs="仿宋_GB2312"/>
          <w:color w:val="auto"/>
          <w:sz w:val="32"/>
          <w:szCs w:val="32"/>
          <w:highlight w:val="none"/>
          <w:lang w:val="en-US" w:eastAsia="zh-CN"/>
        </w:rPr>
        <w:t>53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highlight w:val="none"/>
          <w:lang w:val="en-US" w:eastAsia="zh-CN"/>
        </w:rPr>
        <w:t>符合监管要求</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安顺市国有资本运营有限责任公司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贷款金额3628万元，贷款余额3628.00万元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贷款</w:t>
      </w:r>
      <w:r>
        <w:rPr>
          <w:rFonts w:hint="eastAsia" w:ascii="仿宋_GB2312" w:hAnsi="仿宋_GB2312" w:eastAsia="仿宋_GB2312" w:cs="仿宋_GB2312"/>
          <w:color w:val="auto"/>
          <w:sz w:val="32"/>
          <w:szCs w:val="32"/>
          <w:highlight w:val="none"/>
        </w:rPr>
        <w:t>余额占</w:t>
      </w:r>
      <w:r>
        <w:rPr>
          <w:rFonts w:hint="eastAsia" w:ascii="仿宋_GB2312" w:hAnsi="仿宋_GB2312" w:eastAsia="仿宋_GB2312" w:cs="仿宋_GB2312"/>
          <w:color w:val="auto"/>
          <w:sz w:val="32"/>
          <w:szCs w:val="32"/>
          <w:highlight w:val="none"/>
          <w:lang w:val="en-US" w:eastAsia="zh-CN"/>
        </w:rPr>
        <w:t>上季度</w:t>
      </w:r>
      <w:r>
        <w:rPr>
          <w:rFonts w:hint="eastAsia" w:ascii="仿宋_GB2312" w:hAnsi="仿宋_GB2312" w:eastAsia="仿宋_GB2312" w:cs="仿宋_GB2312"/>
          <w:color w:val="auto"/>
          <w:sz w:val="32"/>
          <w:szCs w:val="32"/>
          <w:highlight w:val="none"/>
        </w:rPr>
        <w:t>资本净额</w:t>
      </w:r>
      <w:r>
        <w:rPr>
          <w:rFonts w:hint="eastAsia" w:ascii="仿宋_GB2312" w:hAnsi="仿宋_GB2312" w:eastAsia="仿宋_GB2312" w:cs="仿宋_GB2312"/>
          <w:color w:val="auto"/>
          <w:sz w:val="32"/>
          <w:szCs w:val="32"/>
          <w:highlight w:val="none"/>
          <w:lang w:val="en-US" w:eastAsia="zh-CN"/>
        </w:rPr>
        <w:t>2.31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highlight w:val="none"/>
          <w:lang w:val="en-US" w:eastAsia="zh-CN"/>
        </w:rPr>
        <w:t>符合监管要求</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贵州顺健制药有限公司</w:t>
      </w:r>
      <w:r>
        <w:rPr>
          <w:rFonts w:hint="eastAsia" w:ascii="仿宋_GB2312" w:hAnsi="仿宋_GB2312" w:eastAsia="仿宋_GB2312" w:cs="仿宋_GB2312"/>
          <w:color w:val="auto"/>
          <w:sz w:val="32"/>
          <w:szCs w:val="32"/>
          <w:highlight w:val="none"/>
          <w:lang w:eastAsia="zh-CN"/>
        </w:rPr>
        <w:t>、贵州省安顺市智达公共安全技术有限责任公司</w:t>
      </w:r>
      <w:r>
        <w:rPr>
          <w:rFonts w:hint="eastAsia" w:ascii="仿宋_GB2312" w:hAnsi="仿宋_GB2312" w:eastAsia="仿宋_GB2312" w:cs="仿宋_GB2312"/>
          <w:color w:val="auto"/>
          <w:sz w:val="32"/>
          <w:szCs w:val="32"/>
          <w:highlight w:val="none"/>
          <w:lang w:val="en-US" w:eastAsia="zh-CN"/>
        </w:rPr>
        <w:t>统一授信3211万元</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现贷款余额合计3210.99万元，贷款余额占上季度</w:t>
      </w:r>
      <w:r>
        <w:rPr>
          <w:rFonts w:hint="eastAsia" w:ascii="仿宋_GB2312" w:hAnsi="仿宋_GB2312" w:eastAsia="仿宋_GB2312" w:cs="仿宋_GB2312"/>
          <w:color w:val="auto"/>
          <w:sz w:val="32"/>
          <w:szCs w:val="32"/>
          <w:highlight w:val="none"/>
        </w:rPr>
        <w:t>资本净额</w:t>
      </w:r>
      <w:r>
        <w:rPr>
          <w:rFonts w:hint="eastAsia" w:ascii="仿宋_GB2312" w:hAnsi="仿宋_GB2312" w:eastAsia="仿宋_GB2312" w:cs="仿宋_GB2312"/>
          <w:color w:val="auto"/>
          <w:sz w:val="32"/>
          <w:szCs w:val="32"/>
          <w:highlight w:val="none"/>
          <w:lang w:val="en-US" w:eastAsia="zh-CN"/>
        </w:rPr>
        <w:t>2.0%，其中</w:t>
      </w:r>
      <w:r>
        <w:rPr>
          <w:rFonts w:hint="eastAsia" w:ascii="仿宋_GB2312" w:hAnsi="仿宋_GB2312" w:eastAsia="仿宋_GB2312" w:cs="仿宋_GB2312"/>
          <w:color w:val="auto"/>
          <w:sz w:val="32"/>
          <w:szCs w:val="32"/>
          <w:highlight w:val="none"/>
        </w:rPr>
        <w:t>贵州顺健制药有限公司</w:t>
      </w:r>
      <w:r>
        <w:rPr>
          <w:rFonts w:hint="eastAsia" w:ascii="仿宋_GB2312" w:hAnsi="仿宋_GB2312" w:eastAsia="仿宋_GB2312" w:cs="仿宋_GB2312"/>
          <w:color w:val="auto"/>
          <w:sz w:val="32"/>
          <w:szCs w:val="32"/>
          <w:highlight w:val="none"/>
          <w:lang w:val="en-US" w:eastAsia="zh-CN"/>
        </w:rPr>
        <w:t>贷款余额为2280.00万元、</w:t>
      </w:r>
      <w:r>
        <w:rPr>
          <w:rFonts w:hint="eastAsia" w:ascii="仿宋_GB2312" w:hAnsi="仿宋_GB2312" w:eastAsia="仿宋_GB2312" w:cs="仿宋_GB2312"/>
          <w:color w:val="auto"/>
          <w:sz w:val="32"/>
          <w:szCs w:val="32"/>
          <w:highlight w:val="none"/>
          <w:lang w:eastAsia="zh-CN"/>
        </w:rPr>
        <w:t>贵州省安顺市智达公共安全技术有限责任公司</w:t>
      </w:r>
      <w:r>
        <w:rPr>
          <w:rFonts w:hint="eastAsia" w:ascii="仿宋_GB2312" w:hAnsi="仿宋_GB2312" w:eastAsia="仿宋_GB2312" w:cs="仿宋_GB2312"/>
          <w:color w:val="auto"/>
          <w:sz w:val="32"/>
          <w:szCs w:val="32"/>
          <w:highlight w:val="none"/>
          <w:lang w:val="en-US" w:eastAsia="zh-CN"/>
        </w:rPr>
        <w:t>贷款余额为930.99万元，</w:t>
      </w:r>
      <w:r>
        <w:rPr>
          <w:rFonts w:hint="eastAsia" w:ascii="仿宋_GB2312" w:hAnsi="仿宋_GB2312" w:eastAsia="仿宋_GB2312" w:cs="仿宋_GB2312"/>
          <w:color w:val="auto"/>
          <w:sz w:val="32"/>
          <w:highlight w:val="none"/>
          <w:lang w:val="en-US" w:eastAsia="zh-CN"/>
        </w:rPr>
        <w:t>符合监管要求</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4.贵州省安顺市远大房地产开发有限公司，</w:t>
      </w:r>
      <w:r>
        <w:rPr>
          <w:rFonts w:hint="eastAsia" w:ascii="仿宋_GB2312" w:hAnsi="仿宋_GB2312" w:eastAsia="仿宋_GB2312" w:cs="仿宋_GB2312"/>
          <w:color w:val="auto"/>
          <w:sz w:val="32"/>
          <w:szCs w:val="32"/>
          <w:highlight w:val="none"/>
        </w:rPr>
        <w:t>贷款金额2700</w:t>
      </w:r>
      <w:r>
        <w:rPr>
          <w:rFonts w:hint="eastAsia" w:ascii="仿宋_GB2312" w:hAnsi="仿宋_GB2312" w:eastAsia="仿宋_GB2312" w:cs="仿宋_GB2312"/>
          <w:color w:val="auto"/>
          <w:sz w:val="32"/>
          <w:szCs w:val="32"/>
          <w:highlight w:val="none"/>
          <w:lang w:val="en-US" w:eastAsia="zh-CN"/>
        </w:rPr>
        <w:t>万元，贷款余额2700万元，贷款余额占上季度资本净额1.72%，</w:t>
      </w:r>
      <w:r>
        <w:rPr>
          <w:rFonts w:hint="eastAsia" w:ascii="仿宋_GB2312" w:hAnsi="仿宋_GB2312" w:eastAsia="仿宋_GB2312" w:cs="仿宋_GB2312"/>
          <w:color w:val="auto"/>
          <w:sz w:val="32"/>
          <w:highlight w:val="none"/>
          <w:lang w:val="en-US" w:eastAsia="zh-CN"/>
        </w:rPr>
        <w:t>符合监管要求</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b w:val="0"/>
          <w:bCs/>
          <w:color w:val="auto"/>
          <w:sz w:val="32"/>
          <w:szCs w:val="32"/>
          <w:highlight w:val="none"/>
        </w:rPr>
      </w:pPr>
      <w:r>
        <w:rPr>
          <w:rFonts w:hint="eastAsia" w:eastAsia="黑体" w:cs="Times New Roman"/>
          <w:b w:val="0"/>
          <w:bCs/>
          <w:color w:val="auto"/>
          <w:sz w:val="32"/>
          <w:szCs w:val="32"/>
          <w:highlight w:val="none"/>
          <w:lang w:val="en-US" w:eastAsia="zh-CN"/>
        </w:rPr>
        <w:t>二</w:t>
      </w:r>
      <w:r>
        <w:rPr>
          <w:rFonts w:hint="default" w:ascii="Times New Roman" w:hAnsi="Times New Roman" w:eastAsia="黑体" w:cs="Times New Roman"/>
          <w:b w:val="0"/>
          <w:bCs/>
          <w:color w:val="auto"/>
          <w:sz w:val="32"/>
          <w:szCs w:val="32"/>
          <w:highlight w:val="none"/>
          <w:lang w:eastAsia="zh-CN"/>
        </w:rPr>
        <w:t>、</w:t>
      </w:r>
      <w:r>
        <w:rPr>
          <w:rFonts w:hint="default" w:ascii="Times New Roman" w:hAnsi="Times New Roman" w:eastAsia="黑体" w:cs="Times New Roman"/>
          <w:b w:val="0"/>
          <w:bCs/>
          <w:color w:val="auto"/>
          <w:sz w:val="32"/>
          <w:szCs w:val="32"/>
          <w:highlight w:val="none"/>
        </w:rPr>
        <w:t>关联授信</w:t>
      </w:r>
      <w:r>
        <w:rPr>
          <w:rFonts w:hint="default" w:ascii="Times New Roman" w:hAnsi="Times New Roman" w:eastAsia="黑体" w:cs="Times New Roman"/>
          <w:b w:val="0"/>
          <w:bCs/>
          <w:color w:val="auto"/>
          <w:sz w:val="32"/>
          <w:szCs w:val="32"/>
          <w:highlight w:val="none"/>
          <w:lang w:eastAsia="zh-CN"/>
        </w:rPr>
        <w:t>集中度</w:t>
      </w:r>
      <w:r>
        <w:rPr>
          <w:rFonts w:hint="default" w:ascii="Times New Roman" w:hAnsi="Times New Roman" w:eastAsia="黑体" w:cs="Times New Roman"/>
          <w:b w:val="0"/>
          <w:bCs/>
          <w:color w:val="auto"/>
          <w:sz w:val="32"/>
          <w:szCs w:val="32"/>
          <w:highlight w:val="none"/>
        </w:rPr>
        <w:t>情况</w:t>
      </w:r>
    </w:p>
    <w:p>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截至2024年末，本行全部关联方的关联交易授信总额为16535.24万元，本行2024年第三季度末资本净额为157314.4万元，本行对单个关联方的授信余额最高为5549.6万元，占上季度末资本净额的3.53%，未超过本机构上季末资本净额的10%；对单个关联法人或其他组织所在集团客户的合计授信余额最高为5549.6万元，占上季度末资本净额的3.53%，未超过本机构上季末资本净额的15%；全部关联方的授信余额16535.24万元，占上季度末资本净额的10.21%，未超过本机构上季末资本净额的50%。</w:t>
      </w:r>
    </w:p>
    <w:p>
      <w:pPr>
        <w:pStyle w:val="8"/>
        <w:rPr>
          <w:rFonts w:hint="default"/>
          <w:color w:val="auto"/>
          <w:sz w:val="28"/>
          <w:szCs w:val="36"/>
          <w:highlight w:val="none"/>
          <w:lang w:val="en-US" w:eastAsia="zh-CN"/>
        </w:rPr>
      </w:pP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right="0" w:rightChars="0"/>
        <w:jc w:val="center"/>
        <w:textAlignment w:val="auto"/>
        <w:outlineLvl w:val="9"/>
        <w:rPr>
          <w:rFonts w:hint="default" w:ascii="Times New Roman" w:hAnsi="Times New Roman" w:eastAsia="黑体" w:cs="Times New Roman"/>
          <w:b w:val="0"/>
          <w:bCs w:val="0"/>
          <w:color w:val="auto"/>
          <w:sz w:val="36"/>
          <w:szCs w:val="36"/>
          <w:highlight w:val="none"/>
          <w:lang w:val="en-US" w:eastAsia="zh-CN"/>
        </w:rPr>
      </w:pPr>
      <w:r>
        <w:rPr>
          <w:rFonts w:hint="default" w:ascii="Times New Roman" w:hAnsi="Times New Roman" w:eastAsia="黑体" w:cs="Times New Roman"/>
          <w:b w:val="0"/>
          <w:bCs w:val="0"/>
          <w:color w:val="auto"/>
          <w:sz w:val="36"/>
          <w:szCs w:val="36"/>
          <w:highlight w:val="none"/>
        </w:rPr>
        <w:t>第</w:t>
      </w:r>
      <w:r>
        <w:rPr>
          <w:rFonts w:hint="default" w:ascii="Times New Roman" w:hAnsi="Times New Roman" w:eastAsia="黑体" w:cs="Times New Roman"/>
          <w:b w:val="0"/>
          <w:bCs w:val="0"/>
          <w:color w:val="auto"/>
          <w:sz w:val="36"/>
          <w:szCs w:val="36"/>
          <w:highlight w:val="none"/>
          <w:lang w:eastAsia="zh-CN"/>
        </w:rPr>
        <w:t>八</w:t>
      </w:r>
      <w:r>
        <w:rPr>
          <w:rFonts w:hint="default" w:ascii="Times New Roman" w:hAnsi="Times New Roman" w:eastAsia="黑体" w:cs="Times New Roman"/>
          <w:b w:val="0"/>
          <w:bCs w:val="0"/>
          <w:color w:val="auto"/>
          <w:sz w:val="36"/>
          <w:szCs w:val="36"/>
          <w:highlight w:val="none"/>
        </w:rPr>
        <w:t>章    风险</w:t>
      </w:r>
      <w:r>
        <w:rPr>
          <w:rFonts w:hint="default" w:ascii="Times New Roman" w:hAnsi="Times New Roman" w:eastAsia="黑体" w:cs="Times New Roman"/>
          <w:b w:val="0"/>
          <w:bCs w:val="0"/>
          <w:color w:val="auto"/>
          <w:sz w:val="36"/>
          <w:szCs w:val="36"/>
          <w:highlight w:val="none"/>
          <w:lang w:val="en-US" w:eastAsia="zh-CN"/>
        </w:rPr>
        <w:t>管理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ind w:firstLine="640" w:firstLineChars="200"/>
        <w:jc w:val="both"/>
        <w:rPr>
          <w:rFonts w:hint="default" w:ascii="Times New Roman" w:hAnsi="Times New Roman" w:eastAsia="仿宋_GB2312" w:cs="Times New Roman"/>
          <w:color w:val="auto"/>
          <w:sz w:val="32"/>
          <w:szCs w:val="32"/>
          <w:highlight w:val="none"/>
        </w:rPr>
      </w:pPr>
      <w:bookmarkStart w:id="0" w:name="gwbt"/>
      <w:r>
        <w:rPr>
          <w:rFonts w:hint="default" w:ascii="Times New Roman" w:hAnsi="Times New Roman" w:eastAsia="仿宋_GB2312" w:cs="Times New Roman"/>
          <w:color w:val="auto"/>
          <w:sz w:val="32"/>
          <w:szCs w:val="32"/>
          <w:highlight w:val="none"/>
        </w:rPr>
        <w:t>为持续优化和完善风险管理体系，通过识别主要业务和管理流程中的风险点，查找各流程中的薄弱环节，完善风险管理预防与控制措施，构建职责清晰、相互制衡、运行高效的全面风险管理组织构架，切实提高我行各类风险控制能力，保障我行经营稳健和健康发展。根据《银行业金融机构全面风险管理指引》（银监发〔2016〕44号）</w:t>
      </w:r>
      <w:r>
        <w:rPr>
          <w:rFonts w:hint="default" w:ascii="Times New Roman" w:hAnsi="Times New Roman" w:eastAsia="仿宋_GB2312" w:cs="Times New Roman"/>
          <w:color w:val="auto"/>
          <w:sz w:val="32"/>
          <w:szCs w:val="32"/>
          <w:highlight w:val="none"/>
          <w:lang w:eastAsia="zh-CN"/>
        </w:rPr>
        <w:t>《贵州省农村信用社全面风险管理政策》</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黔</w:t>
      </w:r>
      <w:r>
        <w:rPr>
          <w:rFonts w:hint="default" w:ascii="Times New Roman" w:hAnsi="Times New Roman" w:eastAsia="仿宋_GB2312" w:cs="Times New Roman"/>
          <w:color w:val="auto"/>
          <w:sz w:val="32"/>
          <w:szCs w:val="32"/>
          <w:highlight w:val="none"/>
          <w:lang w:eastAsia="zh-CN"/>
        </w:rPr>
        <w:t>农信办</w:t>
      </w:r>
      <w:r>
        <w:rPr>
          <w:rFonts w:hint="default" w:ascii="Times New Roman" w:hAnsi="Times New Roman" w:eastAsia="仿宋_GB2312" w:cs="Times New Roman"/>
          <w:color w:val="auto"/>
          <w:sz w:val="32"/>
          <w:szCs w:val="32"/>
          <w:highlight w:val="none"/>
        </w:rPr>
        <w:t>发〔20</w:t>
      </w:r>
      <w:r>
        <w:rPr>
          <w:rFonts w:hint="default"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号）《贵州省农村信用社全面风险管理组织架构建设指引》（黔农信发〔2020〕26号）《安顺农村商业银行股份有限公司全面风险管理组织架构》（安农商发〔2021〕30号）文件要求，</w:t>
      </w:r>
      <w:r>
        <w:rPr>
          <w:rFonts w:hint="default" w:ascii="Times New Roman" w:hAnsi="Times New Roman" w:eastAsia="仿宋_GB2312" w:cs="Times New Roman"/>
          <w:color w:val="auto"/>
          <w:sz w:val="32"/>
          <w:szCs w:val="32"/>
          <w:highlight w:val="none"/>
          <w:lang w:eastAsia="zh-CN"/>
        </w:rPr>
        <w:t>本着“匹配性、全覆盖性、独立性、有效性”的基本原则，</w:t>
      </w:r>
      <w:r>
        <w:rPr>
          <w:rFonts w:hint="default" w:ascii="Times New Roman" w:hAnsi="Times New Roman" w:eastAsia="仿宋_GB2312" w:cs="Times New Roman"/>
          <w:color w:val="auto"/>
          <w:sz w:val="32"/>
          <w:szCs w:val="32"/>
          <w:highlight w:val="none"/>
        </w:rPr>
        <w:t>结合</w:t>
      </w:r>
      <w:r>
        <w:rPr>
          <w:rFonts w:hint="default" w:ascii="Times New Roman" w:hAnsi="Times New Roman" w:eastAsia="仿宋_GB2312" w:cs="Times New Roman"/>
          <w:color w:val="auto"/>
          <w:sz w:val="32"/>
          <w:szCs w:val="32"/>
          <w:highlight w:val="none"/>
          <w:lang w:eastAsia="zh-CN"/>
        </w:rPr>
        <w:t>我行</w:t>
      </w:r>
      <w:r>
        <w:rPr>
          <w:rFonts w:hint="default" w:ascii="Times New Roman" w:hAnsi="Times New Roman" w:eastAsia="仿宋_GB2312" w:cs="Times New Roman"/>
          <w:color w:val="auto"/>
          <w:sz w:val="32"/>
          <w:szCs w:val="32"/>
          <w:highlight w:val="none"/>
        </w:rPr>
        <w:t>工作实际，现将202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年度全面风险管理情况报告如下：</w:t>
      </w:r>
    </w:p>
    <w:bookmarkEnd w:id="0"/>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一、</w:t>
      </w:r>
      <w:r>
        <w:rPr>
          <w:rFonts w:hint="default" w:ascii="Times New Roman" w:hAnsi="Times New Roman" w:eastAsia="黑体" w:cs="Times New Roman"/>
          <w:color w:val="auto"/>
          <w:sz w:val="32"/>
          <w:szCs w:val="32"/>
          <w:highlight w:val="none"/>
        </w:rPr>
        <w:t>行社</w:t>
      </w:r>
      <w:r>
        <w:rPr>
          <w:rFonts w:hint="default" w:ascii="Times New Roman" w:hAnsi="Times New Roman" w:eastAsia="黑体" w:cs="Times New Roman"/>
          <w:color w:val="auto"/>
          <w:sz w:val="32"/>
          <w:szCs w:val="32"/>
          <w:highlight w:val="none"/>
          <w:lang w:val="en-US" w:eastAsia="zh-CN"/>
        </w:rPr>
        <w:t>风险总体运营情况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（一）行社全面风险现状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1.信用风险</w:t>
      </w:r>
    </w:p>
    <w:p>
      <w:pPr>
        <w:keepNext w:val="0"/>
        <w:keepLines w:val="0"/>
        <w:pageBreakBefore w:val="0"/>
        <w:kinsoku/>
        <w:wordWrap/>
        <w:overflowPunct/>
        <w:topLinePunct w:val="0"/>
        <w:autoSpaceDE/>
        <w:autoSpaceDN/>
        <w:bidi w:val="0"/>
        <w:spacing w:line="560" w:lineRule="exact"/>
        <w:ind w:firstLine="640" w:firstLineChars="200"/>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sz w:val="32"/>
          <w:szCs w:val="32"/>
          <w:highlight w:val="none"/>
          <w:lang w:val="en-US" w:eastAsia="zh-CN"/>
        </w:rPr>
        <w:t>我行信用风险主要表现为贷款违约，</w:t>
      </w:r>
      <w:r>
        <w:rPr>
          <w:rFonts w:hint="default" w:ascii="Times New Roman" w:hAnsi="Times New Roman" w:eastAsia="仿宋_GB2312" w:cs="Times New Roman"/>
          <w:color w:val="auto"/>
          <w:sz w:val="32"/>
          <w:szCs w:val="32"/>
          <w:highlight w:val="none"/>
        </w:rPr>
        <w:t>从贷款方式上看，形成不良贷款压力主要集中在信用类贷款</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近年来受</w:t>
      </w:r>
      <w:r>
        <w:rPr>
          <w:rFonts w:hint="default" w:ascii="Times New Roman" w:hAnsi="Times New Roman" w:eastAsia="仿宋_GB2312" w:cs="Times New Roman"/>
          <w:color w:val="auto"/>
          <w:sz w:val="32"/>
          <w:szCs w:val="32"/>
          <w:highlight w:val="none"/>
        </w:rPr>
        <w:t>疫情</w:t>
      </w:r>
      <w:r>
        <w:rPr>
          <w:rFonts w:hint="default" w:ascii="Times New Roman" w:hAnsi="Times New Roman" w:eastAsia="仿宋_GB2312" w:cs="Times New Roman"/>
          <w:color w:val="auto"/>
          <w:sz w:val="32"/>
          <w:szCs w:val="32"/>
          <w:highlight w:val="none"/>
          <w:lang w:val="en-US" w:eastAsia="zh-CN"/>
        </w:rPr>
        <w:t>和宏观经济环境影响，各类市场主体经营举步维艰，抵御风险能力较弱，我行在全面落实各级各部门信贷纾困政策的落实下，也在</w:t>
      </w:r>
      <w:r>
        <w:rPr>
          <w:rFonts w:hint="default" w:ascii="Times New Roman" w:hAnsi="Times New Roman" w:eastAsia="仿宋_GB2312" w:cs="Times New Roman"/>
          <w:color w:val="auto"/>
          <w:sz w:val="32"/>
          <w:szCs w:val="32"/>
          <w:highlight w:val="none"/>
        </w:rPr>
        <w:t>持续完善信用风险管理制度和流程，规范业务操作，明确有关准入标准，</w:t>
      </w:r>
      <w:r>
        <w:rPr>
          <w:rFonts w:hint="default" w:ascii="Times New Roman" w:hAnsi="Times New Roman" w:eastAsia="仿宋_GB2312" w:cs="Times New Roman"/>
          <w:color w:val="auto"/>
          <w:sz w:val="32"/>
          <w:szCs w:val="32"/>
          <w:highlight w:val="none"/>
          <w:lang w:val="en-US" w:eastAsia="zh-CN"/>
        </w:rPr>
        <w:t>对从客户资信调查、还款方式的选择、信用限额的确定到款项回收等环节实行全面监督和控制，努力实现贷款安全并及时回收。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2.流动性风险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仿宋_GB2312" w:cs="Times New Roman"/>
          <w:b w:val="0"/>
          <w:bCs w:val="0"/>
          <w:color w:val="auto"/>
          <w:kern w:val="0"/>
          <w:sz w:val="32"/>
          <w:szCs w:val="32"/>
          <w:highlight w:val="none"/>
          <w:lang w:val="en-US" w:eastAsia="zh-CN" w:bidi="ar"/>
        </w:rPr>
        <w:t>我行对流动性风险管理设置专门部门及专人管理，按期</w:t>
      </w:r>
      <w:r>
        <w:rPr>
          <w:rFonts w:hint="default" w:ascii="Times New Roman" w:hAnsi="Times New Roman" w:eastAsia="仿宋_GB2312" w:cs="Times New Roman"/>
          <w:color w:val="auto"/>
          <w:sz w:val="31"/>
          <w:szCs w:val="31"/>
          <w:highlight w:val="none"/>
        </w:rPr>
        <w:t>对流动性比例、核心负债依存度、流动性缺口率、优质流动性资产充足率等监管指标</w:t>
      </w:r>
      <w:r>
        <w:rPr>
          <w:rFonts w:hint="default" w:ascii="Times New Roman" w:hAnsi="Times New Roman" w:eastAsia="仿宋_GB2312" w:cs="Times New Roman"/>
          <w:color w:val="auto"/>
          <w:sz w:val="31"/>
          <w:szCs w:val="31"/>
          <w:highlight w:val="none"/>
          <w:lang w:val="en-US" w:eastAsia="zh-CN"/>
        </w:rPr>
        <w:t>做</w:t>
      </w:r>
      <w:r>
        <w:rPr>
          <w:rFonts w:hint="default" w:ascii="Times New Roman" w:hAnsi="Times New Roman" w:eastAsia="仿宋_GB2312" w:cs="Times New Roman"/>
          <w:color w:val="auto"/>
          <w:sz w:val="31"/>
          <w:szCs w:val="31"/>
          <w:highlight w:val="none"/>
        </w:rPr>
        <w:t>好流动性</w:t>
      </w:r>
      <w:r>
        <w:rPr>
          <w:rFonts w:hint="default" w:ascii="Times New Roman" w:hAnsi="Times New Roman" w:eastAsia="仿宋_GB2312" w:cs="Times New Roman"/>
          <w:color w:val="auto"/>
          <w:sz w:val="31"/>
          <w:szCs w:val="31"/>
          <w:highlight w:val="no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Times New Roman" w:hAnsi="Times New Roman" w:eastAsia="仿宋_GB2312" w:cs="Times New Roman"/>
          <w:b/>
          <w:bCs/>
          <w:color w:val="auto"/>
          <w:kern w:val="2"/>
          <w:sz w:val="32"/>
          <w:szCs w:val="32"/>
          <w:highlight w:val="none"/>
          <w:lang w:val="en-US" w:eastAsia="zh-CN" w:bidi="ar-SA"/>
        </w:rPr>
      </w:pPr>
      <w:r>
        <w:rPr>
          <w:rFonts w:hint="eastAsia" w:ascii="仿宋_GB2312" w:hAnsi="仿宋_GB2312" w:eastAsia="仿宋_GB2312" w:cs="仿宋_GB2312"/>
          <w:b/>
          <w:bCs/>
          <w:color w:val="auto"/>
          <w:kern w:val="0"/>
          <w:sz w:val="32"/>
          <w:szCs w:val="32"/>
          <w:highlight w:val="none"/>
          <w:lang w:val="en-US" w:eastAsia="zh-CN" w:bidi="ar"/>
        </w:rPr>
        <w:t xml:space="preserve"> </w:t>
      </w:r>
      <w:r>
        <w:rPr>
          <w:rFonts w:hint="eastAsia" w:ascii="Times New Roman" w:hAnsi="Times New Roman" w:eastAsia="仿宋_GB2312" w:cs="Times New Roman"/>
          <w:b w:val="0"/>
          <w:bCs w:val="0"/>
          <w:color w:val="auto"/>
          <w:kern w:val="2"/>
          <w:sz w:val="32"/>
          <w:szCs w:val="32"/>
          <w:highlight w:val="none"/>
          <w:lang w:val="en-US" w:eastAsia="zh-CN" w:bidi="ar-SA"/>
        </w:rPr>
        <w:t>3.操作风险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仿宋_GB2312" w:hAnsi="仿宋" w:eastAsia="仿宋_GB2312"/>
          <w:color w:val="auto"/>
          <w:sz w:val="32"/>
          <w:szCs w:val="32"/>
          <w:highlight w:val="none"/>
        </w:rPr>
        <w:t>安顺农商银行各类业务严格按照监管要求，在授权或审批范围内开展</w:t>
      </w:r>
      <w:r>
        <w:rPr>
          <w:rFonts w:hint="eastAsia" w:ascii="仿宋_GB2312" w:hAnsi="仿宋"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严格按规定根据业务流程设置相应的操作岗位，涉及不相容职务的</w:t>
      </w:r>
      <w:r>
        <w:rPr>
          <w:rFonts w:hint="eastAsia" w:ascii="仿宋_GB2312" w:hAnsi="仿宋_GB2312" w:eastAsia="仿宋_GB2312" w:cs="仿宋_GB2312"/>
          <w:color w:val="auto"/>
          <w:sz w:val="32"/>
          <w:szCs w:val="32"/>
          <w:highlight w:val="none"/>
          <w:lang w:val="en-US" w:eastAsia="zh-CN"/>
        </w:rPr>
        <w:t>严格</w:t>
      </w:r>
      <w:r>
        <w:rPr>
          <w:rFonts w:hint="eastAsia" w:ascii="仿宋_GB2312" w:hAnsi="仿宋_GB2312" w:eastAsia="仿宋_GB2312" w:cs="仿宋_GB2312"/>
          <w:color w:val="auto"/>
          <w:sz w:val="32"/>
          <w:szCs w:val="32"/>
          <w:highlight w:val="none"/>
        </w:rPr>
        <w:t>按规定实施相应的分离措施。按规定配备具备专业要求（需要从业资格或上岗资格的按其规定）的经办人员，明确各岗位办理业务和事项的权限范围、审批程序和相应职责；各岗位人员按各自的权限范围、审批程序和相应职责办理各项业务。</w:t>
      </w:r>
      <w:r>
        <w:rPr>
          <w:rFonts w:hint="eastAsia" w:ascii="仿宋_GB2312" w:hAnsi="仿宋_GB2312" w:eastAsia="仿宋_GB2312" w:cs="仿宋_GB2312"/>
          <w:color w:val="auto"/>
          <w:sz w:val="32"/>
          <w:szCs w:val="32"/>
          <w:highlight w:val="none"/>
          <w:lang w:val="en-US" w:eastAsia="zh-CN"/>
        </w:rPr>
        <w:t>同时</w:t>
      </w:r>
      <w:r>
        <w:rPr>
          <w:rFonts w:hint="eastAsia" w:ascii="仿宋_GB2312" w:hAnsi="仿宋_GB2312" w:eastAsia="仿宋_GB2312" w:cs="仿宋_GB2312"/>
          <w:color w:val="auto"/>
          <w:sz w:val="32"/>
          <w:szCs w:val="32"/>
          <w:highlight w:val="none"/>
        </w:rPr>
        <w:t>建立常态化的检查</w:t>
      </w:r>
      <w:r>
        <w:rPr>
          <w:rFonts w:hint="eastAsia" w:ascii="仿宋_GB2312" w:hAnsi="仿宋_GB2312" w:eastAsia="仿宋_GB2312" w:cs="仿宋_GB2312"/>
          <w:color w:val="auto"/>
          <w:sz w:val="32"/>
          <w:szCs w:val="32"/>
          <w:highlight w:val="none"/>
          <w:lang w:val="en-US" w:eastAsia="zh-CN"/>
        </w:rPr>
        <w:t>监督</w:t>
      </w:r>
      <w:r>
        <w:rPr>
          <w:rFonts w:hint="eastAsia" w:ascii="仿宋_GB2312" w:hAnsi="仿宋_GB2312" w:eastAsia="仿宋_GB2312" w:cs="仿宋_GB2312"/>
          <w:color w:val="auto"/>
          <w:sz w:val="32"/>
          <w:szCs w:val="32"/>
          <w:highlight w:val="none"/>
        </w:rPr>
        <w:t>机制，自上而下的报告机制以及风险事件反应改良机制，实现了操作风险识别、评估、监测和控制的闭环管理。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4.合规风险</w:t>
      </w:r>
    </w:p>
    <w:p>
      <w:pPr>
        <w:pStyle w:val="17"/>
        <w:keepNext w:val="0"/>
        <w:keepLines w:val="0"/>
        <w:pageBreakBefore w:val="0"/>
        <w:kinsoku/>
        <w:wordWrap/>
        <w:overflowPunct/>
        <w:topLinePunct w:val="0"/>
        <w:autoSpaceDE/>
        <w:autoSpaceDN/>
        <w:bidi w:val="0"/>
        <w:spacing w:line="560" w:lineRule="exact"/>
        <w:jc w:val="both"/>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val="en-US" w:eastAsia="zh-CN"/>
        </w:rPr>
        <w:t>我行从“严”开始，抓实抓细，增强员工遵章守纪、依法合规经营的观念，严格</w:t>
      </w:r>
      <w:r>
        <w:rPr>
          <w:rFonts w:hint="eastAsia" w:ascii="仿宋_GB2312" w:hAnsi="仿宋" w:eastAsia="仿宋_GB2312"/>
          <w:color w:val="auto"/>
          <w:sz w:val="32"/>
          <w:szCs w:val="32"/>
          <w:highlight w:val="none"/>
        </w:rPr>
        <w:t>遵循法律法规、监管要求、</w:t>
      </w:r>
      <w:r>
        <w:rPr>
          <w:rFonts w:hint="eastAsia" w:ascii="仿宋_GB2312" w:hAnsi="仿宋" w:eastAsia="仿宋_GB2312"/>
          <w:color w:val="auto"/>
          <w:sz w:val="32"/>
          <w:szCs w:val="32"/>
          <w:highlight w:val="none"/>
          <w:lang w:val="en-US" w:eastAsia="zh-CN"/>
        </w:rPr>
        <w:t>规章制度</w:t>
      </w:r>
      <w:r>
        <w:rPr>
          <w:rFonts w:hint="eastAsia" w:ascii="仿宋_GB2312" w:hAnsi="仿宋" w:eastAsia="仿宋_GB2312"/>
          <w:color w:val="auto"/>
          <w:sz w:val="32"/>
          <w:szCs w:val="32"/>
          <w:highlight w:val="none"/>
        </w:rPr>
        <w:t>、自律性组织制定的有关准则、以及适用于银行自身业务活动的行为准则。坚持各类业务制度先行，强化内部控制制度建设，</w:t>
      </w:r>
      <w:r>
        <w:rPr>
          <w:rFonts w:hint="eastAsia" w:ascii="仿宋_GB2312" w:hAnsi="仿宋" w:eastAsia="仿宋_GB2312"/>
          <w:color w:val="auto"/>
          <w:sz w:val="32"/>
          <w:szCs w:val="32"/>
          <w:highlight w:val="none"/>
          <w:lang w:val="en-US" w:eastAsia="zh-CN"/>
        </w:rPr>
        <w:t>以制度管理人、以制度约束人、以制度培养人，</w:t>
      </w:r>
      <w:r>
        <w:rPr>
          <w:rFonts w:hint="eastAsia" w:ascii="仿宋_GB2312" w:hAnsi="仿宋" w:eastAsia="仿宋_GB2312"/>
          <w:color w:val="auto"/>
          <w:sz w:val="32"/>
          <w:szCs w:val="32"/>
          <w:highlight w:val="none"/>
        </w:rPr>
        <w:t>加强对重点环节、重要事项的监督和管理控制。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5.市场风险</w:t>
      </w:r>
    </w:p>
    <w:p>
      <w:pPr>
        <w:keepNext w:val="0"/>
        <w:keepLines w:val="0"/>
        <w:pageBreakBefore w:val="0"/>
        <w:kinsoku/>
        <w:wordWrap/>
        <w:overflowPunct/>
        <w:topLinePunct w:val="0"/>
        <w:autoSpaceDE/>
        <w:autoSpaceDN/>
        <w:bidi w:val="0"/>
        <w:spacing w:line="560" w:lineRule="exact"/>
        <w:ind w:firstLine="660"/>
        <w:jc w:val="both"/>
        <w:rPr>
          <w:rFonts w:hint="default" w:ascii="仿宋" w:hAnsi="仿宋" w:eastAsia="仿宋" w:cs="仿宋"/>
          <w:color w:val="auto"/>
          <w:sz w:val="32"/>
          <w:szCs w:val="32"/>
          <w:highlight w:val="none"/>
          <w:lang w:val="en-US"/>
        </w:rPr>
      </w:pPr>
      <w:r>
        <w:rPr>
          <w:rFonts w:hint="eastAsia" w:ascii="仿宋_GB2312" w:hAnsi="仿宋_GB2312" w:eastAsia="仿宋_GB2312" w:cs="仿宋_GB2312"/>
          <w:color w:val="auto"/>
          <w:sz w:val="32"/>
          <w:szCs w:val="32"/>
          <w:highlight w:val="none"/>
        </w:rPr>
        <w:t>根据《商业银行市场风险管理指引》的规定，市场风险可以分为利率风险、汇率风险、股票价格风险和商品价格风险。</w:t>
      </w:r>
      <w:r>
        <w:rPr>
          <w:rFonts w:hint="eastAsia" w:ascii="仿宋_GB2312" w:hAnsi="仿宋_GB2312" w:eastAsia="仿宋_GB2312" w:cs="仿宋_GB2312"/>
          <w:color w:val="auto"/>
          <w:sz w:val="32"/>
          <w:szCs w:val="32"/>
          <w:highlight w:val="none"/>
          <w:lang w:val="en-US" w:eastAsia="zh-CN"/>
        </w:rPr>
        <w:t>目前，</w:t>
      </w:r>
      <w:r>
        <w:rPr>
          <w:rFonts w:hint="eastAsia" w:ascii="仿宋_GB2312" w:hAnsi="仿宋_GB2312" w:eastAsia="仿宋_GB2312" w:cs="仿宋_GB2312"/>
          <w:color w:val="auto"/>
          <w:sz w:val="32"/>
          <w:szCs w:val="32"/>
          <w:highlight w:val="none"/>
        </w:rPr>
        <w:t>我</w:t>
      </w:r>
      <w:r>
        <w:rPr>
          <w:rFonts w:hint="eastAsia" w:ascii="仿宋_GB2312" w:hAnsi="仿宋_GB2312" w:eastAsia="仿宋_GB2312" w:cs="仿宋_GB2312"/>
          <w:color w:val="auto"/>
          <w:sz w:val="32"/>
          <w:szCs w:val="32"/>
          <w:highlight w:val="none"/>
          <w:lang w:val="en-US" w:eastAsia="zh-CN"/>
        </w:rPr>
        <w:t>行</w:t>
      </w:r>
      <w:r>
        <w:rPr>
          <w:rFonts w:hint="eastAsia" w:ascii="仿宋_GB2312" w:hAnsi="仿宋_GB2312" w:eastAsia="仿宋_GB2312" w:cs="仿宋_GB2312"/>
          <w:color w:val="auto"/>
          <w:sz w:val="32"/>
          <w:szCs w:val="32"/>
          <w:highlight w:val="none"/>
        </w:rPr>
        <w:t>所持有</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金融资产暂不涉及汇率市场、股票市场以及期货市场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仅涉及利率风险。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6.信息科技风险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我行信息科技风险管理的目标是通过建立有效的机制，实现对信息科技风险的识别、计量、监测和控制，促进银行安全、持续、稳健运行，推进业务创新，提高信息科技使用水平，增强核心竞争力和可持续发展能力。我行高度重视信息科技风险的管理工作，构建了信息科技治理管理框架，董事长是信息科技风险管理的第一责任人，负责组织本行信息科技风险管理政策的贯彻落实。并成立了信息科技管理委员会，负责信息科技风险管理各项职责的落实，业务发展部负责在全面风险管理框架下牵头组织本行信息科技风险管理实施工作，从信息系统安全策略及项目建设、信息安全管理、信息系统运行管理、网络安全管理、机房应急处置管理等方面开展工作，构建了全员参与、上下联动的风险防范工作机制</w:t>
      </w:r>
      <w:r>
        <w:rPr>
          <w:rFonts w:hint="default" w:ascii="Times New Roman" w:hAnsi="Times New Roman" w:eastAsia="仿宋_GB2312" w:cs="Times New Roman"/>
          <w:color w:val="auto"/>
          <w:kern w:val="2"/>
          <w:sz w:val="32"/>
          <w:szCs w:val="32"/>
          <w:highlight w:val="none"/>
          <w:lang w:val="en-US" w:eastAsia="zh-CN" w:bidi="ar-SA"/>
        </w:rPr>
        <w:t>。</w:t>
      </w:r>
      <w:r>
        <w:rPr>
          <w:rFonts w:hint="eastAsia" w:ascii="Times New Roman" w:hAnsi="Times New Roman" w:eastAsia="仿宋_GB2312" w:cs="Times New Roman"/>
          <w:color w:val="auto"/>
          <w:kern w:val="2"/>
          <w:sz w:val="32"/>
          <w:szCs w:val="32"/>
          <w:highlight w:val="none"/>
          <w:lang w:val="en-US" w:eastAsia="zh-CN" w:bidi="ar-SA"/>
        </w:rPr>
        <w:t>2024业务发展部更换了中心机房UPS电池和控制主机，加强了机房电力保障能力；2024年开展了生产网应急切换演练、电源中断演练、进行了全行的网络安全事件解析与个人信息安全意识与防护培训，提高了全员的信息科技突发事件的处理能力，夯实了信息科技风险管理基础，有效的保障我行业务连续性，2024年度我行未发生信息科技风险事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7.声誉风险</w:t>
      </w:r>
    </w:p>
    <w:p>
      <w:pPr>
        <w:keepNext w:val="0"/>
        <w:keepLines w:val="0"/>
        <w:pageBreakBefore w:val="0"/>
        <w:tabs>
          <w:tab w:val="left" w:pos="5090"/>
        </w:tabs>
        <w:kinsoku/>
        <w:wordWrap/>
        <w:overflowPunct/>
        <w:topLinePunct w:val="0"/>
        <w:autoSpaceDE/>
        <w:autoSpaceDN/>
        <w:bidi w:val="0"/>
        <w:adjustRightInd/>
        <w:snapToGrid/>
        <w:spacing w:beforeAutospacing="0" w:afterAutospacing="0" w:line="560" w:lineRule="exact"/>
        <w:ind w:firstLine="560"/>
        <w:jc w:val="both"/>
        <w:textAlignment w:val="auto"/>
        <w:rPr>
          <w:rFonts w:hint="default" w:ascii="Times New Roman" w:hAnsi="Times New Roman"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我行制定声誉风险防控制度，搭建声誉风险防控制度体系，成立以安顺农商银行党委书记、董事长为组长的网络舆情防控领导小组，与政府、监管机关、省联社负责声誉风险监测及管理的部门建立沟通汇报机制，定期汇报声誉风险情况，并积极请求对方技术支持，协助我行开展风险监测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8.战略风险</w:t>
      </w:r>
    </w:p>
    <w:p>
      <w:pPr>
        <w:keepNext w:val="0"/>
        <w:keepLines w:val="0"/>
        <w:pageBreakBefore w:val="0"/>
        <w:kinsoku/>
        <w:wordWrap/>
        <w:overflowPunct/>
        <w:topLinePunct w:val="0"/>
        <w:autoSpaceDE/>
        <w:autoSpaceDN/>
        <w:bidi w:val="0"/>
        <w:spacing w:line="560" w:lineRule="exact"/>
        <w:ind w:firstLine="640" w:firstLineChars="200"/>
        <w:jc w:val="both"/>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32"/>
          <w:szCs w:val="32"/>
          <w:highlight w:val="none"/>
          <w:lang w:eastAsia="zh-CN"/>
        </w:rPr>
        <w:t>我行</w:t>
      </w:r>
      <w:r>
        <w:rPr>
          <w:rFonts w:hint="default" w:ascii="Times New Roman" w:hAnsi="Times New Roman" w:eastAsia="仿宋_GB2312" w:cs="Times New Roman"/>
          <w:color w:val="auto"/>
          <w:sz w:val="32"/>
          <w:szCs w:val="32"/>
          <w:highlight w:val="none"/>
        </w:rPr>
        <w:t>由董事会负责</w:t>
      </w:r>
      <w:r>
        <w:rPr>
          <w:rFonts w:hint="default" w:ascii="Times New Roman" w:hAnsi="Times New Roman" w:eastAsia="仿宋_GB2312" w:cs="Times New Roman"/>
          <w:color w:val="auto"/>
          <w:sz w:val="32"/>
          <w:szCs w:val="32"/>
          <w:highlight w:val="none"/>
          <w:lang w:eastAsia="zh-CN"/>
        </w:rPr>
        <w:t>听取、决定全行发展战略计划</w:t>
      </w:r>
      <w:r>
        <w:rPr>
          <w:rFonts w:hint="default" w:ascii="Times New Roman" w:hAnsi="Times New Roman" w:eastAsia="仿宋_GB2312" w:cs="Times New Roman"/>
          <w:color w:val="auto"/>
          <w:sz w:val="32"/>
          <w:szCs w:val="32"/>
          <w:highlight w:val="none"/>
        </w:rPr>
        <w:t>，并确保在全行得到有效贯彻</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发展战略涵盖发展规划、战略目标、经营理念、市场定位、资本管理和风险管理等方面的内容</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9.洗钱风险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我</w:t>
      </w:r>
      <w:r>
        <w:rPr>
          <w:rFonts w:hint="default" w:ascii="Times New Roman" w:hAnsi="Times New Roman" w:eastAsia="仿宋_GB2312" w:cs="Times New Roman"/>
          <w:color w:val="auto"/>
          <w:sz w:val="32"/>
          <w:szCs w:val="32"/>
          <w:highlight w:val="none"/>
        </w:rPr>
        <w:t>行切实履行金融机构反洗钱法律义务，预防洗钱行为发生</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避免现金业务</w:t>
      </w:r>
      <w:r>
        <w:rPr>
          <w:rFonts w:hint="default" w:ascii="Times New Roman" w:hAnsi="Times New Roman" w:eastAsia="仿宋_GB2312" w:cs="Times New Roman"/>
          <w:color w:val="auto"/>
          <w:sz w:val="32"/>
          <w:szCs w:val="32"/>
          <w:highlight w:val="none"/>
        </w:rPr>
        <w:t>被利用于洗钱和恐怖融资</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（二）全面风险管理体系建设情况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1.行社风险管理组织架构建设及履职情况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安顺农商银行承担本行全面风险管理的主体责任，已经建立本机构全面风险管理制度，建立并完善风险管理组织架构，保障了各项风险管理制度执行。</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2.</w:t>
      </w:r>
      <w:r>
        <w:rPr>
          <w:rFonts w:hint="default" w:ascii="Times New Roman" w:hAnsi="Times New Roman" w:eastAsia="仿宋_GB2312" w:cs="Times New Roman"/>
          <w:b w:val="0"/>
          <w:bCs w:val="0"/>
          <w:color w:val="auto"/>
          <w:sz w:val="32"/>
          <w:szCs w:val="32"/>
          <w:highlight w:val="none"/>
          <w:lang w:val="en-US" w:eastAsia="zh-CN"/>
        </w:rPr>
        <w:t>全行风险文化的建设情况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我行董事会以省联社风险文化为指引，倡导全员风险意识，强化全员风险防范，建立与我行业务开展相适应的、稳健的风险文化，形成广大员工认同的风险理念、风险价值观。</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kern w:val="2"/>
          <w:sz w:val="32"/>
          <w:szCs w:val="32"/>
          <w:highlight w:val="none"/>
          <w:lang w:val="en-US" w:eastAsia="zh-CN" w:bidi="ar-SA"/>
        </w:rPr>
        <w:t>全行风险管理人才队伍建设情况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我行建设多层级风险管理人才体系，风险管理人才队伍与业务发展相匹配，并设立有专门的风控部门：</w:t>
      </w:r>
      <w:r>
        <w:rPr>
          <w:rFonts w:hint="default" w:ascii="Times New Roman" w:hAnsi="Times New Roman" w:eastAsia="仿宋_GB2312" w:cs="Times New Roman"/>
          <w:b/>
          <w:bCs/>
          <w:color w:val="auto"/>
          <w:sz w:val="32"/>
          <w:szCs w:val="32"/>
          <w:highlight w:val="none"/>
          <w:lang w:val="en-US" w:eastAsia="zh-CN"/>
        </w:rPr>
        <w:t>一是</w:t>
      </w:r>
      <w:r>
        <w:rPr>
          <w:rFonts w:hint="default" w:ascii="Times New Roman" w:hAnsi="Times New Roman" w:eastAsia="仿宋_GB2312" w:cs="Times New Roman"/>
          <w:color w:val="auto"/>
          <w:sz w:val="32"/>
          <w:szCs w:val="32"/>
          <w:highlight w:val="none"/>
        </w:rPr>
        <w:t>我行董事会</w:t>
      </w:r>
      <w:r>
        <w:rPr>
          <w:rFonts w:hint="default" w:ascii="Times New Roman" w:hAnsi="Times New Roman" w:eastAsia="仿宋_GB2312" w:cs="Times New Roman"/>
          <w:color w:val="auto"/>
          <w:sz w:val="32"/>
          <w:szCs w:val="32"/>
          <w:highlight w:val="none"/>
          <w:lang w:val="en-US" w:eastAsia="zh-CN"/>
        </w:rPr>
        <w:t>配置高级风险管理人员</w:t>
      </w:r>
      <w:r>
        <w:rPr>
          <w:rFonts w:hint="default" w:ascii="Times New Roman" w:hAnsi="Times New Roman" w:eastAsia="仿宋_GB2312" w:cs="Times New Roman"/>
          <w:color w:val="auto"/>
          <w:sz w:val="32"/>
          <w:szCs w:val="32"/>
          <w:highlight w:val="none"/>
        </w:rPr>
        <w:t>8人</w:t>
      </w:r>
      <w:r>
        <w:rPr>
          <w:rFonts w:hint="default" w:ascii="Times New Roman" w:hAnsi="Times New Roman" w:eastAsia="仿宋_GB2312" w:cs="Times New Roman"/>
          <w:color w:val="auto"/>
          <w:sz w:val="32"/>
          <w:szCs w:val="32"/>
          <w:highlight w:val="none"/>
          <w:lang w:eastAsia="zh-CN"/>
        </w:rPr>
        <w:t>（其中</w:t>
      </w:r>
      <w:r>
        <w:rPr>
          <w:rFonts w:hint="default" w:ascii="Times New Roman" w:hAnsi="Times New Roman" w:eastAsia="仿宋_GB2312" w:cs="Times New Roman"/>
          <w:color w:val="auto"/>
          <w:sz w:val="32"/>
          <w:szCs w:val="32"/>
          <w:highlight w:val="none"/>
        </w:rPr>
        <w:t>董事会风险管理委员会</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高级管理层</w:t>
      </w:r>
      <w:r>
        <w:rPr>
          <w:rFonts w:hint="default"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经营层风险管理委员会7人（其中有</w:t>
      </w:r>
      <w:r>
        <w:rPr>
          <w:rFonts w:hint="eastAsia"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人为高级管理层成员）</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二是</w:t>
      </w:r>
      <w:r>
        <w:rPr>
          <w:rFonts w:hint="default" w:ascii="Times New Roman" w:hAnsi="Times New Roman" w:eastAsia="仿宋_GB2312" w:cs="Times New Roman"/>
          <w:color w:val="auto"/>
          <w:sz w:val="32"/>
          <w:szCs w:val="32"/>
          <w:highlight w:val="none"/>
        </w:rPr>
        <w:t>我行合规与风险管理部</w:t>
      </w:r>
      <w:r>
        <w:rPr>
          <w:rFonts w:hint="default" w:ascii="Times New Roman" w:hAnsi="Times New Roman" w:eastAsia="仿宋_GB2312" w:cs="Times New Roman"/>
          <w:color w:val="auto"/>
          <w:sz w:val="32"/>
          <w:szCs w:val="32"/>
          <w:highlight w:val="none"/>
          <w:lang w:val="en-US" w:eastAsia="zh-CN"/>
        </w:rPr>
        <w:t>配置风险管理人员11</w:t>
      </w:r>
      <w:r>
        <w:rPr>
          <w:rFonts w:hint="default" w:ascii="Times New Roman" w:hAnsi="Times New Roman" w:eastAsia="仿宋_GB2312" w:cs="Times New Roman"/>
          <w:color w:val="auto"/>
          <w:sz w:val="32"/>
          <w:szCs w:val="32"/>
          <w:highlight w:val="none"/>
        </w:rPr>
        <w:t>人</w:t>
      </w:r>
      <w:r>
        <w:rPr>
          <w:rFonts w:hint="default" w:ascii="Times New Roman" w:hAnsi="Times New Roman" w:eastAsia="仿宋_GB2312" w:cs="Times New Roman"/>
          <w:color w:val="auto"/>
          <w:kern w:val="2"/>
          <w:sz w:val="32"/>
          <w:szCs w:val="32"/>
          <w:highlight w:val="none"/>
          <w:lang w:val="en-US" w:eastAsia="zh-CN" w:bidi="ar-SA"/>
        </w:rPr>
        <w:t>，每年不定期对全行员工开展风险管理培训</w:t>
      </w:r>
      <w:r>
        <w:rPr>
          <w:rFonts w:hint="default" w:ascii="Times New Roman" w:hAnsi="Times New Roman" w:eastAsia="仿宋_GB2312" w:cs="Times New Roman"/>
          <w:color w:val="auto"/>
          <w:sz w:val="32"/>
          <w:szCs w:val="32"/>
          <w:highlight w:val="none"/>
        </w:rPr>
        <w:t>，部门下设法律事务中心、消费者权益保护中心、资产保全中心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配有专门的风控、法律、消保等专职人员</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三是</w:t>
      </w:r>
      <w:r>
        <w:rPr>
          <w:rFonts w:hint="default" w:ascii="Times New Roman" w:hAnsi="Times New Roman" w:eastAsia="仿宋_GB2312" w:cs="Times New Roman"/>
          <w:color w:val="auto"/>
          <w:sz w:val="32"/>
          <w:szCs w:val="32"/>
          <w:highlight w:val="none"/>
          <w:lang w:val="en-US" w:eastAsia="zh-CN"/>
        </w:rPr>
        <w:t>建立</w:t>
      </w:r>
      <w:r>
        <w:rPr>
          <w:rFonts w:hint="default" w:ascii="Times New Roman" w:hAnsi="Times New Roman" w:eastAsia="仿宋_GB2312" w:cs="Times New Roman"/>
          <w:color w:val="auto"/>
          <w:sz w:val="32"/>
          <w:szCs w:val="32"/>
          <w:highlight w:val="none"/>
        </w:rPr>
        <w:t>风险合规管理员</w:t>
      </w:r>
      <w:r>
        <w:rPr>
          <w:rFonts w:hint="default" w:ascii="Times New Roman" w:hAnsi="Times New Roman" w:eastAsia="仿宋_GB2312" w:cs="Times New Roman"/>
          <w:color w:val="auto"/>
          <w:sz w:val="32"/>
          <w:szCs w:val="32"/>
          <w:highlight w:val="none"/>
          <w:lang w:val="en-US" w:eastAsia="zh-CN"/>
        </w:rPr>
        <w:t>制度，</w:t>
      </w:r>
      <w:r>
        <w:rPr>
          <w:rFonts w:hint="default" w:ascii="Times New Roman" w:hAnsi="Times New Roman" w:eastAsia="仿宋_GB2312" w:cs="Times New Roman"/>
          <w:color w:val="auto"/>
          <w:sz w:val="32"/>
          <w:szCs w:val="32"/>
          <w:highlight w:val="none"/>
        </w:rPr>
        <w:t>总行</w:t>
      </w:r>
      <w:r>
        <w:rPr>
          <w:rFonts w:hint="default" w:ascii="Times New Roman" w:hAnsi="Times New Roman" w:eastAsia="仿宋_GB2312" w:cs="Times New Roman"/>
          <w:color w:val="auto"/>
          <w:sz w:val="32"/>
          <w:szCs w:val="32"/>
          <w:highlight w:val="none"/>
          <w:lang w:val="en-US" w:eastAsia="zh-CN"/>
        </w:rPr>
        <w:t>除</w:t>
      </w:r>
      <w:r>
        <w:rPr>
          <w:rFonts w:hint="default" w:ascii="Times New Roman" w:hAnsi="Times New Roman" w:eastAsia="仿宋_GB2312" w:cs="Times New Roman"/>
          <w:color w:val="auto"/>
          <w:sz w:val="32"/>
          <w:szCs w:val="32"/>
          <w:highlight w:val="none"/>
        </w:rPr>
        <w:t>合规与风险管理部</w:t>
      </w:r>
      <w:r>
        <w:rPr>
          <w:rFonts w:hint="default" w:ascii="Times New Roman" w:hAnsi="Times New Roman" w:eastAsia="仿宋_GB2312" w:cs="Times New Roman"/>
          <w:color w:val="auto"/>
          <w:sz w:val="32"/>
          <w:szCs w:val="32"/>
          <w:highlight w:val="none"/>
          <w:lang w:val="en-US" w:eastAsia="zh-CN"/>
        </w:rPr>
        <w:t>以外的</w:t>
      </w:r>
      <w:r>
        <w:rPr>
          <w:rFonts w:hint="default" w:ascii="Times New Roman" w:hAnsi="Times New Roman" w:eastAsia="仿宋_GB2312" w:cs="Times New Roman"/>
          <w:color w:val="auto"/>
          <w:sz w:val="32"/>
          <w:szCs w:val="32"/>
          <w:highlight w:val="none"/>
        </w:rPr>
        <w:t>部门共计配置风险合规</w:t>
      </w:r>
      <w:r>
        <w:rPr>
          <w:rFonts w:hint="default" w:ascii="Times New Roman" w:hAnsi="Times New Roman" w:eastAsia="仿宋_GB2312" w:cs="Times New Roman"/>
          <w:color w:val="auto"/>
          <w:sz w:val="32"/>
          <w:szCs w:val="32"/>
          <w:highlight w:val="none"/>
          <w:lang w:val="en-US" w:eastAsia="zh-CN"/>
        </w:rPr>
        <w:t>管理</w:t>
      </w:r>
      <w:r>
        <w:rPr>
          <w:rFonts w:hint="default" w:ascii="Times New Roman" w:hAnsi="Times New Roman" w:eastAsia="仿宋_GB2312" w:cs="Times New Roman"/>
          <w:color w:val="auto"/>
          <w:sz w:val="32"/>
          <w:szCs w:val="32"/>
          <w:highlight w:val="none"/>
        </w:rPr>
        <w:t>员13人，</w:t>
      </w:r>
      <w:r>
        <w:rPr>
          <w:rFonts w:hint="default"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Times New Roman"/>
          <w:color w:val="auto"/>
          <w:sz w:val="32"/>
          <w:szCs w:val="32"/>
          <w:highlight w:val="none"/>
        </w:rPr>
        <w:t>个支行</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二级支行</w:t>
      </w:r>
      <w:r>
        <w:rPr>
          <w:rFonts w:hint="default" w:ascii="Times New Roman" w:hAnsi="Times New Roman" w:eastAsia="仿宋_GB2312" w:cs="Times New Roman"/>
          <w:color w:val="auto"/>
          <w:sz w:val="32"/>
          <w:szCs w:val="32"/>
          <w:highlight w:val="none"/>
        </w:rPr>
        <w:t>配置风险合规</w:t>
      </w:r>
      <w:r>
        <w:rPr>
          <w:rFonts w:hint="default" w:ascii="Times New Roman" w:hAnsi="Times New Roman" w:eastAsia="仿宋_GB2312" w:cs="Times New Roman"/>
          <w:color w:val="auto"/>
          <w:sz w:val="32"/>
          <w:szCs w:val="32"/>
          <w:highlight w:val="none"/>
          <w:lang w:val="en-US" w:eastAsia="zh-CN"/>
        </w:rPr>
        <w:t>管理</w:t>
      </w:r>
      <w:r>
        <w:rPr>
          <w:rFonts w:hint="default" w:ascii="Times New Roman" w:hAnsi="Times New Roman" w:eastAsia="仿宋_GB2312" w:cs="Times New Roman"/>
          <w:color w:val="auto"/>
          <w:sz w:val="32"/>
          <w:szCs w:val="32"/>
          <w:highlight w:val="none"/>
        </w:rPr>
        <w:t>员50人。</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4.全行风险管理制度建设情况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安顺农商银行党委、高级管理层高度重视，强调制度建设的重要性，坚持各类业务制度先行，强化内部控制制度建设，积极发挥内部控制的作用，加强对重点环节、重要事项的监督和管理控制。目前，已制定、完善各类风险管理制度27项，内容涵盖：大额风险暴露、案件风险排查、信用风险管理、反洗钱风险管理、流动性风险监测、声誉风险管理等，基本覆盖我行涉及的各类风险。</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5.全行风险</w:t>
      </w:r>
      <w:r>
        <w:rPr>
          <w:rFonts w:hint="default" w:ascii="Times New Roman" w:hAnsi="Times New Roman" w:eastAsia="仿宋_GB2312" w:cs="Times New Roman"/>
          <w:b w:val="0"/>
          <w:bCs w:val="0"/>
          <w:color w:val="auto"/>
          <w:sz w:val="32"/>
          <w:highlight w:val="none"/>
          <w:lang w:val="en-US" w:eastAsia="zh-CN"/>
        </w:rPr>
        <w:t>考核驱动高质量发展</w:t>
      </w:r>
      <w:r>
        <w:rPr>
          <w:rFonts w:hint="default" w:ascii="Times New Roman" w:hAnsi="Times New Roman" w:eastAsia="仿宋_GB2312" w:cs="Times New Roman"/>
          <w:b w:val="0"/>
          <w:bCs w:val="0"/>
          <w:color w:val="auto"/>
          <w:sz w:val="32"/>
          <w:szCs w:val="32"/>
          <w:highlight w:val="none"/>
          <w:lang w:val="en-US" w:eastAsia="zh-CN"/>
        </w:rPr>
        <w:t>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为充分发挥考核“指挥棒”作用，充分调动和激励员工工作积极性，促进支行工作全面、稳步、快速发展，引导转变以新发展理念为引领，体系性构建以人为核心的全方位普惠金融促进本行高质量发展，确保实现全年各项目标计划，考核指标重点第一项为“风险管控”，风险指标考核主要内容为：</w:t>
      </w:r>
      <w:r>
        <w:rPr>
          <w:rFonts w:hint="eastAsia" w:cs="Times New Roman"/>
          <w:color w:val="auto"/>
          <w:sz w:val="32"/>
          <w:szCs w:val="32"/>
          <w:highlight w:val="none"/>
          <w:lang w:val="en-US" w:eastAsia="zh-CN"/>
        </w:rPr>
        <w:t>敏感贷款</w:t>
      </w:r>
      <w:r>
        <w:rPr>
          <w:rFonts w:hint="default" w:ascii="Times New Roman" w:hAnsi="Times New Roman" w:eastAsia="仿宋_GB2312" w:cs="Times New Roman"/>
          <w:color w:val="auto"/>
          <w:sz w:val="32"/>
          <w:szCs w:val="32"/>
          <w:highlight w:val="none"/>
          <w:lang w:val="en-US" w:eastAsia="zh-CN"/>
        </w:rPr>
        <w:t>控制、</w:t>
      </w:r>
      <w:r>
        <w:rPr>
          <w:rFonts w:hint="eastAsia" w:cs="Times New Roman"/>
          <w:color w:val="auto"/>
          <w:sz w:val="32"/>
          <w:szCs w:val="32"/>
          <w:highlight w:val="none"/>
          <w:lang w:val="en-US" w:eastAsia="zh-CN"/>
        </w:rPr>
        <w:t>新增贷款逾期率控制、正常类贷款利息收回率、不良类贷款利息收回率</w:t>
      </w:r>
      <w:r>
        <w:rPr>
          <w:rFonts w:hint="default" w:ascii="Times New Roman" w:hAnsi="Times New Roman" w:eastAsia="仿宋_GB2312" w:cs="Times New Roman"/>
          <w:color w:val="auto"/>
          <w:sz w:val="32"/>
          <w:szCs w:val="32"/>
          <w:highlight w:val="none"/>
          <w:lang w:val="en-US" w:eastAsia="zh-CN"/>
        </w:rPr>
        <w:t>，此外，</w:t>
      </w:r>
      <w:r>
        <w:rPr>
          <w:rFonts w:hint="eastAsia" w:cs="Times New Roman"/>
          <w:color w:val="auto"/>
          <w:sz w:val="32"/>
          <w:szCs w:val="32"/>
          <w:highlight w:val="none"/>
          <w:lang w:val="en-US" w:eastAsia="zh-CN"/>
        </w:rPr>
        <w:t>各项贷款逾期率、</w:t>
      </w:r>
      <w:r>
        <w:rPr>
          <w:rFonts w:hint="default" w:ascii="Times New Roman" w:hAnsi="Times New Roman" w:eastAsia="仿宋_GB2312" w:cs="Times New Roman"/>
          <w:color w:val="auto"/>
          <w:sz w:val="32"/>
          <w:szCs w:val="32"/>
          <w:highlight w:val="none"/>
          <w:lang w:val="en-US" w:eastAsia="zh-CN"/>
        </w:rPr>
        <w:t>风险预警系统运行情况、案防管理、金融消费者权益保护作为加减分项。</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6.全行风险管理策略、风险偏好以及风险限额建设情况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我行风险偏好以贵州农信“十四五”发展战略规划为依据，以高质量发展为根本导向，制定《安顺农村商业银行股份有限公司风险偏好陈述书（202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坚持底线思维，坚持做小做散，始终保持风险防控高压态势，确保守住各类风险底线。定性方面：我行实行稳健型的总体风险偏好，按照“稳健、审慎、合规”的原则，通过承担适度风险获取适中回报，兼顾适度规模、适中速度和良好质量。定量方面：</w:t>
      </w:r>
      <w:r>
        <w:rPr>
          <w:rFonts w:hint="default" w:ascii="Times New Roman" w:hAnsi="Times New Roman" w:eastAsia="仿宋_GB2312" w:cs="Times New Roman"/>
          <w:b/>
          <w:bCs/>
          <w:color w:val="auto"/>
          <w:sz w:val="32"/>
          <w:szCs w:val="32"/>
          <w:highlight w:val="none"/>
          <w:lang w:val="en-US" w:eastAsia="zh-CN"/>
        </w:rPr>
        <w:t>一是</w:t>
      </w:r>
      <w:r>
        <w:rPr>
          <w:rFonts w:hint="default" w:ascii="Times New Roman" w:hAnsi="Times New Roman" w:eastAsia="仿宋_GB2312" w:cs="Times New Roman"/>
          <w:color w:val="auto"/>
          <w:sz w:val="32"/>
          <w:szCs w:val="32"/>
          <w:highlight w:val="none"/>
          <w:lang w:val="en-US" w:eastAsia="zh-CN"/>
        </w:rPr>
        <w:t>我行统算资本充足情况符合监管要求。二是我行统算杠杆率符合监管要求(不低于4</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%)。三是我行统算盈利指标逐步向好,成本收入比下降</w:t>
      </w:r>
      <w:r>
        <w:rPr>
          <w:rFonts w:hint="eastAsia"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个百分点。</w:t>
      </w:r>
    </w:p>
    <w:p>
      <w:pPr>
        <w:pStyle w:val="17"/>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（三）业务风险管理情况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1.异地贷款投放情况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我行严格按照监管要求，严禁各支行新增异地贷款，信贷业务主要为本地农业农村农民服务，当年新增可贷资金主要用于当地农业农村发展，努力促进农村普惠金融发展，将更多资源配置到乡村发展的重点领域和薄弱环节，本年度无新增异地贷款投放的情况。</w:t>
      </w:r>
    </w:p>
    <w:p>
      <w:pPr>
        <w:keepNext w:val="0"/>
        <w:keepLines w:val="0"/>
        <w:pageBreakBefore w:val="0"/>
        <w:widowControl w:val="0"/>
        <w:kinsoku/>
        <w:wordWrap/>
        <w:overflowPunct/>
        <w:topLinePunct w:val="0"/>
        <w:autoSpaceDE/>
        <w:autoSpaceDN/>
        <w:bidi w:val="0"/>
        <w:adjustRightInd/>
        <w:snapToGrid/>
        <w:spacing w:line="560" w:lineRule="exact"/>
        <w:ind w:firstLine="800" w:firstLineChars="25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2.不良资产管理情况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（1）不良信贷资产总体管理情况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b w:val="0"/>
          <w:bCs w:val="0"/>
          <w:color w:val="auto"/>
          <w:spacing w:val="0"/>
          <w:kern w:val="2"/>
          <w:sz w:val="32"/>
          <w:szCs w:val="32"/>
          <w:highlight w:val="none"/>
          <w:lang w:val="en-US" w:eastAsia="zh-CN" w:bidi="ar-SA"/>
        </w:rPr>
        <w:t>202</w:t>
      </w:r>
      <w:r>
        <w:rPr>
          <w:rFonts w:hint="eastAsia" w:cs="Times New Roman"/>
          <w:b w:val="0"/>
          <w:bCs w:val="0"/>
          <w:color w:val="auto"/>
          <w:spacing w:val="0"/>
          <w:kern w:val="2"/>
          <w:sz w:val="32"/>
          <w:szCs w:val="32"/>
          <w:highlight w:val="none"/>
          <w:lang w:val="en-US" w:eastAsia="zh-CN" w:bidi="ar-SA"/>
        </w:rPr>
        <w:t>4</w:t>
      </w:r>
      <w:r>
        <w:rPr>
          <w:rFonts w:hint="default" w:ascii="Times New Roman" w:hAnsi="Times New Roman" w:eastAsia="仿宋_GB2312" w:cs="Times New Roman"/>
          <w:b w:val="0"/>
          <w:bCs w:val="0"/>
          <w:color w:val="auto"/>
          <w:spacing w:val="0"/>
          <w:kern w:val="2"/>
          <w:sz w:val="32"/>
          <w:szCs w:val="32"/>
          <w:highlight w:val="none"/>
          <w:lang w:val="en-US" w:eastAsia="zh-CN" w:bidi="ar-SA"/>
        </w:rPr>
        <w:t>年受市场环境影响，经营严重影响了借款人还款能力，信用风险集中暴露，逾期贷款上升，政府平台债务、农户贷款、大额贷款风险突现，风险处置工作面临极大挑战，我行在</w:t>
      </w:r>
      <w:r>
        <w:rPr>
          <w:rFonts w:hint="default" w:ascii="Times New Roman" w:hAnsi="Times New Roman" w:eastAsia="仿宋_GB2312" w:cs="Times New Roman"/>
          <w:color w:val="auto"/>
          <w:kern w:val="2"/>
          <w:sz w:val="32"/>
          <w:szCs w:val="32"/>
          <w:highlight w:val="none"/>
          <w:lang w:val="en-US" w:eastAsia="zh-CN" w:bidi="ar-SA"/>
        </w:rPr>
        <w:t>不良信贷资产</w:t>
      </w:r>
      <w:r>
        <w:rPr>
          <w:rFonts w:hint="default" w:ascii="Times New Roman" w:hAnsi="Times New Roman" w:eastAsia="仿宋_GB2312" w:cs="Times New Roman"/>
          <w:b w:val="0"/>
          <w:bCs w:val="0"/>
          <w:color w:val="auto"/>
          <w:spacing w:val="0"/>
          <w:kern w:val="2"/>
          <w:sz w:val="32"/>
          <w:szCs w:val="32"/>
          <w:highlight w:val="none"/>
          <w:lang w:val="en-US" w:eastAsia="zh-CN" w:bidi="ar-SA"/>
        </w:rPr>
        <w:t>处置过程中，始终强化存量风险化解、严控新增风险，强化部署、有效执行、重点防范，牢牢守住基本盘，做好内部风险化解工作。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（2）抵债资产管理情况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本年度我行强化抵债资产处置工作，梳理以及处置相关存量遗留问题，完善抵债资产收取审批流程控制，提高表外资产清收和处置能力。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（3）委外清收、核销贷款管理情况</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我行积极开展委外催收工作，</w:t>
      </w:r>
      <w:r>
        <w:rPr>
          <w:rFonts w:hint="default" w:ascii="Times New Roman" w:hAnsi="Times New Roman" w:eastAsia="仿宋_GB2312" w:cs="Times New Roman"/>
          <w:color w:val="auto"/>
          <w:sz w:val="32"/>
          <w:szCs w:val="32"/>
          <w:highlight w:val="none"/>
          <w:lang w:val="en-US" w:eastAsia="zh-CN"/>
        </w:rPr>
        <w:t>引入竞争机制，选取</w:t>
      </w:r>
      <w:r>
        <w:rPr>
          <w:rFonts w:hint="eastAsia"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家律所催收，同步提高内部清收力度。分解清收任务，配套清收奖惩，加大激励支行清收表外贷款的主动性和积极性。</w:t>
      </w:r>
      <w:r>
        <w:rPr>
          <w:rFonts w:hint="default" w:ascii="Times New Roman" w:hAnsi="Times New Roman" w:eastAsia="仿宋_GB2312" w:cs="Times New Roman"/>
          <w:color w:val="auto"/>
          <w:sz w:val="32"/>
          <w:szCs w:val="32"/>
          <w:highlight w:val="none"/>
          <w:lang w:eastAsia="zh-CN"/>
        </w:rPr>
        <w:t>我行修订《安顺农村商业银行股份有限公司呆账核销管理办法实施细则 （2023年版） 》，规范已核销已置换贷款管理，提高审批效率，规范档案管理。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（4）大额风险暴露管理情况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我行严格按照《商业银行大额风险暴露管理办法》《安顺农村商业银行股份有限公司大额风险暴露管理办法》防控客户集中度风险，建立完善与业务规模及复杂程度相适应的组织架构、管理制度、信息系统等，并对大额风险暴露进行内部限额，持续监测、预警和控制。我行对非同业单一客户的贷款余额不得超过资本净额的10%，按金额不得超过10000万元；对非同业单一客户的大额风险暴露不得超过一级资本净额的15%，按风险暴露不得超过10000万元；对非同业集团客户和经济依存客户大额风险暴露不得超过一级资本净额的20%，按风险暴露不得超过20000万元；对同业单一客户或集团客户的大额风险暴露不得超过一级资本净额的25%，按风险暴露不得超过30000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（5）问责工作情况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color w:val="auto"/>
          <w:kern w:val="2"/>
          <w:sz w:val="32"/>
          <w:szCs w:val="32"/>
          <w:highlight w:val="none"/>
          <w:lang w:val="en-US" w:eastAsia="zh-CN" w:bidi="ar-SA"/>
        </w:rPr>
        <w:t>我行按照省联社要求，规范问责流程，夯实问责基础，为全流程梳理不良资产问责工作提供保障；</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color w:val="auto"/>
          <w:kern w:val="2"/>
          <w:sz w:val="32"/>
          <w:szCs w:val="32"/>
          <w:highlight w:val="none"/>
          <w:lang w:val="en-US" w:eastAsia="zh-CN" w:bidi="ar-SA"/>
        </w:rPr>
        <w:t>落实上级要求，加强组织领导，成立不良信贷资产问责工作领导小组及问责专班，进一步释放从严治贷强烈信号，帮助全体员工提高认识，高度重视不良信贷资产问责工作；</w:t>
      </w:r>
      <w:r>
        <w:rPr>
          <w:rFonts w:hint="default" w:ascii="Times New Roman" w:hAnsi="Times New Roman" w:eastAsia="仿宋_GB2312" w:cs="Times New Roman"/>
          <w:b/>
          <w:bCs/>
          <w:color w:val="auto"/>
          <w:kern w:val="2"/>
          <w:sz w:val="32"/>
          <w:szCs w:val="32"/>
          <w:highlight w:val="none"/>
          <w:lang w:val="en-US" w:eastAsia="zh-CN" w:bidi="ar-SA"/>
        </w:rPr>
        <w:t>三是</w:t>
      </w:r>
      <w:r>
        <w:rPr>
          <w:rFonts w:hint="default" w:ascii="Times New Roman" w:hAnsi="Times New Roman" w:eastAsia="仿宋_GB2312" w:cs="Times New Roman"/>
          <w:color w:val="auto"/>
          <w:kern w:val="2"/>
          <w:sz w:val="32"/>
          <w:szCs w:val="32"/>
          <w:highlight w:val="none"/>
          <w:lang w:val="en-US" w:eastAsia="zh-CN" w:bidi="ar-SA"/>
        </w:rPr>
        <w:t>明确问责工作计划与流程，已</w:t>
      </w:r>
      <w:r>
        <w:rPr>
          <w:rFonts w:hint="eastAsia" w:cs="Times New Roman"/>
          <w:color w:val="auto"/>
          <w:kern w:val="2"/>
          <w:sz w:val="32"/>
          <w:szCs w:val="32"/>
          <w:highlight w:val="none"/>
          <w:lang w:val="en-US" w:eastAsia="zh-CN" w:bidi="ar-SA"/>
        </w:rPr>
        <w:t>完成</w:t>
      </w:r>
      <w:r>
        <w:rPr>
          <w:rFonts w:hint="default" w:ascii="Times New Roman" w:hAnsi="Times New Roman" w:eastAsia="仿宋_GB2312" w:cs="Times New Roman"/>
          <w:color w:val="auto"/>
          <w:kern w:val="2"/>
          <w:sz w:val="32"/>
          <w:szCs w:val="32"/>
          <w:highlight w:val="none"/>
          <w:lang w:val="en-US" w:eastAsia="zh-CN" w:bidi="ar-SA"/>
        </w:rPr>
        <w:t>对辖内支行</w:t>
      </w:r>
      <w:r>
        <w:rPr>
          <w:rFonts w:hint="eastAsia" w:cs="Times New Roman"/>
          <w:color w:val="auto"/>
          <w:kern w:val="2"/>
          <w:sz w:val="32"/>
          <w:szCs w:val="32"/>
          <w:highlight w:val="none"/>
          <w:lang w:val="en-US" w:eastAsia="zh-CN" w:bidi="ar-SA"/>
        </w:rPr>
        <w:t>2024年</w:t>
      </w:r>
      <w:r>
        <w:rPr>
          <w:rFonts w:hint="default" w:ascii="Times New Roman" w:hAnsi="Times New Roman" w:eastAsia="仿宋_GB2312" w:cs="Times New Roman"/>
          <w:color w:val="auto"/>
          <w:kern w:val="2"/>
          <w:sz w:val="32"/>
          <w:szCs w:val="32"/>
          <w:highlight w:val="none"/>
          <w:lang w:val="en-US" w:eastAsia="zh-CN" w:bidi="ar-SA"/>
        </w:rPr>
        <w:t>不良信贷资产责任认定。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（四）内控合规管理情况</w:t>
      </w:r>
    </w:p>
    <w:p>
      <w:pPr>
        <w:pStyle w:val="17"/>
        <w:keepNext w:val="0"/>
        <w:keepLines w:val="0"/>
        <w:pageBreakBefore w:val="0"/>
        <w:kinsoku/>
        <w:wordWrap/>
        <w:overflowPunct/>
        <w:topLinePunct w:val="0"/>
        <w:autoSpaceDE/>
        <w:autoSpaceDN/>
        <w:bidi w:val="0"/>
        <w:spacing w:line="560" w:lineRule="exact"/>
        <w:jc w:val="both"/>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1.</w:t>
      </w:r>
      <w:r>
        <w:rPr>
          <w:rFonts w:hint="default" w:ascii="Times New Roman" w:hAnsi="Times New Roman" w:eastAsia="仿宋_GB2312" w:cs="Times New Roman"/>
          <w:b w:val="0"/>
          <w:bCs w:val="0"/>
          <w:color w:val="auto"/>
          <w:sz w:val="32"/>
          <w:szCs w:val="32"/>
          <w:highlight w:val="none"/>
          <w:lang w:val="en-US" w:eastAsia="zh-CN"/>
        </w:rPr>
        <w:t>关联交易管理情况</w:t>
      </w:r>
    </w:p>
    <w:p>
      <w:pPr>
        <w:pStyle w:val="17"/>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color w:val="auto"/>
          <w:w w:val="98"/>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我行根据监管规定，制定了《安顺农村商业银行股份有限公司关联交易管理办法》《安顺农村商业银行股份有限公司关联方信贷业务管理办法(2023版)》《关于关联交易统一交易协议审查规则的通知》，各级机构开展关联交易应遵守法律法规、有关监管规定和内控制度，健全公司治理架构，完善内部控制和风险管理，遵循诚实信用、公开公允、穿透识别、结构清晰的原则，对关联方实施关联登记、管理。</w:t>
      </w:r>
    </w:p>
    <w:p>
      <w:pPr>
        <w:pStyle w:val="17"/>
        <w:keepNext w:val="0"/>
        <w:keepLines w:val="0"/>
        <w:pageBreakBefore w:val="0"/>
        <w:kinsoku/>
        <w:wordWrap/>
        <w:overflowPunct/>
        <w:topLinePunct w:val="0"/>
        <w:autoSpaceDE/>
        <w:autoSpaceDN/>
        <w:bidi w:val="0"/>
        <w:spacing w:line="560" w:lineRule="exact"/>
        <w:jc w:val="both"/>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w:t>
      </w:r>
      <w:r>
        <w:rPr>
          <w:rFonts w:hint="default" w:ascii="Times New Roman" w:hAnsi="Times New Roman" w:eastAsia="仿宋_GB2312" w:cs="Times New Roman"/>
          <w:b w:val="0"/>
          <w:bCs w:val="0"/>
          <w:color w:val="auto"/>
          <w:sz w:val="32"/>
          <w:szCs w:val="32"/>
          <w:highlight w:val="none"/>
          <w:lang w:val="en-US" w:eastAsia="zh-CN"/>
        </w:rPr>
        <w:t>案件防控情况</w:t>
      </w:r>
    </w:p>
    <w:p>
      <w:pPr>
        <w:pStyle w:val="11"/>
        <w:keepNext w:val="0"/>
        <w:keepLines w:val="0"/>
        <w:pageBreakBefore w:val="0"/>
        <w:widowControl w:val="0"/>
        <w:kinsoku/>
        <w:wordWrap/>
        <w:overflowPunct/>
        <w:topLinePunct w:val="0"/>
        <w:autoSpaceDE/>
        <w:autoSpaceDN/>
        <w:bidi w:val="0"/>
        <w:adjustRightInd/>
        <w:snapToGrid/>
        <w:spacing w:line="560" w:lineRule="exact"/>
        <w:ind w:left="0" w:leftChars="0" w:firstLine="624" w:firstLineChars="200"/>
        <w:jc w:val="both"/>
        <w:textAlignment w:val="auto"/>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根据我行党委工作部署及工作要求，制定《安顺农村商业银行股份有限公司202</w:t>
      </w:r>
      <w:r>
        <w:rPr>
          <w:rFonts w:hint="eastAsia" w:eastAsia="仿宋_GB2312" w:cs="Times New Roman"/>
          <w:b w:val="0"/>
          <w:bCs w:val="0"/>
          <w:color w:val="auto"/>
          <w:sz w:val="32"/>
          <w:szCs w:val="32"/>
          <w:highlight w:val="none"/>
          <w:lang w:val="en-US" w:eastAsia="zh-CN"/>
        </w:rPr>
        <w:t>4</w:t>
      </w:r>
      <w:r>
        <w:rPr>
          <w:rFonts w:hint="default" w:ascii="Times New Roman" w:hAnsi="Times New Roman" w:eastAsia="仿宋_GB2312" w:cs="Times New Roman"/>
          <w:b w:val="0"/>
          <w:bCs w:val="0"/>
          <w:color w:val="auto"/>
          <w:sz w:val="32"/>
          <w:szCs w:val="32"/>
          <w:highlight w:val="none"/>
          <w:lang w:val="en-US" w:eastAsia="zh-CN"/>
        </w:rPr>
        <w:t>年案件防控工作计划》，</w:t>
      </w:r>
      <w:r>
        <w:rPr>
          <w:rFonts w:hint="default" w:ascii="Times New Roman" w:hAnsi="Times New Roman" w:eastAsia="仿宋_GB2312" w:cs="Times New Roman"/>
          <w:b w:val="0"/>
          <w:bCs w:val="0"/>
          <w:color w:val="auto"/>
          <w:sz w:val="32"/>
          <w:szCs w:val="32"/>
          <w:highlight w:val="none"/>
        </w:rPr>
        <w:t>我行各职能部门</w:t>
      </w:r>
      <w:r>
        <w:rPr>
          <w:rFonts w:hint="default" w:ascii="Times New Roman" w:hAnsi="Times New Roman" w:eastAsia="仿宋_GB2312" w:cs="Times New Roman"/>
          <w:b w:val="0"/>
          <w:bCs w:val="0"/>
          <w:color w:val="auto"/>
          <w:sz w:val="32"/>
          <w:szCs w:val="32"/>
          <w:highlight w:val="none"/>
          <w:lang w:val="en-US" w:eastAsia="zh-CN"/>
        </w:rPr>
        <w:t>202</w:t>
      </w:r>
      <w:r>
        <w:rPr>
          <w:rFonts w:hint="eastAsia" w:eastAsia="仿宋_GB2312" w:cs="Times New Roman"/>
          <w:b w:val="0"/>
          <w:bCs w:val="0"/>
          <w:color w:val="auto"/>
          <w:sz w:val="32"/>
          <w:szCs w:val="32"/>
          <w:highlight w:val="none"/>
          <w:lang w:val="en-US" w:eastAsia="zh-CN"/>
        </w:rPr>
        <w:t>4</w:t>
      </w:r>
      <w:r>
        <w:rPr>
          <w:rFonts w:hint="default" w:ascii="Times New Roman" w:hAnsi="Times New Roman" w:eastAsia="仿宋_GB2312" w:cs="Times New Roman"/>
          <w:b w:val="0"/>
          <w:bCs w:val="0"/>
          <w:color w:val="auto"/>
          <w:sz w:val="32"/>
          <w:szCs w:val="32"/>
          <w:highlight w:val="none"/>
          <w:lang w:val="en-US" w:eastAsia="zh-CN"/>
        </w:rPr>
        <w:t>年度</w:t>
      </w:r>
      <w:r>
        <w:rPr>
          <w:rFonts w:hint="default" w:ascii="Times New Roman" w:hAnsi="Times New Roman" w:eastAsia="仿宋_GB2312" w:cs="Times New Roman"/>
          <w:b w:val="0"/>
          <w:bCs w:val="0"/>
          <w:color w:val="auto"/>
          <w:sz w:val="32"/>
          <w:szCs w:val="32"/>
          <w:highlight w:val="none"/>
        </w:rPr>
        <w:t>制定立项排查</w:t>
      </w:r>
      <w:r>
        <w:rPr>
          <w:rFonts w:hint="default" w:ascii="Times New Roman" w:hAnsi="Times New Roman" w:eastAsia="仿宋_GB2312" w:cs="Times New Roman"/>
          <w:b w:val="0"/>
          <w:bCs w:val="0"/>
          <w:color w:val="auto"/>
          <w:sz w:val="32"/>
          <w:szCs w:val="32"/>
          <w:highlight w:val="none"/>
          <w:lang w:val="en-US" w:eastAsia="zh-CN"/>
        </w:rPr>
        <w:t>项目</w:t>
      </w:r>
      <w:r>
        <w:rPr>
          <w:rFonts w:hint="default" w:ascii="Times New Roman" w:hAnsi="Times New Roman" w:eastAsia="仿宋_GB2312" w:cs="Times New Roman"/>
          <w:b w:val="0"/>
          <w:bCs w:val="0"/>
          <w:color w:val="auto"/>
          <w:sz w:val="32"/>
          <w:szCs w:val="32"/>
          <w:highlight w:val="none"/>
        </w:rPr>
        <w:t>共</w:t>
      </w:r>
      <w:r>
        <w:rPr>
          <w:rFonts w:hint="eastAsia" w:eastAsia="仿宋_GB2312" w:cs="Times New Roman"/>
          <w:b w:val="0"/>
          <w:bCs w:val="0"/>
          <w:color w:val="auto"/>
          <w:sz w:val="32"/>
          <w:szCs w:val="32"/>
          <w:highlight w:val="none"/>
          <w:lang w:val="en-US" w:eastAsia="zh-CN"/>
        </w:rPr>
        <w:t>29</w:t>
      </w:r>
      <w:r>
        <w:rPr>
          <w:rFonts w:hint="default" w:ascii="Times New Roman" w:hAnsi="Times New Roman" w:eastAsia="仿宋_GB2312" w:cs="Times New Roman"/>
          <w:b w:val="0"/>
          <w:bCs w:val="0"/>
          <w:color w:val="auto"/>
          <w:sz w:val="32"/>
          <w:szCs w:val="32"/>
          <w:highlight w:val="none"/>
        </w:rPr>
        <w:t>项</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其中</w:t>
      </w:r>
      <w:r>
        <w:rPr>
          <w:rFonts w:hint="default" w:ascii="Times New Roman" w:hAnsi="Times New Roman" w:eastAsia="仿宋_GB2312" w:cs="Times New Roman"/>
          <w:b w:val="0"/>
          <w:bCs w:val="0"/>
          <w:color w:val="auto"/>
          <w:sz w:val="32"/>
          <w:szCs w:val="32"/>
          <w:highlight w:val="none"/>
        </w:rPr>
        <w:t>信贷类</w:t>
      </w:r>
      <w:r>
        <w:rPr>
          <w:rFonts w:hint="eastAsia" w:eastAsia="仿宋_GB2312" w:cs="Times New Roman"/>
          <w:b w:val="0"/>
          <w:bCs w:val="0"/>
          <w:color w:val="auto"/>
          <w:sz w:val="32"/>
          <w:szCs w:val="32"/>
          <w:highlight w:val="none"/>
          <w:lang w:val="en-US" w:eastAsia="zh-CN"/>
        </w:rPr>
        <w:t>5</w:t>
      </w:r>
      <w:r>
        <w:rPr>
          <w:rFonts w:hint="default" w:ascii="Times New Roman" w:hAnsi="Times New Roman" w:eastAsia="仿宋_GB2312" w:cs="Times New Roman"/>
          <w:b w:val="0"/>
          <w:bCs w:val="0"/>
          <w:color w:val="auto"/>
          <w:sz w:val="32"/>
          <w:szCs w:val="32"/>
          <w:highlight w:val="none"/>
          <w:lang w:val="en-US" w:eastAsia="zh-CN"/>
        </w:rPr>
        <w:t>个</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票据类1个，</w:t>
      </w:r>
      <w:r>
        <w:rPr>
          <w:rFonts w:hint="default" w:ascii="Times New Roman" w:hAnsi="Times New Roman" w:eastAsia="仿宋_GB2312" w:cs="Times New Roman"/>
          <w:b w:val="0"/>
          <w:bCs w:val="0"/>
          <w:color w:val="auto"/>
          <w:sz w:val="32"/>
          <w:szCs w:val="32"/>
          <w:highlight w:val="none"/>
        </w:rPr>
        <w:t>柜台、会计结算业务类</w:t>
      </w:r>
      <w:r>
        <w:rPr>
          <w:rFonts w:hint="default" w:ascii="Times New Roman" w:hAnsi="Times New Roman" w:eastAsia="仿宋_GB2312" w:cs="Times New Roman"/>
          <w:b w:val="0"/>
          <w:bCs w:val="0"/>
          <w:color w:val="auto"/>
          <w:sz w:val="32"/>
          <w:szCs w:val="32"/>
          <w:highlight w:val="none"/>
          <w:lang w:val="en-US" w:eastAsia="zh-CN"/>
        </w:rPr>
        <w:t>1个，</w:t>
      </w:r>
      <w:r>
        <w:rPr>
          <w:rFonts w:hint="default" w:ascii="Times New Roman" w:hAnsi="Times New Roman" w:eastAsia="仿宋_GB2312" w:cs="Times New Roman"/>
          <w:b w:val="0"/>
          <w:bCs w:val="0"/>
          <w:color w:val="auto"/>
          <w:sz w:val="32"/>
          <w:szCs w:val="32"/>
          <w:highlight w:val="none"/>
        </w:rPr>
        <w:t>员工异常行为排查</w:t>
      </w:r>
      <w:r>
        <w:rPr>
          <w:rFonts w:hint="default" w:ascii="Times New Roman" w:hAnsi="Times New Roman" w:eastAsia="仿宋_GB2312" w:cs="Times New Roman"/>
          <w:b w:val="0"/>
          <w:bCs w:val="0"/>
          <w:color w:val="auto"/>
          <w:sz w:val="32"/>
          <w:szCs w:val="32"/>
          <w:highlight w:val="none"/>
          <w:lang w:val="en-US" w:eastAsia="zh-CN"/>
        </w:rPr>
        <w:t>1个，</w:t>
      </w:r>
      <w:r>
        <w:rPr>
          <w:rFonts w:hint="default" w:ascii="Times New Roman" w:hAnsi="Times New Roman" w:eastAsia="仿宋_GB2312" w:cs="Times New Roman"/>
          <w:b w:val="0"/>
          <w:bCs w:val="0"/>
          <w:color w:val="auto"/>
          <w:sz w:val="32"/>
          <w:szCs w:val="32"/>
          <w:highlight w:val="none"/>
        </w:rPr>
        <w:t>其他类</w:t>
      </w:r>
      <w:r>
        <w:rPr>
          <w:rFonts w:hint="eastAsia" w:eastAsia="仿宋_GB2312" w:cs="Times New Roman"/>
          <w:b w:val="0"/>
          <w:bCs w:val="0"/>
          <w:color w:val="auto"/>
          <w:sz w:val="32"/>
          <w:szCs w:val="32"/>
          <w:highlight w:val="none"/>
          <w:lang w:val="en-US" w:eastAsia="zh-CN"/>
        </w:rPr>
        <w:t>21</w:t>
      </w:r>
      <w:r>
        <w:rPr>
          <w:rFonts w:hint="default" w:ascii="Times New Roman" w:hAnsi="Times New Roman" w:eastAsia="仿宋_GB2312" w:cs="Times New Roman"/>
          <w:b w:val="0"/>
          <w:bCs w:val="0"/>
          <w:color w:val="auto"/>
          <w:sz w:val="32"/>
          <w:szCs w:val="32"/>
          <w:highlight w:val="none"/>
          <w:lang w:val="en-US" w:eastAsia="zh-CN"/>
        </w:rPr>
        <w:t>个，</w:t>
      </w:r>
      <w:r>
        <w:rPr>
          <w:rFonts w:hint="default" w:ascii="Times New Roman" w:hAnsi="Times New Roman" w:eastAsia="仿宋_GB2312" w:cs="Times New Roman"/>
          <w:b w:val="0"/>
          <w:bCs w:val="0"/>
          <w:color w:val="auto"/>
          <w:sz w:val="32"/>
          <w:szCs w:val="32"/>
          <w:highlight w:val="none"/>
        </w:rPr>
        <w:t>各职能部门</w:t>
      </w:r>
      <w:r>
        <w:rPr>
          <w:rFonts w:hint="default" w:ascii="Times New Roman" w:hAnsi="Times New Roman" w:eastAsia="仿宋_GB2312" w:cs="Times New Roman"/>
          <w:b w:val="0"/>
          <w:bCs w:val="0"/>
          <w:color w:val="auto"/>
          <w:sz w:val="32"/>
          <w:szCs w:val="32"/>
          <w:highlight w:val="none"/>
          <w:lang w:val="en-US" w:eastAsia="zh-CN"/>
        </w:rPr>
        <w:t>根据立项计划进行排查</w:t>
      </w:r>
      <w:r>
        <w:rPr>
          <w:rFonts w:hint="default" w:ascii="Times New Roman" w:hAnsi="Times New Roman" w:eastAsia="仿宋_GB2312" w:cs="Times New Roman"/>
          <w:b w:val="0"/>
          <w:bCs w:val="0"/>
          <w:color w:val="auto"/>
          <w:spacing w:val="0"/>
          <w:kern w:val="2"/>
          <w:sz w:val="32"/>
          <w:szCs w:val="32"/>
          <w:highlight w:val="none"/>
          <w:lang w:val="en-US" w:eastAsia="zh-CN" w:bidi="ar-SA"/>
        </w:rPr>
        <w:t>。</w:t>
      </w:r>
    </w:p>
    <w:p>
      <w:pPr>
        <w:pStyle w:val="11"/>
        <w:keepNext w:val="0"/>
        <w:keepLines w:val="0"/>
        <w:pageBreakBefore w:val="0"/>
        <w:numPr>
          <w:ilvl w:val="0"/>
          <w:numId w:val="0"/>
        </w:numPr>
        <w:kinsoku/>
        <w:wordWrap/>
        <w:overflowPunct/>
        <w:topLinePunct w:val="0"/>
        <w:autoSpaceDE/>
        <w:autoSpaceDN/>
        <w:bidi w:val="0"/>
        <w:adjustRightInd/>
        <w:snapToGrid/>
        <w:spacing w:beforeAutospacing="0" w:after="0" w:afterAutospacing="0" w:line="560" w:lineRule="exact"/>
        <w:ind w:firstLine="624" w:firstLineChars="200"/>
        <w:jc w:val="both"/>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3.</w:t>
      </w:r>
      <w:r>
        <w:rPr>
          <w:rFonts w:hint="default" w:ascii="Times New Roman" w:hAnsi="Times New Roman" w:eastAsia="仿宋_GB2312" w:cs="Times New Roman"/>
          <w:b w:val="0"/>
          <w:bCs w:val="0"/>
          <w:color w:val="auto"/>
          <w:spacing w:val="0"/>
          <w:kern w:val="2"/>
          <w:sz w:val="32"/>
          <w:szCs w:val="32"/>
          <w:highlight w:val="none"/>
          <w:lang w:val="en-US" w:eastAsia="zh-CN" w:bidi="ar-SA"/>
        </w:rPr>
        <w:t>法务工作情况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年我行全面梳理法务工作流程，更新诉讼、执行制度，优化诉讼资源使用，严格诉讼、执行等审批程序，提高法务管理能力。</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4.消保工作情况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bCs w:val="0"/>
          <w:i w:val="0"/>
          <w:caps w:val="0"/>
          <w:color w:val="auto"/>
          <w:spacing w:val="0"/>
          <w:sz w:val="32"/>
          <w:szCs w:val="32"/>
          <w:highlight w:val="none"/>
          <w:shd w:val="clear" w:color="auto" w:fill="FFFFFF"/>
          <w:lang w:val="en-US" w:eastAsia="zh-CN"/>
        </w:rPr>
      </w:pP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202</w:t>
      </w:r>
      <w:r>
        <w:rPr>
          <w:rFonts w:hint="eastAsia" w:cs="Times New Roman"/>
          <w:b w:val="0"/>
          <w:i w:val="0"/>
          <w:caps w:val="0"/>
          <w:color w:val="auto"/>
          <w:spacing w:val="0"/>
          <w:sz w:val="32"/>
          <w:szCs w:val="32"/>
          <w:highlight w:val="none"/>
          <w:shd w:val="clear" w:color="auto" w:fill="FFFFFF"/>
          <w:vertAlign w:val="baseline"/>
          <w:lang w:val="en-US" w:eastAsia="zh-CN"/>
        </w:rPr>
        <w:t>4</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年度，我行</w:t>
      </w:r>
      <w:r>
        <w:rPr>
          <w:rFonts w:hint="default" w:ascii="Times New Roman" w:hAnsi="Times New Roman" w:eastAsia="仿宋_GB2312" w:cs="Times New Roman"/>
          <w:b w:val="0"/>
          <w:bCs w:val="0"/>
          <w:color w:val="auto"/>
          <w:sz w:val="32"/>
          <w:szCs w:val="32"/>
          <w:highlight w:val="none"/>
          <w:lang w:val="en-US" w:eastAsia="zh-CN"/>
        </w:rPr>
        <w:t>消保</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工作紧紧围绕监管机构、省联社评估标准要求，细化工作项目，</w:t>
      </w:r>
      <w:r>
        <w:rPr>
          <w:rFonts w:hint="eastAsia" w:cs="Times New Roman"/>
          <w:b w:val="0"/>
          <w:i w:val="0"/>
          <w:caps w:val="0"/>
          <w:color w:val="auto"/>
          <w:spacing w:val="0"/>
          <w:sz w:val="32"/>
          <w:szCs w:val="32"/>
          <w:highlight w:val="none"/>
          <w:shd w:val="clear" w:color="auto" w:fill="FFFFFF"/>
          <w:vertAlign w:val="baseline"/>
          <w:lang w:val="en-US" w:eastAsia="zh-CN"/>
        </w:rPr>
        <w:t>积极开展消费者权益保护宣传，</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有效</w:t>
      </w:r>
      <w:r>
        <w:rPr>
          <w:rFonts w:hint="eastAsia" w:cs="Times New Roman"/>
          <w:b w:val="0"/>
          <w:i w:val="0"/>
          <w:caps w:val="0"/>
          <w:color w:val="auto"/>
          <w:spacing w:val="0"/>
          <w:sz w:val="32"/>
          <w:szCs w:val="32"/>
          <w:highlight w:val="none"/>
          <w:shd w:val="clear" w:color="auto" w:fill="FFFFFF"/>
          <w:vertAlign w:val="baseline"/>
          <w:lang w:val="en-US" w:eastAsia="zh-CN"/>
        </w:rPr>
        <w:t>妥善</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处理客户投诉事宜，提升消费者权益保护水平。</w:t>
      </w:r>
    </w:p>
    <w:p>
      <w:pPr>
        <w:pStyle w:val="17"/>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5.风险管理审计情况</w:t>
      </w:r>
    </w:p>
    <w:p>
      <w:pPr>
        <w:keepNext w:val="0"/>
        <w:keepLines w:val="0"/>
        <w:pageBreakBefore w:val="0"/>
        <w:widowControl w:val="0"/>
        <w:suppressAutoHyphen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pacing w:val="0"/>
          <w:kern w:val="2"/>
          <w:sz w:val="32"/>
          <w:szCs w:val="32"/>
          <w:highlight w:val="none"/>
          <w:lang w:val="en-US" w:eastAsia="zh-CN" w:bidi="ar-SA"/>
        </w:rPr>
      </w:pPr>
      <w:r>
        <w:rPr>
          <w:rFonts w:hint="default" w:ascii="仿宋_GB2312" w:hAnsi="Calibri" w:eastAsia="仿宋_GB2312" w:cs="Times New Roman"/>
          <w:color w:val="auto"/>
          <w:kern w:val="0"/>
          <w:sz w:val="32"/>
          <w:szCs w:val="32"/>
          <w:highlight w:val="none"/>
          <w:lang w:val="en-US" w:eastAsia="zh-CN" w:bidi="ar"/>
        </w:rPr>
        <w:t>按照《贵州省农村信用社全面风险管理三年全覆盖审计方案》要求，安顺农商银行结合实际，制定营业网点全面风险管理三年全覆盖审计计划表</w:t>
      </w:r>
      <w:r>
        <w:rPr>
          <w:rFonts w:hint="eastAsia" w:ascii="仿宋_GB2312" w:eastAsia="仿宋_GB2312" w:cs="Times New Roman"/>
          <w:color w:val="auto"/>
          <w:kern w:val="0"/>
          <w:sz w:val="32"/>
          <w:szCs w:val="32"/>
          <w:highlight w:val="none"/>
          <w:lang w:val="en-US" w:eastAsia="zh-CN" w:bidi="ar"/>
        </w:rPr>
        <w:t>，</w:t>
      </w:r>
      <w:r>
        <w:rPr>
          <w:rFonts w:hint="default" w:ascii="仿宋_GB2312" w:hAnsi="Calibri" w:eastAsia="仿宋_GB2312" w:cs="Times New Roman"/>
          <w:color w:val="auto"/>
          <w:kern w:val="0"/>
          <w:sz w:val="32"/>
          <w:szCs w:val="32"/>
          <w:highlight w:val="none"/>
          <w:lang w:val="en-US" w:eastAsia="zh-CN" w:bidi="ar"/>
        </w:rPr>
        <w:t>202</w:t>
      </w:r>
      <w:r>
        <w:rPr>
          <w:rFonts w:hint="eastAsia" w:ascii="仿宋_GB2312" w:eastAsia="仿宋_GB2312" w:cs="Times New Roman"/>
          <w:color w:val="auto"/>
          <w:kern w:val="0"/>
          <w:sz w:val="32"/>
          <w:szCs w:val="32"/>
          <w:highlight w:val="none"/>
          <w:lang w:val="en-US" w:eastAsia="zh-CN" w:bidi="ar"/>
        </w:rPr>
        <w:t>4</w:t>
      </w:r>
      <w:r>
        <w:rPr>
          <w:rFonts w:hint="default" w:ascii="仿宋_GB2312" w:hAnsi="Calibri" w:eastAsia="仿宋_GB2312" w:cs="Times New Roman"/>
          <w:color w:val="auto"/>
          <w:kern w:val="0"/>
          <w:sz w:val="32"/>
          <w:szCs w:val="32"/>
          <w:highlight w:val="none"/>
          <w:lang w:val="en-US" w:eastAsia="zh-CN" w:bidi="ar"/>
        </w:rPr>
        <w:t>年</w:t>
      </w:r>
      <w:r>
        <w:rPr>
          <w:rFonts w:hint="eastAsia" w:ascii="仿宋_GB2312" w:eastAsia="仿宋_GB2312" w:cs="Times New Roman"/>
          <w:color w:val="auto"/>
          <w:kern w:val="0"/>
          <w:sz w:val="32"/>
          <w:szCs w:val="32"/>
          <w:highlight w:val="none"/>
          <w:lang w:val="en-US" w:eastAsia="zh-CN" w:bidi="ar"/>
        </w:rPr>
        <w:t>6</w:t>
      </w:r>
      <w:r>
        <w:rPr>
          <w:rFonts w:hint="default" w:ascii="仿宋_GB2312" w:hAnsi="Calibri" w:eastAsia="仿宋_GB2312" w:cs="Times New Roman"/>
          <w:color w:val="auto"/>
          <w:kern w:val="0"/>
          <w:sz w:val="32"/>
          <w:szCs w:val="32"/>
          <w:highlight w:val="none"/>
          <w:lang w:val="en-US" w:eastAsia="zh-CN" w:bidi="ar"/>
        </w:rPr>
        <w:t>月至12月期间，我行稽核审计部采取现场、非现场方式</w:t>
      </w:r>
      <w:r>
        <w:rPr>
          <w:rFonts w:hint="eastAsia" w:ascii="仿宋_GB2312" w:eastAsia="仿宋_GB2312" w:cs="Times New Roman"/>
          <w:color w:val="auto"/>
          <w:kern w:val="0"/>
          <w:sz w:val="32"/>
          <w:szCs w:val="32"/>
          <w:highlight w:val="none"/>
          <w:lang w:val="en-US" w:eastAsia="zh-CN" w:bidi="ar"/>
        </w:rPr>
        <w:t>，重点对被抽查网点的信用风险、操作风险、洗钱风险管理进行审计，对辖内13</w:t>
      </w:r>
      <w:r>
        <w:rPr>
          <w:rFonts w:hint="default" w:ascii="仿宋_GB2312" w:hAnsi="Calibri" w:eastAsia="仿宋_GB2312" w:cs="Times New Roman"/>
          <w:color w:val="auto"/>
          <w:kern w:val="0"/>
          <w:sz w:val="32"/>
          <w:szCs w:val="32"/>
          <w:highlight w:val="none"/>
          <w:lang w:val="en-US" w:eastAsia="zh-CN" w:bidi="ar"/>
        </w:rPr>
        <w:t>个</w:t>
      </w:r>
      <w:r>
        <w:rPr>
          <w:rFonts w:hint="eastAsia" w:ascii="仿宋_GB2312" w:eastAsia="仿宋_GB2312" w:cs="Times New Roman"/>
          <w:color w:val="auto"/>
          <w:kern w:val="0"/>
          <w:sz w:val="32"/>
          <w:szCs w:val="32"/>
          <w:highlight w:val="none"/>
          <w:lang w:val="en-US" w:eastAsia="zh-CN" w:bidi="ar"/>
        </w:rPr>
        <w:t>营业网点开展审计</w:t>
      </w:r>
      <w:r>
        <w:rPr>
          <w:rFonts w:hint="default" w:ascii="Times New Roman" w:hAnsi="Times New Roman" w:eastAsia="仿宋_GB2312" w:cs="Times New Roman"/>
          <w:b w:val="0"/>
          <w:bCs w:val="0"/>
          <w:color w:val="auto"/>
          <w:spacing w:val="0"/>
          <w:kern w:val="2"/>
          <w:sz w:val="32"/>
          <w:szCs w:val="32"/>
          <w:highlight w:val="none"/>
          <w:lang w:val="en-US" w:eastAsia="zh-CN" w:bidi="ar-SA"/>
        </w:rPr>
        <w:t>，全面风险管理进行总体评价如下：</w:t>
      </w:r>
      <w:r>
        <w:rPr>
          <w:rFonts w:hint="eastAsia" w:ascii="仿宋_GB2312" w:eastAsia="仿宋_GB2312" w:cs="Times New Roman"/>
          <w:color w:val="auto"/>
          <w:kern w:val="0"/>
          <w:sz w:val="32"/>
          <w:szCs w:val="32"/>
          <w:highlight w:val="none"/>
          <w:lang w:val="en-US" w:eastAsia="zh-CN" w:bidi="ar"/>
        </w:rPr>
        <w:t>我行近年来加大对信用风险、操作风险、洗钱风险等重要风险领域的监督检查，合规与风险管理部基于全面风险管理要求，对信用风险、操作风险等11类风险进行全面统筹管理，审计监督部门对违规行为加大了查处力度与频度，全行风险目前总体可控。但审计中发现各支行信用风险管理压力逐年增大，信用风险管理质效不高，违规操作等操作风险时有发生，洗钱风险管理距离监管要求还有距离，全面风险管理压力较大，需要相关部门进一步加强各重要风险的指导管理与监督检查力度，共同推进我行全面风险管理工作更加有效</w:t>
      </w:r>
      <w:r>
        <w:rPr>
          <w:rFonts w:hint="eastAsia" w:ascii="仿宋_GB2312" w:eastAsia="仿宋_GB2312" w:cs="Times New Roman"/>
          <w:color w:val="auto"/>
          <w:kern w:val="0"/>
          <w:sz w:val="32"/>
          <w:szCs w:val="32"/>
          <w:highlight w:val="none"/>
          <w:lang w:eastAsia="zh-CN" w:bidi="ar"/>
        </w:rPr>
        <w:t>。</w:t>
      </w:r>
    </w:p>
    <w:p>
      <w:pPr>
        <w:pStyle w:val="17"/>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6.业务连续性管理情况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pP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我行建立业务连续性管理制度，提高业务连续性管理能力，并不断完善业务连续性管理体系，全力降低或消除因信息系统服务异常导致重要业务运营中断的影响，2023年未出现业务中断情况，按照</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ab/>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《安顺农村商业银行股份有限公司业务连续性管理办法</w:t>
      </w:r>
      <w:r>
        <w:rPr>
          <w:rFonts w:hint="eastAsia" w:cs="Times New Roman"/>
          <w:b w:val="0"/>
          <w:i w:val="0"/>
          <w:caps w:val="0"/>
          <w:color w:val="auto"/>
          <w:spacing w:val="0"/>
          <w:sz w:val="32"/>
          <w:szCs w:val="32"/>
          <w:highlight w:val="none"/>
          <w:shd w:val="clear" w:color="auto" w:fill="FFFFFF"/>
          <w:vertAlign w:val="baseline"/>
          <w:lang w:val="en-US" w:eastAsia="zh-CN"/>
        </w:rPr>
        <w:t>（2024年版）</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》（安农商办</w:t>
      </w:r>
      <w:r>
        <w:rPr>
          <w:rFonts w:hint="eastAsia" w:cs="Times New Roman"/>
          <w:b w:val="0"/>
          <w:i w:val="0"/>
          <w:caps w:val="0"/>
          <w:color w:val="auto"/>
          <w:spacing w:val="0"/>
          <w:sz w:val="32"/>
          <w:szCs w:val="32"/>
          <w:highlight w:val="none"/>
          <w:shd w:val="clear" w:color="auto" w:fill="FFFFFF"/>
          <w:vertAlign w:val="baseline"/>
          <w:lang w:val="en-US" w:eastAsia="zh-CN"/>
        </w:rPr>
        <w:t>发</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〔202</w:t>
      </w:r>
      <w:r>
        <w:rPr>
          <w:rFonts w:hint="eastAsia" w:cs="Times New Roman"/>
          <w:b w:val="0"/>
          <w:i w:val="0"/>
          <w:caps w:val="0"/>
          <w:color w:val="auto"/>
          <w:spacing w:val="0"/>
          <w:sz w:val="32"/>
          <w:szCs w:val="32"/>
          <w:highlight w:val="none"/>
          <w:shd w:val="clear" w:color="auto" w:fill="FFFFFF"/>
          <w:vertAlign w:val="baseline"/>
          <w:lang w:val="en-US" w:eastAsia="zh-CN"/>
        </w:rPr>
        <w:t>4</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w:t>
      </w:r>
      <w:r>
        <w:rPr>
          <w:rFonts w:hint="eastAsia" w:cs="Times New Roman"/>
          <w:b w:val="0"/>
          <w:i w:val="0"/>
          <w:caps w:val="0"/>
          <w:color w:val="auto"/>
          <w:spacing w:val="0"/>
          <w:sz w:val="32"/>
          <w:szCs w:val="32"/>
          <w:highlight w:val="none"/>
          <w:shd w:val="clear" w:color="auto" w:fill="FFFFFF"/>
          <w:vertAlign w:val="baseline"/>
          <w:lang w:val="en-US" w:eastAsia="zh-CN"/>
        </w:rPr>
        <w:t>14</w:t>
      </w:r>
      <w:r>
        <w:rPr>
          <w:rFonts w:hint="default" w:ascii="Times New Roman" w:hAnsi="Times New Roman" w:eastAsia="仿宋_GB2312" w:cs="Times New Roman"/>
          <w:b w:val="0"/>
          <w:i w:val="0"/>
          <w:caps w:val="0"/>
          <w:color w:val="auto"/>
          <w:spacing w:val="0"/>
          <w:sz w:val="32"/>
          <w:szCs w:val="32"/>
          <w:highlight w:val="none"/>
          <w:shd w:val="clear" w:color="auto" w:fill="FFFFFF"/>
          <w:vertAlign w:val="baseline"/>
          <w:lang w:val="en-US" w:eastAsia="zh-CN"/>
        </w:rPr>
        <w:t>号）文件要求，计划财务部开展流动性风险突发事件应急演练，信息科技中心开展生产网应急切换演练，切实加强业务连续性演练，提高应急响应、恢复机制和管理能力等。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二、存在的主要问题</w:t>
      </w:r>
    </w:p>
    <w:p>
      <w:pPr>
        <w:keepNext w:val="0"/>
        <w:keepLines w:val="0"/>
        <w:pageBreakBefore w:val="0"/>
        <w:kinsoku/>
        <w:wordWrap/>
        <w:overflowPunct/>
        <w:topLinePunct w:val="0"/>
        <w:autoSpaceDE/>
        <w:autoSpaceDN/>
        <w:bidi w:val="0"/>
        <w:spacing w:line="560" w:lineRule="exact"/>
        <w:ind w:firstLine="640" w:firstLineChars="200"/>
        <w:jc w:val="both"/>
        <w:rPr>
          <w:rFonts w:hint="default" w:ascii="Times New Roman" w:hAnsi="Times New Roman" w:eastAsia="仿宋" w:cs="Times New Roman"/>
          <w:color w:val="auto"/>
          <w:sz w:val="32"/>
          <w:szCs w:val="32"/>
          <w:highlight w:val="none"/>
        </w:rPr>
      </w:pPr>
      <w:r>
        <w:rPr>
          <w:rFonts w:hint="eastAsia" w:ascii="楷体_GB2312" w:hAnsi="楷体_GB2312" w:eastAsia="楷体_GB2312" w:cs="楷体_GB2312"/>
          <w:color w:val="auto"/>
          <w:kern w:val="2"/>
          <w:sz w:val="32"/>
          <w:szCs w:val="32"/>
          <w:highlight w:val="none"/>
          <w:lang w:val="en-US" w:eastAsia="zh-CN" w:bidi="ar-SA"/>
        </w:rPr>
        <w:t>（一）信用风险压力加剧。</w:t>
      </w:r>
      <w:r>
        <w:rPr>
          <w:rFonts w:hint="default" w:ascii="Times New Roman" w:hAnsi="Times New Roman" w:eastAsia="仿宋_GB2312" w:cs="Times New Roman"/>
          <w:b w:val="0"/>
          <w:bCs w:val="0"/>
          <w:color w:val="auto"/>
          <w:spacing w:val="0"/>
          <w:kern w:val="2"/>
          <w:sz w:val="32"/>
          <w:szCs w:val="32"/>
          <w:highlight w:val="none"/>
          <w:lang w:val="en-US" w:eastAsia="zh-CN" w:bidi="ar-SA"/>
        </w:rPr>
        <w:t>因受疫情以及经济市场环境影响，行业经营严重影响了借款人还款能力，信用风险集中，逾期贷款上升，政府平台债务、农户贷款、大额贷款风险承压，风险处置工作面临极大挑战</w:t>
      </w:r>
      <w:r>
        <w:rPr>
          <w:rFonts w:hint="eastAsia"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（二）抵债资产处置困难。</w:t>
      </w:r>
      <w:r>
        <w:rPr>
          <w:rFonts w:hint="default" w:ascii="Times New Roman" w:hAnsi="Times New Roman" w:eastAsia="仿宋_GB2312" w:cs="Times New Roman"/>
          <w:b w:val="0"/>
          <w:bCs w:val="0"/>
          <w:color w:val="auto"/>
          <w:sz w:val="32"/>
          <w:szCs w:val="32"/>
          <w:highlight w:val="none"/>
          <w:lang w:val="en-US" w:eastAsia="zh-CN"/>
        </w:rPr>
        <w:t>在当前房地产市场低迷的情况下，通过市场化处置抵债资产变现比较困难，同时我行收取的抵债资产大多数为商业类资产，处置更困难；目前批量转让等市场化手段处置面临资管公司明确拒绝情形，资管公司即使愿意接受抵债资产包，出价仅为资产评估价值的2折左右，账面损失严重。超2年未处置的抵债资产，已严重影响我行资本充足率等核心监管指标，影响基本盘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Cs/>
          <w:color w:val="auto"/>
          <w:sz w:val="32"/>
          <w:szCs w:val="32"/>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（三）重点行业风险突出。</w:t>
      </w: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color w:val="auto"/>
          <w:sz w:val="32"/>
          <w:szCs w:val="32"/>
          <w:highlight w:val="none"/>
          <w:lang w:val="en-US" w:eastAsia="zh-CN"/>
        </w:rPr>
        <w:t>国有企业平台贷款风险承压，当前我行区级、市级政府所辖国有企业平台贷款笔数多、金额大、处置难</w:t>
      </w:r>
      <w:r>
        <w:rPr>
          <w:rFonts w:hint="default" w:ascii="Times New Roman" w:hAnsi="Times New Roman" w:eastAsia="仿宋_GB2312" w:cs="Times New Roman"/>
          <w:b w:val="0"/>
          <w:bCs w:val="0"/>
          <w:color w:val="auto"/>
          <w:spacing w:val="0"/>
          <w:sz w:val="32"/>
          <w:szCs w:val="32"/>
          <w:highlight w:val="none"/>
          <w:lang w:val="en-US" w:eastAsia="zh-CN"/>
        </w:rPr>
        <w:t>。</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color w:val="auto"/>
          <w:sz w:val="32"/>
          <w:szCs w:val="32"/>
          <w:highlight w:val="none"/>
          <w:lang w:val="en-US" w:eastAsia="zh-CN"/>
        </w:rPr>
        <w:t>公司类大额贷款风险突出，公司类民营贷款逾期占比高，除政府平台贷款外，民营企业类公司类贷款逾期规模也不断增加，风险隐患逐步显现。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三、原因分析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楷体_GB2312" w:hAnsi="楷体_GB2312" w:eastAsia="楷体_GB2312" w:cs="楷体_GB2312"/>
          <w:color w:val="auto"/>
          <w:kern w:val="2"/>
          <w:sz w:val="32"/>
          <w:szCs w:val="32"/>
          <w:highlight w:val="none"/>
          <w:lang w:val="en-US" w:eastAsia="zh-CN" w:bidi="ar-SA"/>
        </w:rPr>
        <w:t>（一）信用风险加剧的原因</w:t>
      </w:r>
      <w:r>
        <w:rPr>
          <w:rFonts w:hint="default" w:ascii="Times New Roman" w:hAnsi="Times New Roman" w:eastAsia="楷体" w:cs="Times New Roman"/>
          <w:color w:val="auto"/>
          <w:kern w:val="2"/>
          <w:sz w:val="32"/>
          <w:szCs w:val="32"/>
          <w:highlight w:val="none"/>
          <w:lang w:val="en-US" w:eastAsia="zh-CN" w:bidi="ar-SA"/>
        </w:rPr>
        <w:t>：</w:t>
      </w: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color w:val="auto"/>
          <w:sz w:val="32"/>
          <w:szCs w:val="32"/>
          <w:highlight w:val="none"/>
        </w:rPr>
        <w:t>外出务工人员多，务工地点和联系方式经常变动，贷款催收困难，容易形成逾期</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color w:val="auto"/>
          <w:sz w:val="32"/>
          <w:szCs w:val="32"/>
          <w:highlight w:val="none"/>
          <w:lang w:val="en-US" w:eastAsia="zh-CN"/>
        </w:rPr>
        <w:t>地方政府负债较大，税收、财政收入较往年减少，地方国有企业还息困难</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kern w:val="2"/>
          <w:sz w:val="32"/>
          <w:szCs w:val="32"/>
          <w:highlight w:val="none"/>
          <w:lang w:val="en-US" w:eastAsia="zh-CN" w:bidi="ar-SA"/>
        </w:rPr>
        <w:t>三是</w:t>
      </w:r>
      <w:r>
        <w:rPr>
          <w:rFonts w:hint="default" w:ascii="Times New Roman" w:hAnsi="Times New Roman" w:eastAsia="仿宋_GB2312" w:cs="Times New Roman"/>
          <w:color w:val="auto"/>
          <w:sz w:val="32"/>
          <w:szCs w:val="32"/>
          <w:highlight w:val="none"/>
        </w:rPr>
        <w:t>小额农贷客户抗风险能力差，涉农经营获利有限，影响归还能力</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kern w:val="2"/>
          <w:sz w:val="32"/>
          <w:szCs w:val="32"/>
          <w:highlight w:val="none"/>
          <w:lang w:val="en-US" w:eastAsia="zh-CN" w:bidi="ar-SA"/>
        </w:rPr>
        <w:t>四是</w:t>
      </w:r>
      <w:r>
        <w:rPr>
          <w:rFonts w:hint="default" w:ascii="Times New Roman" w:hAnsi="Times New Roman" w:eastAsia="仿宋_GB2312" w:cs="Times New Roman"/>
          <w:color w:val="auto"/>
          <w:sz w:val="32"/>
          <w:szCs w:val="32"/>
          <w:highlight w:val="none"/>
          <w:lang w:val="en-US" w:eastAsia="zh-CN"/>
        </w:rPr>
        <w:t>受疫情影响，</w:t>
      </w:r>
      <w:r>
        <w:rPr>
          <w:rFonts w:hint="default" w:ascii="Times New Roman" w:hAnsi="Times New Roman" w:eastAsia="仿宋_GB2312" w:cs="Times New Roman"/>
          <w:color w:val="auto"/>
          <w:sz w:val="32"/>
          <w:szCs w:val="32"/>
          <w:highlight w:val="none"/>
        </w:rPr>
        <w:t>当前经济形势下行，投资环境较前</w:t>
      </w:r>
      <w:r>
        <w:rPr>
          <w:rFonts w:hint="default" w:ascii="Times New Roman" w:hAnsi="Times New Roman" w:eastAsia="仿宋_GB2312" w:cs="Times New Roman"/>
          <w:color w:val="auto"/>
          <w:sz w:val="32"/>
          <w:szCs w:val="32"/>
          <w:highlight w:val="none"/>
          <w:lang w:val="en-US" w:eastAsia="zh-CN"/>
        </w:rPr>
        <w:t>几</w:t>
      </w:r>
      <w:r>
        <w:rPr>
          <w:rFonts w:hint="default" w:ascii="Times New Roman" w:hAnsi="Times New Roman" w:eastAsia="仿宋_GB2312" w:cs="Times New Roman"/>
          <w:color w:val="auto"/>
          <w:sz w:val="32"/>
          <w:szCs w:val="32"/>
          <w:highlight w:val="none"/>
        </w:rPr>
        <w:t>年更为严峻，</w:t>
      </w:r>
      <w:r>
        <w:rPr>
          <w:rFonts w:hint="default" w:ascii="Times New Roman" w:hAnsi="Times New Roman" w:eastAsia="仿宋_GB2312" w:cs="Times New Roman"/>
          <w:color w:val="auto"/>
          <w:sz w:val="32"/>
          <w:szCs w:val="32"/>
          <w:highlight w:val="none"/>
          <w:lang w:val="en-US" w:eastAsia="zh-CN"/>
        </w:rPr>
        <w:t>部分</w:t>
      </w:r>
      <w:r>
        <w:rPr>
          <w:rFonts w:hint="default" w:ascii="Times New Roman" w:hAnsi="Times New Roman" w:eastAsia="仿宋_GB2312" w:cs="Times New Roman"/>
          <w:color w:val="auto"/>
          <w:sz w:val="32"/>
          <w:szCs w:val="32"/>
          <w:highlight w:val="none"/>
        </w:rPr>
        <w:t>借款人经营出现亏损</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甚至关门</w:t>
      </w:r>
      <w:r>
        <w:rPr>
          <w:rFonts w:hint="default" w:ascii="Times New Roman" w:hAnsi="Times New Roman" w:eastAsia="仿宋_GB2312" w:cs="Times New Roman"/>
          <w:color w:val="auto"/>
          <w:sz w:val="32"/>
          <w:szCs w:val="32"/>
          <w:highlight w:val="none"/>
        </w:rPr>
        <w:t>。</w:t>
      </w:r>
    </w:p>
    <w:p>
      <w:pPr>
        <w:pStyle w:val="17"/>
        <w:keepNext w:val="0"/>
        <w:keepLines w:val="0"/>
        <w:pageBreakBefore w:val="0"/>
        <w:kinsoku/>
        <w:wordWrap/>
        <w:overflowPunct/>
        <w:topLinePunct w:val="0"/>
        <w:autoSpaceDE/>
        <w:autoSpaceDN/>
        <w:bidi w:val="0"/>
        <w:spacing w:line="560" w:lineRule="exact"/>
        <w:jc w:val="both"/>
        <w:rPr>
          <w:rFonts w:hint="default" w:ascii="Times New Roman" w:hAnsi="Times New Roman" w:cs="Times New Roman"/>
          <w:color w:val="auto"/>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（二）抵债资产处置困难原因</w:t>
      </w:r>
      <w:r>
        <w:rPr>
          <w:rFonts w:hint="default" w:ascii="Times New Roman" w:hAnsi="Times New Roman" w:eastAsia="楷体" w:cs="Times New Roman"/>
          <w:color w:val="auto"/>
          <w:kern w:val="2"/>
          <w:sz w:val="32"/>
          <w:szCs w:val="32"/>
          <w:highlight w:val="none"/>
          <w:lang w:val="en-US" w:eastAsia="zh-CN" w:bidi="ar-SA"/>
        </w:rPr>
        <w:t>：</w:t>
      </w: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color w:val="auto"/>
          <w:kern w:val="2"/>
          <w:sz w:val="32"/>
          <w:szCs w:val="32"/>
          <w:highlight w:val="none"/>
          <w:lang w:val="en-US" w:eastAsia="zh-CN" w:bidi="ar-SA"/>
        </w:rPr>
        <w:t>经济下行周期叠加房地产政策管控，机构及个人购买房产、机器设备意愿低下，通过市场化处置抵债资产变现比较困难；</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color w:val="auto"/>
          <w:kern w:val="2"/>
          <w:sz w:val="32"/>
          <w:szCs w:val="32"/>
          <w:highlight w:val="none"/>
          <w:lang w:val="en-US" w:eastAsia="zh-CN" w:bidi="ar-SA"/>
        </w:rPr>
        <w:t>我行收取的抵债资产大多数为商业类资产，商业资产处置税费较高，处置更困难；</w:t>
      </w:r>
      <w:r>
        <w:rPr>
          <w:rFonts w:hint="default" w:ascii="Times New Roman" w:hAnsi="Times New Roman" w:eastAsia="仿宋_GB2312" w:cs="Times New Roman"/>
          <w:b/>
          <w:bCs/>
          <w:color w:val="auto"/>
          <w:kern w:val="2"/>
          <w:sz w:val="32"/>
          <w:szCs w:val="32"/>
          <w:highlight w:val="none"/>
          <w:lang w:val="en-US" w:eastAsia="zh-CN" w:bidi="ar-SA"/>
        </w:rPr>
        <w:t>三是</w:t>
      </w:r>
      <w:r>
        <w:rPr>
          <w:rFonts w:hint="default" w:ascii="Times New Roman" w:hAnsi="Times New Roman" w:eastAsia="仿宋_GB2312" w:cs="Times New Roman"/>
          <w:color w:val="auto"/>
          <w:kern w:val="2"/>
          <w:sz w:val="32"/>
          <w:szCs w:val="32"/>
          <w:highlight w:val="none"/>
          <w:lang w:val="en-US" w:eastAsia="zh-CN" w:bidi="ar-SA"/>
        </w:rPr>
        <w:t>资产价值打折严重，通过市场化方式处置报价较抵，出售将导致账面损失严重。</w:t>
      </w:r>
    </w:p>
    <w:p>
      <w:pPr>
        <w:pStyle w:val="11"/>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rPr>
          <w:rFonts w:hint="default" w:ascii="Times New Roman" w:hAnsi="Times New Roman" w:cs="Times New Roman"/>
          <w:color w:val="auto"/>
          <w:kern w:val="10"/>
          <w:sz w:val="32"/>
          <w:szCs w:val="32"/>
          <w:highlight w:val="none"/>
          <w:lang w:val="en-US" w:eastAsia="zh-CN"/>
        </w:rPr>
      </w:pPr>
      <w:r>
        <w:rPr>
          <w:rFonts w:hint="eastAsia" w:ascii="楷体_GB2312" w:hAnsi="楷体_GB2312" w:eastAsia="楷体_GB2312" w:cs="楷体_GB2312"/>
          <w:b w:val="0"/>
          <w:bCs w:val="0"/>
          <w:color w:val="auto"/>
          <w:spacing w:val="0"/>
          <w:kern w:val="2"/>
          <w:sz w:val="32"/>
          <w:szCs w:val="32"/>
          <w:highlight w:val="none"/>
          <w:lang w:val="en-US" w:eastAsia="zh-CN" w:bidi="ar-SA"/>
        </w:rPr>
        <w:t>（三）重点行业风险突出原因</w:t>
      </w:r>
      <w:r>
        <w:rPr>
          <w:rFonts w:hint="default" w:ascii="Times New Roman" w:hAnsi="Times New Roman" w:eastAsia="楷体" w:cs="Times New Roman"/>
          <w:b w:val="0"/>
          <w:bCs w:val="0"/>
          <w:color w:val="auto"/>
          <w:spacing w:val="0"/>
          <w:kern w:val="2"/>
          <w:sz w:val="32"/>
          <w:szCs w:val="32"/>
          <w:highlight w:val="none"/>
          <w:lang w:val="en-US" w:eastAsia="zh-CN" w:bidi="ar-SA"/>
        </w:rPr>
        <w:t>：</w:t>
      </w:r>
      <w:r>
        <w:rPr>
          <w:rFonts w:hint="default" w:ascii="Times New Roman" w:hAnsi="Times New Roman" w:eastAsia="仿宋_GB2312" w:cs="Times New Roman"/>
          <w:b/>
          <w:bCs/>
          <w:color w:val="auto"/>
          <w:spacing w:val="0"/>
          <w:kern w:val="2"/>
          <w:sz w:val="32"/>
          <w:szCs w:val="32"/>
          <w:highlight w:val="none"/>
          <w:lang w:val="en-US" w:eastAsia="zh-CN" w:bidi="ar-SA"/>
        </w:rPr>
        <w:t>一是</w:t>
      </w:r>
      <w:r>
        <w:rPr>
          <w:rFonts w:hint="default" w:ascii="Times New Roman" w:hAnsi="Times New Roman" w:eastAsia="仿宋_GB2312" w:cs="Times New Roman"/>
          <w:b w:val="0"/>
          <w:bCs w:val="0"/>
          <w:color w:val="auto"/>
          <w:spacing w:val="0"/>
          <w:kern w:val="2"/>
          <w:sz w:val="32"/>
          <w:szCs w:val="32"/>
          <w:highlight w:val="none"/>
          <w:lang w:val="en-US" w:eastAsia="zh-CN" w:bidi="ar-SA"/>
        </w:rPr>
        <w:t>受到疫情影响，地区经济增长乏力，政府财政收入锐减，加之前期项目资金投入以及对外融资发债导致负债过高，政府财政资金成本占用过大，偿债能力减弱，政府履约能力下降，地方政府下属国企还本付息能力较弱，存在进入敏感贷款行列的风险隐患。</w:t>
      </w:r>
      <w:r>
        <w:rPr>
          <w:rFonts w:hint="default" w:ascii="Times New Roman" w:hAnsi="Times New Roman" w:eastAsia="仿宋_GB2312" w:cs="Times New Roman"/>
          <w:b/>
          <w:bCs/>
          <w:color w:val="auto"/>
          <w:spacing w:val="0"/>
          <w:kern w:val="2"/>
          <w:sz w:val="32"/>
          <w:szCs w:val="32"/>
          <w:highlight w:val="none"/>
          <w:lang w:val="en-US" w:eastAsia="zh-CN" w:bidi="ar-SA"/>
        </w:rPr>
        <w:t>二是</w:t>
      </w:r>
      <w:r>
        <w:rPr>
          <w:rFonts w:hint="default" w:ascii="Times New Roman" w:hAnsi="Times New Roman" w:eastAsia="仿宋_GB2312" w:cs="Times New Roman"/>
          <w:b w:val="0"/>
          <w:bCs w:val="0"/>
          <w:color w:val="auto"/>
          <w:spacing w:val="0"/>
          <w:kern w:val="2"/>
          <w:sz w:val="32"/>
          <w:szCs w:val="32"/>
          <w:highlight w:val="none"/>
          <w:lang w:val="en-US" w:eastAsia="zh-CN" w:bidi="ar-SA"/>
        </w:rPr>
        <w:t>公司类贷款受地方经济影响，还款愈加困难，不良贷款原因多为借款人失联、主业经营注销、还款意愿极差等，已不具备通过续贷、重组等方式缓解风险的条件。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val="en-US" w:eastAsia="zh-CN"/>
        </w:rPr>
        <w:t>四、</w:t>
      </w:r>
      <w:r>
        <w:rPr>
          <w:rFonts w:hint="default" w:ascii="Times New Roman" w:hAnsi="Times New Roman" w:eastAsia="黑体" w:cs="Times New Roman"/>
          <w:color w:val="auto"/>
          <w:sz w:val="32"/>
          <w:szCs w:val="32"/>
          <w:highlight w:val="none"/>
        </w:rPr>
        <w:t>下一步工作打算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楷体_GB2312" w:hAnsi="楷体_GB2312" w:eastAsia="楷体_GB2312" w:cs="楷体_GB2312"/>
          <w:color w:val="auto"/>
          <w:kern w:val="2"/>
          <w:sz w:val="32"/>
          <w:szCs w:val="32"/>
          <w:highlight w:val="none"/>
          <w:lang w:val="en-US" w:eastAsia="zh-CN" w:bidi="ar-SA"/>
        </w:rPr>
        <w:t>（一）完善制度，打牢风险防范基础。</w:t>
      </w:r>
      <w:r>
        <w:rPr>
          <w:rFonts w:hint="default" w:ascii="Times New Roman" w:hAnsi="Times New Roman" w:eastAsia="仿宋_GB2312" w:cs="Times New Roman"/>
          <w:b/>
          <w:bCs/>
          <w:color w:val="auto"/>
          <w:kern w:val="2"/>
          <w:sz w:val="32"/>
          <w:szCs w:val="32"/>
          <w:highlight w:val="none"/>
          <w:lang w:val="en-US" w:eastAsia="zh-CN" w:bidi="ar-SA"/>
        </w:rPr>
        <w:t>一是</w:t>
      </w:r>
      <w:r>
        <w:rPr>
          <w:rFonts w:hint="default" w:ascii="Times New Roman" w:hAnsi="Times New Roman" w:eastAsia="仿宋_GB2312" w:cs="Times New Roman"/>
          <w:b w:val="0"/>
          <w:bCs w:val="0"/>
          <w:color w:val="auto"/>
          <w:sz w:val="32"/>
          <w:szCs w:val="32"/>
          <w:highlight w:val="none"/>
          <w:lang w:val="en-US" w:eastAsia="zh-CN"/>
        </w:rPr>
        <w:t>完善内控制度，构筑全面风险管理体系，坚持业务发展制度建设优先的原则，使每一项业务的操作流程、每一岗位的岗位责任制都要以制度的形式固定下来，最大程度地消除制度盲区，做到环环紧扣、有依有据，形成上下联动一体的风险控制和管理制度体系，使每一位员工在每一个操作环节上都能有章可循。</w:t>
      </w:r>
      <w:r>
        <w:rPr>
          <w:rFonts w:hint="default" w:ascii="Times New Roman" w:hAnsi="Times New Roman" w:eastAsia="仿宋_GB2312" w:cs="Times New Roman"/>
          <w:b/>
          <w:bCs/>
          <w:color w:val="auto"/>
          <w:kern w:val="2"/>
          <w:sz w:val="32"/>
          <w:szCs w:val="32"/>
          <w:highlight w:val="none"/>
          <w:lang w:val="en-US" w:eastAsia="zh-CN" w:bidi="ar-SA"/>
        </w:rPr>
        <w:t>二是</w:t>
      </w:r>
      <w:r>
        <w:rPr>
          <w:rFonts w:hint="default" w:ascii="Times New Roman" w:hAnsi="Times New Roman" w:eastAsia="仿宋_GB2312" w:cs="Times New Roman"/>
          <w:b w:val="0"/>
          <w:bCs w:val="0"/>
          <w:color w:val="auto"/>
          <w:sz w:val="32"/>
          <w:szCs w:val="32"/>
          <w:highlight w:val="none"/>
          <w:lang w:val="en-US" w:eastAsia="zh-CN"/>
        </w:rPr>
        <w:t>强化制度的执行，制度的生命力在于执行，如果在执行上打折扣，制度的权威性不能严格保证，再好的制度也形同虚设，不能发挥作用。</w:t>
      </w:r>
      <w:r>
        <w:rPr>
          <w:rFonts w:hint="default" w:ascii="Times New Roman" w:hAnsi="Times New Roman" w:eastAsia="仿宋_GB2312" w:cs="Times New Roman"/>
          <w:b/>
          <w:bCs/>
          <w:color w:val="auto"/>
          <w:sz w:val="32"/>
          <w:szCs w:val="32"/>
          <w:highlight w:val="none"/>
          <w:lang w:val="en-US" w:eastAsia="zh-CN"/>
        </w:rPr>
        <w:t>三是</w:t>
      </w:r>
      <w:r>
        <w:rPr>
          <w:rFonts w:hint="default" w:ascii="Times New Roman" w:hAnsi="Times New Roman" w:eastAsia="仿宋_GB2312" w:cs="Times New Roman"/>
          <w:b w:val="0"/>
          <w:bCs w:val="0"/>
          <w:color w:val="auto"/>
          <w:sz w:val="32"/>
          <w:szCs w:val="32"/>
          <w:highlight w:val="none"/>
          <w:lang w:val="en-US" w:eastAsia="zh-CN"/>
        </w:rPr>
        <w:t>要发挥好制度热炉法则的四</w:t>
      </w:r>
      <w:r>
        <w:rPr>
          <w:rFonts w:hint="eastAsia" w:ascii="仿宋_GB2312" w:hAnsi="仿宋_GB2312" w:eastAsia="仿宋_GB2312" w:cs="仿宋_GB2312"/>
          <w:b w:val="0"/>
          <w:bCs w:val="0"/>
          <w:color w:val="auto"/>
          <w:sz w:val="32"/>
          <w:szCs w:val="32"/>
          <w:highlight w:val="none"/>
          <w:lang w:val="en-US" w:eastAsia="zh-CN"/>
        </w:rPr>
        <w:t>性原则：即警示性原则。炉火烧得很旺，不用真正碰到都知道会造成烫伤，即发挥规章制度应有的震慑作用；一致性原则。如果碰到炉子，肯定会被烫伤，即只要触犯规章制度，就一定会受到惩处；及时性原则。如果碰到炉子，立即会被烫伤，即员工违反规章制度后应及时处罚，决不拖延姑息，以达到及时纠正错误行为的目的；公平性原则。即组织内任何人碰到炉子都会被烫伤，绝无例外，即规章制度面前人人平等，不允许有超越制度的个体存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rPr>
          <w:rFonts w:hint="default"/>
          <w:color w:val="auto"/>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（二）防范风险，护好业务基本盘。</w:t>
      </w:r>
      <w:r>
        <w:rPr>
          <w:rFonts w:hint="eastAsia" w:ascii="仿宋_GB2312" w:hAnsi="仿宋_GB2312" w:eastAsia="仿宋_GB2312" w:cs="仿宋_GB2312"/>
          <w:b/>
          <w:bCs/>
          <w:color w:val="auto"/>
          <w:sz w:val="32"/>
          <w:szCs w:val="32"/>
          <w:highlight w:val="none"/>
          <w:lang w:val="en-US" w:eastAsia="zh-CN"/>
        </w:rPr>
        <w:t>一是</w:t>
      </w:r>
      <w:r>
        <w:rPr>
          <w:rFonts w:hint="eastAsia" w:ascii="仿宋_GB2312" w:hAnsi="仿宋_GB2312" w:eastAsia="仿宋_GB2312" w:cs="仿宋_GB2312"/>
          <w:b w:val="0"/>
          <w:bCs w:val="0"/>
          <w:color w:val="auto"/>
          <w:sz w:val="32"/>
          <w:szCs w:val="32"/>
          <w:highlight w:val="none"/>
          <w:lang w:val="en-US" w:eastAsia="zh-CN"/>
        </w:rPr>
        <w:t>根据省联社风险处置工作要求和规划，从不良压降、重点人员不良清收、平台贷款风险化解、税收支持政策等方面，分解工作职责，强化汇报沟通，压实主体责任、监督责任、管理责任，抓住政策时机，突出处置成效，确保守住各类风险底线。</w:t>
      </w:r>
      <w:r>
        <w:rPr>
          <w:rFonts w:hint="eastAsia" w:ascii="仿宋_GB2312" w:hAnsi="仿宋_GB2312" w:eastAsia="仿宋_GB2312" w:cs="仿宋_GB2312"/>
          <w:b/>
          <w:bCs/>
          <w:color w:val="auto"/>
          <w:sz w:val="32"/>
          <w:szCs w:val="32"/>
          <w:highlight w:val="none"/>
          <w:lang w:val="en-US" w:eastAsia="zh-CN"/>
        </w:rPr>
        <w:t>二是</w:t>
      </w:r>
      <w:r>
        <w:rPr>
          <w:rFonts w:hint="eastAsia" w:ascii="仿宋_GB2312" w:hAnsi="仿宋_GB2312" w:eastAsia="仿宋_GB2312" w:cs="仿宋_GB2312"/>
          <w:color w:val="auto"/>
          <w:sz w:val="32"/>
          <w:szCs w:val="32"/>
          <w:highlight w:val="none"/>
          <w:lang w:val="en-US" w:eastAsia="zh-CN"/>
        </w:rPr>
        <w:t>稳住基本盘，持续做好风险监测，加强重点机构、重点领域监测分析，确保底数清、情况明。</w:t>
      </w:r>
      <w:r>
        <w:rPr>
          <w:rFonts w:hint="eastAsia" w:ascii="仿宋_GB2312" w:hAnsi="仿宋_GB2312" w:eastAsia="仿宋_GB2312" w:cs="仿宋_GB2312"/>
          <w:b/>
          <w:bCs/>
          <w:color w:val="auto"/>
          <w:sz w:val="32"/>
          <w:szCs w:val="32"/>
          <w:highlight w:val="none"/>
          <w:lang w:val="en-US" w:eastAsia="zh-CN"/>
        </w:rPr>
        <w:t>三是</w:t>
      </w:r>
      <w:r>
        <w:rPr>
          <w:rFonts w:hint="eastAsia" w:ascii="仿宋_GB2312" w:hAnsi="仿宋_GB2312" w:eastAsia="仿宋_GB2312" w:cs="仿宋_GB2312"/>
          <w:color w:val="auto"/>
          <w:sz w:val="32"/>
          <w:szCs w:val="32"/>
          <w:highlight w:val="none"/>
          <w:lang w:val="en-US" w:eastAsia="zh-CN"/>
        </w:rPr>
        <w:t>积极争取地方党委政府支持，帮助处置化解风险。继续针对出现集中风险的平台公司贷款、脱贫人口小额信贷、融资性担保公司担保贷款等风险处置，采取汇报、会商等举措，消除潜在集中风险隐患，稳住本行基本盘。</w:t>
      </w:r>
      <w:r>
        <w:rPr>
          <w:rFonts w:hint="eastAsia" w:ascii="仿宋_GB2312" w:hAnsi="仿宋_GB2312" w:eastAsia="仿宋_GB2312" w:cs="仿宋_GB2312"/>
          <w:b/>
          <w:bCs/>
          <w:color w:val="auto"/>
          <w:sz w:val="32"/>
          <w:szCs w:val="32"/>
          <w:highlight w:val="none"/>
          <w:lang w:val="en-US" w:eastAsia="zh-CN"/>
        </w:rPr>
        <w:t>四是</w:t>
      </w:r>
      <w:r>
        <w:rPr>
          <w:rFonts w:hint="eastAsia" w:ascii="仿宋_GB2312" w:hAnsi="仿宋_GB2312" w:eastAsia="仿宋_GB2312" w:cs="仿宋_GB2312"/>
          <w:color w:val="auto"/>
          <w:sz w:val="32"/>
          <w:szCs w:val="32"/>
          <w:highlight w:val="none"/>
          <w:lang w:val="en-US" w:eastAsia="zh-CN"/>
        </w:rPr>
        <w:t>做实资产质量，有效化解存量风险、加强新增贷款质量控制，防止前清后冒、边清边冒情况。</w:t>
      </w:r>
      <w:r>
        <w:rPr>
          <w:rFonts w:hint="eastAsia" w:ascii="仿宋_GB2312" w:hAnsi="仿宋_GB2312" w:eastAsia="仿宋_GB2312" w:cs="仿宋_GB2312"/>
          <w:b/>
          <w:bCs/>
          <w:color w:val="auto"/>
          <w:spacing w:val="0"/>
          <w:sz w:val="32"/>
          <w:szCs w:val="32"/>
          <w:highlight w:val="none"/>
          <w:lang w:val="en-US" w:eastAsia="zh-CN"/>
        </w:rPr>
        <w:t>五是</w:t>
      </w:r>
      <w:r>
        <w:rPr>
          <w:rFonts w:hint="eastAsia" w:ascii="仿宋_GB2312" w:hAnsi="仿宋_GB2312" w:eastAsia="仿宋_GB2312" w:cs="仿宋_GB2312"/>
          <w:b w:val="0"/>
          <w:bCs w:val="0"/>
          <w:color w:val="auto"/>
          <w:spacing w:val="0"/>
          <w:sz w:val="32"/>
          <w:szCs w:val="32"/>
          <w:highlight w:val="none"/>
          <w:lang w:val="en-US" w:eastAsia="zh-CN"/>
        </w:rPr>
        <w:t>对</w:t>
      </w:r>
      <w:r>
        <w:rPr>
          <w:rFonts w:hint="eastAsia" w:ascii="仿宋_GB2312" w:hAnsi="仿宋_GB2312" w:eastAsia="仿宋_GB2312" w:cs="仿宋_GB2312"/>
          <w:b w:val="0"/>
          <w:bCs w:val="0"/>
          <w:color w:val="auto"/>
          <w:sz w:val="32"/>
          <w:szCs w:val="32"/>
          <w:highlight w:val="none"/>
        </w:rPr>
        <w:t>表外不良贷款</w:t>
      </w:r>
      <w:r>
        <w:rPr>
          <w:rFonts w:hint="eastAsia" w:ascii="仿宋_GB2312" w:hAnsi="仿宋_GB2312" w:eastAsia="仿宋_GB2312" w:cs="仿宋_GB2312"/>
          <w:b w:val="0"/>
          <w:bCs w:val="0"/>
          <w:color w:val="auto"/>
          <w:sz w:val="32"/>
          <w:szCs w:val="32"/>
          <w:highlight w:val="none"/>
          <w:lang w:val="en-US" w:eastAsia="zh-CN"/>
        </w:rPr>
        <w:t>进行</w:t>
      </w:r>
      <w:r>
        <w:rPr>
          <w:rFonts w:hint="eastAsia" w:ascii="仿宋_GB2312" w:hAnsi="仿宋_GB2312" w:eastAsia="仿宋_GB2312" w:cs="仿宋_GB2312"/>
          <w:b w:val="0"/>
          <w:bCs w:val="0"/>
          <w:color w:val="auto"/>
          <w:sz w:val="32"/>
          <w:szCs w:val="32"/>
          <w:highlight w:val="none"/>
        </w:rPr>
        <w:t>分类</w:t>
      </w:r>
      <w:r>
        <w:rPr>
          <w:rFonts w:hint="eastAsia" w:ascii="仿宋_GB2312" w:hAnsi="仿宋_GB2312" w:eastAsia="仿宋_GB2312" w:cs="仿宋_GB2312"/>
          <w:b w:val="0"/>
          <w:bCs w:val="0"/>
          <w:color w:val="auto"/>
          <w:sz w:val="32"/>
          <w:szCs w:val="32"/>
          <w:highlight w:val="none"/>
          <w:lang w:eastAsia="zh-CN"/>
        </w:rPr>
        <w:t>施策</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rPr>
        <w:t>将主要精力放在账龄短、收回可能性高的表外不良贷款，细化清收措施</w:t>
      </w:r>
      <w:r>
        <w:rPr>
          <w:rFonts w:hint="eastAsia" w:ascii="仿宋_GB2312" w:hAnsi="仿宋_GB2312" w:eastAsia="仿宋_GB2312" w:cs="仿宋_GB2312"/>
          <w:color w:val="auto"/>
          <w:sz w:val="32"/>
          <w:szCs w:val="32"/>
          <w:highlight w:val="none"/>
          <w:lang w:val="en-US" w:eastAsia="zh-CN"/>
        </w:rPr>
        <w:t>形成委外催收、支行催收的协同机制，设定共同考核标准，确保清收成效，释放本行利润空间。</w:t>
      </w:r>
      <w:r>
        <w:rPr>
          <w:rFonts w:hint="eastAsia" w:ascii="仿宋_GB2312" w:hAnsi="仿宋_GB2312" w:eastAsia="仿宋_GB2312" w:cs="仿宋_GB2312"/>
          <w:b/>
          <w:bCs/>
          <w:color w:val="auto"/>
          <w:sz w:val="32"/>
          <w:szCs w:val="32"/>
          <w:highlight w:val="none"/>
          <w:lang w:val="en-US" w:eastAsia="zh-CN"/>
        </w:rPr>
        <w:t>六是</w:t>
      </w:r>
      <w:r>
        <w:rPr>
          <w:rFonts w:hint="eastAsia" w:ascii="仿宋_GB2312" w:hAnsi="仿宋_GB2312" w:eastAsia="仿宋_GB2312" w:cs="仿宋_GB2312"/>
          <w:color w:val="auto"/>
          <w:sz w:val="32"/>
          <w:szCs w:val="32"/>
          <w:highlight w:val="none"/>
          <w:lang w:val="en-US" w:eastAsia="zh-CN"/>
        </w:rPr>
        <w:t>制定本行风险化解处置方案和三年处置目标规划，坚持化解存量与严控增量并重、处置当前风险与建立长效机制并举，明确处置目标、进度、措施。</w:t>
      </w:r>
      <w:r>
        <w:rPr>
          <w:rFonts w:hint="eastAsia" w:ascii="仿宋_GB2312" w:hAnsi="仿宋_GB2312" w:eastAsia="仿宋_GB2312" w:cs="仿宋_GB2312"/>
          <w:b/>
          <w:bCs/>
          <w:color w:val="auto"/>
          <w:sz w:val="32"/>
          <w:szCs w:val="32"/>
          <w:highlight w:val="none"/>
          <w:lang w:val="en-US" w:eastAsia="zh-CN"/>
        </w:rPr>
        <w:t>七是</w:t>
      </w:r>
      <w:r>
        <w:rPr>
          <w:rFonts w:hint="eastAsia" w:ascii="仿宋_GB2312" w:hAnsi="仿宋_GB2312" w:eastAsia="仿宋_GB2312" w:cs="仿宋_GB2312"/>
          <w:color w:val="auto"/>
          <w:sz w:val="32"/>
          <w:szCs w:val="32"/>
          <w:highlight w:val="none"/>
          <w:lang w:val="en-US" w:eastAsia="zh-CN"/>
        </w:rPr>
        <w:t>做好本行风险偏好管理，构建风险偏好管理机制，按季监测风险偏好执行情况，有序开展整改落实，提升全面风险管理能力。</w:t>
      </w:r>
      <w:r>
        <w:rPr>
          <w:rFonts w:hint="eastAsia" w:ascii="仿宋_GB2312" w:hAnsi="仿宋_GB2312" w:eastAsia="仿宋_GB2312" w:cs="仿宋_GB2312"/>
          <w:b/>
          <w:bCs/>
          <w:color w:val="auto"/>
          <w:sz w:val="32"/>
          <w:szCs w:val="32"/>
          <w:highlight w:val="none"/>
          <w:lang w:val="en-US" w:eastAsia="zh-CN"/>
        </w:rPr>
        <w:t>八是</w:t>
      </w:r>
      <w:r>
        <w:rPr>
          <w:rFonts w:hint="eastAsia" w:ascii="仿宋_GB2312" w:hAnsi="仿宋_GB2312" w:eastAsia="仿宋_GB2312" w:cs="仿宋_GB2312"/>
          <w:color w:val="auto"/>
          <w:sz w:val="32"/>
          <w:szCs w:val="32"/>
          <w:highlight w:val="none"/>
          <w:lang w:val="en-US" w:eastAsia="zh-CN"/>
        </w:rPr>
        <w:t>强化贷后管理。</w:t>
      </w:r>
      <w:r>
        <w:rPr>
          <w:rFonts w:hint="eastAsia" w:ascii="仿宋_GB2312" w:hAnsi="仿宋_GB2312" w:eastAsia="仿宋_GB2312" w:cs="仿宋_GB2312"/>
          <w:b w:val="0"/>
          <w:bCs w:val="0"/>
          <w:color w:val="auto"/>
          <w:sz w:val="32"/>
          <w:szCs w:val="32"/>
          <w:highlight w:val="none"/>
          <w:lang w:val="en-US" w:eastAsia="zh-CN"/>
        </w:rPr>
        <w:t>严格执行贷款“三查”制度，</w:t>
      </w:r>
      <w:r>
        <w:rPr>
          <w:rFonts w:hint="eastAsia" w:ascii="仿宋_GB2312" w:hAnsi="仿宋_GB2312" w:eastAsia="仿宋_GB2312" w:cs="仿宋_GB2312"/>
          <w:color w:val="auto"/>
          <w:sz w:val="32"/>
          <w:szCs w:val="32"/>
          <w:highlight w:val="none"/>
          <w:lang w:val="en-US" w:eastAsia="zh-CN"/>
        </w:rPr>
        <w:t>针对目前三查执行不实的情况，发布信贷操作指引和培训，以内部检查为抓手，引导支行做好三查工作，切实前置风险管控。</w:t>
      </w:r>
      <w:r>
        <w:rPr>
          <w:rFonts w:hint="eastAsia" w:ascii="仿宋_GB2312" w:hAnsi="仿宋_GB2312" w:eastAsia="仿宋_GB2312" w:cs="仿宋_GB2312"/>
          <w:b/>
          <w:bCs/>
          <w:color w:val="auto"/>
          <w:sz w:val="32"/>
          <w:szCs w:val="32"/>
          <w:highlight w:val="none"/>
          <w:lang w:val="en-US" w:eastAsia="zh-CN"/>
        </w:rPr>
        <w:t>九是</w:t>
      </w:r>
      <w:r>
        <w:rPr>
          <w:rFonts w:hint="eastAsia" w:ascii="仿宋_GB2312" w:hAnsi="仿宋_GB2312" w:eastAsia="仿宋_GB2312" w:cs="仿宋_GB2312"/>
          <w:color w:val="auto"/>
          <w:sz w:val="32"/>
          <w:szCs w:val="32"/>
          <w:highlight w:val="none"/>
          <w:lang w:val="en-US" w:eastAsia="zh-CN"/>
        </w:rPr>
        <w:t>分类制定抵债资产专项处置方案，针对商业类型、住宅类型等明确不同的处置措施，制定不同处置计划，精准对标处置。</w:t>
      </w:r>
    </w:p>
    <w:p>
      <w:pPr>
        <w:pStyle w:val="19"/>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baseline"/>
        <w:rPr>
          <w:rFonts w:hint="eastAsia"/>
          <w:color w:val="auto"/>
          <w:highlight w:val="none"/>
          <w:lang w:val="en-US" w:eastAsia="zh-CN"/>
        </w:rPr>
      </w:pPr>
      <w:r>
        <w:rPr>
          <w:rFonts w:hint="eastAsia" w:ascii="楷体_GB2312" w:hAnsi="楷体_GB2312" w:eastAsia="楷体_GB2312" w:cs="楷体_GB2312"/>
          <w:color w:val="auto"/>
          <w:kern w:val="2"/>
          <w:sz w:val="32"/>
          <w:szCs w:val="32"/>
          <w:highlight w:val="none"/>
          <w:lang w:val="en-US" w:eastAsia="zh-CN" w:bidi="ar-SA"/>
        </w:rPr>
        <w:t>（三）提升合规管理质效</w:t>
      </w:r>
      <w:r>
        <w:rPr>
          <w:rFonts w:hint="eastAsia" w:ascii="楷体" w:hAnsi="楷体" w:eastAsia="楷体" w:cs="楷体"/>
          <w:color w:val="auto"/>
          <w:kern w:val="2"/>
          <w:sz w:val="32"/>
          <w:szCs w:val="32"/>
          <w:highlight w:val="none"/>
          <w:lang w:val="en-US" w:eastAsia="zh-CN" w:bidi="ar-SA"/>
        </w:rPr>
        <w:t>。</w:t>
      </w:r>
      <w:r>
        <w:rPr>
          <w:rFonts w:hint="eastAsia" w:ascii="仿宋_GB2312" w:hAnsi="Calibri" w:eastAsia="仿宋_GB2312" w:cs="Times New Roman"/>
          <w:b/>
          <w:bCs/>
          <w:color w:val="auto"/>
          <w:kern w:val="2"/>
          <w:sz w:val="32"/>
          <w:szCs w:val="32"/>
          <w:highlight w:val="none"/>
          <w:lang w:val="en-US" w:eastAsia="zh-CN" w:bidi="ar-SA"/>
        </w:rPr>
        <w:t>一是</w:t>
      </w:r>
      <w:r>
        <w:rPr>
          <w:rFonts w:hint="eastAsia" w:ascii="仿宋_GB2312" w:hAnsi="仿宋_GB2312" w:eastAsia="仿宋_GB2312" w:cs="仿宋_GB2312"/>
          <w:color w:val="auto"/>
          <w:sz w:val="32"/>
          <w:szCs w:val="32"/>
          <w:highlight w:val="none"/>
          <w:lang w:val="en-US" w:eastAsia="zh-CN"/>
        </w:rPr>
        <w:t>坚持制度体系建设，实行常态化的制度效果评价机制，持续推进制度“立改废”工作。</w:t>
      </w:r>
      <w:r>
        <w:rPr>
          <w:rFonts w:hint="eastAsia" w:ascii="仿宋_GB2312" w:hAnsi="仿宋_GB2312" w:eastAsia="仿宋_GB2312" w:cs="仿宋_GB2312"/>
          <w:color w:val="auto"/>
          <w:kern w:val="0"/>
          <w:sz w:val="32"/>
          <w:szCs w:val="32"/>
          <w:highlight w:val="none"/>
          <w:lang w:val="en-US" w:eastAsia="zh-CN" w:bidi="ar"/>
        </w:rPr>
        <w:t>打造内控评价标准化流程，开展年度内部评价工作，加强内控管理。</w:t>
      </w:r>
      <w:r>
        <w:rPr>
          <w:rFonts w:hint="eastAsia" w:ascii="仿宋_GB2312" w:hAnsi="仿宋_GB2312" w:eastAsia="仿宋_GB2312" w:cs="仿宋_GB2312"/>
          <w:b/>
          <w:bCs/>
          <w:color w:val="auto"/>
          <w:sz w:val="32"/>
          <w:szCs w:val="32"/>
          <w:highlight w:val="none"/>
          <w:lang w:val="en-US" w:eastAsia="zh-CN"/>
        </w:rPr>
        <w:t>二是</w:t>
      </w:r>
      <w:r>
        <w:rPr>
          <w:rFonts w:hint="eastAsia" w:ascii="仿宋_GB2312" w:hAnsi="仿宋_GB2312" w:eastAsia="仿宋_GB2312" w:cs="仿宋_GB2312"/>
          <w:color w:val="auto"/>
          <w:sz w:val="32"/>
          <w:szCs w:val="32"/>
          <w:highlight w:val="none"/>
          <w:lang w:val="en-US" w:eastAsia="zh-CN"/>
        </w:rPr>
        <w:t>强化案件风险管控。</w:t>
      </w:r>
      <w:r>
        <w:rPr>
          <w:rFonts w:hint="eastAsia" w:ascii="仿宋_GB2312" w:hAnsi="仿宋_GB2312" w:eastAsia="仿宋_GB2312" w:cs="仿宋_GB2312"/>
          <w:b w:val="0"/>
          <w:bCs w:val="0"/>
          <w:color w:val="auto"/>
          <w:sz w:val="32"/>
          <w:szCs w:val="32"/>
          <w:highlight w:val="none"/>
          <w:lang w:val="en-US" w:eastAsia="zh-CN"/>
        </w:rPr>
        <w:t>坚持常规排查与专项排查相结合，</w:t>
      </w:r>
      <w:r>
        <w:rPr>
          <w:rFonts w:hint="eastAsia" w:ascii="仿宋_GB2312" w:hAnsi="仿宋_GB2312" w:eastAsia="仿宋_GB2312" w:cs="仿宋_GB2312"/>
          <w:color w:val="auto"/>
          <w:sz w:val="32"/>
          <w:szCs w:val="32"/>
          <w:highlight w:val="none"/>
          <w:lang w:val="en-US" w:eastAsia="zh-CN"/>
        </w:rPr>
        <w:t>通过常规排查、专项排查、不定期抽查、三道防线部门联系排查等方式强化员工行为排查。同时</w:t>
      </w:r>
      <w:r>
        <w:rPr>
          <w:rFonts w:hint="eastAsia" w:ascii="仿宋_GB2312" w:hAnsi="仿宋_GB2312" w:eastAsia="仿宋_GB2312" w:cs="仿宋_GB2312"/>
          <w:b w:val="0"/>
          <w:bCs/>
          <w:color w:val="auto"/>
          <w:kern w:val="0"/>
          <w:sz w:val="32"/>
          <w:szCs w:val="32"/>
          <w:highlight w:val="none"/>
          <w:lang w:val="en-US" w:eastAsia="zh-CN" w:bidi="ar"/>
        </w:rPr>
        <w:t>加强问题整改问责，建立整改台账，切实营造案防高压态势。</w:t>
      </w:r>
      <w:r>
        <w:rPr>
          <w:rFonts w:hint="eastAsia" w:ascii="仿宋_GB2312" w:hAnsi="仿宋_GB2312" w:eastAsia="仿宋_GB2312" w:cs="仿宋_GB2312"/>
          <w:b/>
          <w:bCs w:val="0"/>
          <w:color w:val="auto"/>
          <w:kern w:val="0"/>
          <w:sz w:val="32"/>
          <w:szCs w:val="32"/>
          <w:highlight w:val="none"/>
          <w:lang w:val="en-US" w:eastAsia="zh-CN" w:bidi="ar"/>
        </w:rPr>
        <w:t>三是</w:t>
      </w:r>
      <w:r>
        <w:rPr>
          <w:rFonts w:hint="eastAsia" w:ascii="仿宋_GB2312" w:hAnsi="仿宋_GB2312" w:eastAsia="仿宋_GB2312" w:cs="仿宋_GB2312"/>
          <w:color w:val="auto"/>
          <w:sz w:val="32"/>
          <w:szCs w:val="32"/>
          <w:highlight w:val="none"/>
          <w:lang w:val="en-US" w:eastAsia="zh-CN"/>
        </w:rPr>
        <w:t>强化案防学习制度执行，严格落实案防专项学习要求，</w:t>
      </w:r>
      <w:r>
        <w:rPr>
          <w:rFonts w:hint="eastAsia" w:ascii="仿宋_GB2312" w:hAnsi="仿宋_GB2312" w:eastAsia="仿宋_GB2312" w:cs="仿宋_GB2312"/>
          <w:color w:val="auto"/>
          <w:sz w:val="32"/>
          <w:szCs w:val="32"/>
          <w:highlight w:val="none"/>
        </w:rPr>
        <w:t>业务人员自觉加强法律、法规及规章制度的学习，确保各项业务制度落实到位</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bCs/>
          <w:color w:val="auto"/>
          <w:sz w:val="32"/>
          <w:szCs w:val="32"/>
          <w:highlight w:val="none"/>
          <w:lang w:val="en-US" w:eastAsia="zh-CN"/>
        </w:rPr>
        <w:t>四是</w:t>
      </w:r>
      <w:r>
        <w:rPr>
          <w:rFonts w:hint="eastAsia" w:ascii="仿宋_GB2312" w:hAnsi="仿宋_GB2312" w:eastAsia="仿宋_GB2312" w:cs="仿宋_GB2312"/>
          <w:color w:val="auto"/>
          <w:kern w:val="0"/>
          <w:sz w:val="32"/>
          <w:szCs w:val="32"/>
          <w:highlight w:val="none"/>
          <w:lang w:val="en-US" w:eastAsia="zh-CN" w:bidi="ar"/>
        </w:rPr>
        <w:t>强化员工管理。</w:t>
      </w:r>
      <w:r>
        <w:rPr>
          <w:rFonts w:hint="eastAsia" w:ascii="仿宋_GB2312" w:hAnsi="仿宋_GB2312" w:eastAsia="仿宋_GB2312" w:cs="仿宋_GB2312"/>
          <w:color w:val="auto"/>
          <w:kern w:val="0"/>
          <w:sz w:val="32"/>
          <w:szCs w:val="32"/>
          <w:highlight w:val="none"/>
          <w:lang w:bidi="ar"/>
        </w:rPr>
        <w:t>健全监督检查和整改问责联动机制，一旦发现违规问题，立即启动问责</w:t>
      </w:r>
      <w:r>
        <w:rPr>
          <w:rFonts w:hint="eastAsia" w:ascii="仿宋_GB2312" w:hAnsi="仿宋_GB2312" w:eastAsia="仿宋_GB2312" w:cs="仿宋_GB2312"/>
          <w:bCs/>
          <w:color w:val="auto"/>
          <w:sz w:val="32"/>
          <w:szCs w:val="32"/>
          <w:highlight w:val="none"/>
          <w:lang w:val="en-US" w:eastAsia="zh-CN"/>
        </w:rPr>
        <w:t>。要注重关键岗位、关键人员的八小时内外的行为管控，</w:t>
      </w:r>
      <w:r>
        <w:rPr>
          <w:rFonts w:hint="eastAsia" w:ascii="仿宋_GB2312" w:hAnsi="仿宋_GB2312" w:eastAsia="仿宋_GB2312" w:cs="仿宋_GB2312"/>
          <w:color w:val="auto"/>
          <w:kern w:val="0"/>
          <w:sz w:val="32"/>
          <w:szCs w:val="32"/>
          <w:highlight w:val="none"/>
          <w:lang w:bidi="ar"/>
        </w:rPr>
        <w:t>开展借冒名贷款、员工经商办企业、高管合规履职等专项整治工作，做到早识别、早预警、早发现、早处置。</w:t>
      </w:r>
    </w:p>
    <w:p>
      <w:pPr>
        <w:keepNext w:val="0"/>
        <w:keepLines w:val="0"/>
        <w:pageBreakBefore w:val="0"/>
        <w:kinsoku/>
        <w:wordWrap/>
        <w:topLinePunct w:val="0"/>
        <w:bidi w:val="0"/>
        <w:spacing w:line="560" w:lineRule="exact"/>
        <w:ind w:firstLine="640" w:firstLineChars="200"/>
        <w:rPr>
          <w:rFonts w:hint="eastAsia"/>
          <w:color w:val="auto"/>
          <w:highlight w:val="none"/>
        </w:rPr>
      </w:pPr>
      <w:r>
        <w:rPr>
          <w:rFonts w:hint="eastAsia" w:ascii="楷体_GB2312" w:hAnsi="楷体_GB2312" w:eastAsia="楷体_GB2312" w:cs="楷体_GB2312"/>
          <w:color w:val="auto"/>
          <w:kern w:val="2"/>
          <w:sz w:val="32"/>
          <w:szCs w:val="32"/>
          <w:highlight w:val="none"/>
          <w:lang w:val="en-US" w:eastAsia="zh-CN" w:bidi="ar-SA"/>
        </w:rPr>
        <w:t>（四）完善全面风险管理制度。</w:t>
      </w:r>
      <w:r>
        <w:rPr>
          <w:rFonts w:hint="eastAsia" w:ascii="仿宋_GB2312" w:hAnsi="仿宋_GB2312" w:eastAsia="仿宋_GB2312" w:cs="仿宋_GB2312"/>
          <w:color w:val="auto"/>
          <w:kern w:val="0"/>
          <w:sz w:val="32"/>
          <w:szCs w:val="32"/>
          <w:highlight w:val="none"/>
          <w:lang w:bidi="ar"/>
        </w:rPr>
        <w:t>开展“内控合规升级工程”，健全内控合规管理机制，完善各类重要风险管理政策,形成一套务实管用的合规</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val="en-US" w:eastAsia="zh-CN" w:bidi="ar"/>
        </w:rPr>
        <w:t>风险</w:t>
      </w:r>
      <w:r>
        <w:rPr>
          <w:rFonts w:hint="eastAsia" w:ascii="仿宋_GB2312" w:hAnsi="仿宋_GB2312" w:eastAsia="仿宋_GB2312" w:cs="仿宋_GB2312"/>
          <w:color w:val="auto"/>
          <w:kern w:val="0"/>
          <w:sz w:val="32"/>
          <w:szCs w:val="32"/>
          <w:highlight w:val="none"/>
          <w:lang w:bidi="ar"/>
        </w:rPr>
        <w:t>管理体系。明确全面风险治理架构以及各类风险识别、计量、评估、监测、控制、缓释的方法和程序。针对我行风险偏好、风险限额,对新业务、新产品研发及流程设计等环节预判风险隐患和管理漏洞，建立风险限额机制，保障我行稳健经营和健康发展。</w:t>
      </w:r>
    </w:p>
    <w:p>
      <w:pPr>
        <w:pStyle w:val="2"/>
        <w:keepNext w:val="0"/>
        <w:keepLines w:val="0"/>
        <w:pageBreakBefore w:val="0"/>
        <w:kinsoku/>
        <w:wordWrap/>
        <w:topLinePunct w:val="0"/>
        <w:bidi w:val="0"/>
        <w:spacing w:line="560" w:lineRule="exact"/>
        <w:rPr>
          <w:rFonts w:hint="eastAsia"/>
          <w:color w:val="auto"/>
          <w:highlight w:val="none"/>
        </w:rPr>
      </w:pPr>
    </w:p>
    <w:p>
      <w:pPr>
        <w:pStyle w:val="2"/>
        <w:keepNext w:val="0"/>
        <w:keepLines w:val="0"/>
        <w:pageBreakBefore w:val="0"/>
        <w:kinsoku/>
        <w:wordWrap/>
        <w:topLinePunct w:val="0"/>
        <w:bidi w:val="0"/>
        <w:spacing w:line="560" w:lineRule="exact"/>
        <w:rPr>
          <w:rFonts w:hint="eastAsia"/>
          <w:color w:val="auto"/>
          <w:highlight w:val="none"/>
        </w:rPr>
      </w:pPr>
      <w:bookmarkStart w:id="2" w:name="_GoBack"/>
      <w:bookmarkEnd w:id="2"/>
    </w:p>
    <w:p>
      <w:pPr>
        <w:keepNext w:val="0"/>
        <w:keepLines w:val="0"/>
        <w:pageBreakBefore w:val="0"/>
        <w:kinsoku/>
        <w:wordWrap/>
        <w:topLinePunct w:val="0"/>
        <w:bidi w:val="0"/>
        <w:adjustRightInd w:val="0"/>
        <w:snapToGrid w:val="0"/>
        <w:spacing w:line="560" w:lineRule="exact"/>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sz w:val="36"/>
          <w:szCs w:val="36"/>
          <w:highlight w:val="none"/>
        </w:rPr>
        <w:t>第</w:t>
      </w:r>
      <w:r>
        <w:rPr>
          <w:rFonts w:hint="eastAsia" w:ascii="黑体" w:hAnsi="黑体" w:eastAsia="黑体" w:cs="黑体"/>
          <w:b w:val="0"/>
          <w:bCs/>
          <w:color w:val="auto"/>
          <w:sz w:val="36"/>
          <w:szCs w:val="36"/>
          <w:highlight w:val="none"/>
          <w:lang w:eastAsia="zh-CN"/>
        </w:rPr>
        <w:t>九</w:t>
      </w:r>
      <w:r>
        <w:rPr>
          <w:rFonts w:hint="eastAsia" w:ascii="黑体" w:hAnsi="黑体" w:eastAsia="黑体" w:cs="黑体"/>
          <w:b w:val="0"/>
          <w:bCs/>
          <w:color w:val="auto"/>
          <w:sz w:val="36"/>
          <w:szCs w:val="36"/>
          <w:highlight w:val="none"/>
        </w:rPr>
        <w:t>章    主要业务经营及财务决算报告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color w:val="auto"/>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一、</w:t>
      </w:r>
      <w:r>
        <w:rPr>
          <w:rFonts w:hint="eastAsia" w:ascii="黑体" w:hAnsi="黑体" w:eastAsia="黑体" w:cs="黑体"/>
          <w:b w:val="0"/>
          <w:bCs w:val="0"/>
          <w:color w:val="auto"/>
          <w:sz w:val="32"/>
          <w:szCs w:val="32"/>
          <w:highlight w:val="none"/>
          <w:lang w:eastAsia="zh-CN"/>
        </w:rPr>
        <w:t>202</w:t>
      </w:r>
      <w:r>
        <w:rPr>
          <w:rFonts w:hint="eastAsia" w:ascii="黑体" w:hAnsi="黑体" w:eastAsia="黑体" w:cs="黑体"/>
          <w:b w:val="0"/>
          <w:bCs w:val="0"/>
          <w:color w:val="auto"/>
          <w:sz w:val="32"/>
          <w:szCs w:val="32"/>
          <w:highlight w:val="none"/>
          <w:lang w:val="en-US" w:eastAsia="zh-CN"/>
        </w:rPr>
        <w:t>4</w:t>
      </w:r>
      <w:r>
        <w:rPr>
          <w:rFonts w:hint="eastAsia" w:ascii="黑体" w:hAnsi="黑体" w:eastAsia="黑体" w:cs="黑体"/>
          <w:b w:val="0"/>
          <w:bCs w:val="0"/>
          <w:color w:val="auto"/>
          <w:sz w:val="32"/>
          <w:szCs w:val="32"/>
          <w:highlight w:val="none"/>
        </w:rPr>
        <w:t>年业务经营情况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eastAsia="zh-CN" w:bidi="th-TH"/>
        </w:rPr>
        <w:t>202</w:t>
      </w:r>
      <w:r>
        <w:rPr>
          <w:rFonts w:hint="eastAsia" w:cs="Times New Roman"/>
          <w:b w:val="0"/>
          <w:bCs w:val="0"/>
          <w:color w:val="auto"/>
          <w:sz w:val="32"/>
          <w:szCs w:val="32"/>
          <w:highlight w:val="none"/>
          <w:lang w:val="en-US" w:eastAsia="zh-CN" w:bidi="th-TH"/>
        </w:rPr>
        <w:t>4</w:t>
      </w:r>
      <w:r>
        <w:rPr>
          <w:rFonts w:hint="default" w:ascii="Times New Roman" w:hAnsi="Times New Roman" w:eastAsia="仿宋_GB2312" w:cs="Times New Roman"/>
          <w:b w:val="0"/>
          <w:bCs w:val="0"/>
          <w:color w:val="auto"/>
          <w:sz w:val="32"/>
          <w:szCs w:val="32"/>
          <w:highlight w:val="none"/>
          <w:lang w:bidi="th-TH"/>
        </w:rPr>
        <w:t>年，</w:t>
      </w:r>
      <w:r>
        <w:rPr>
          <w:rFonts w:hint="default" w:ascii="Times New Roman" w:hAnsi="Times New Roman" w:eastAsia="仿宋_GB2312" w:cs="Times New Roman"/>
          <w:b w:val="0"/>
          <w:bCs w:val="0"/>
          <w:color w:val="auto"/>
          <w:sz w:val="32"/>
          <w:szCs w:val="32"/>
          <w:highlight w:val="none"/>
        </w:rPr>
        <w:t>我行认识和把握形势，抢抓机遇，强化市场营销和竞争能力，加强风险、成本和质量控制。主要表现在：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楷体_GB2312" w:cs="Times New Roman"/>
          <w:b w:val="0"/>
          <w:bCs w:val="0"/>
          <w:color w:val="auto"/>
          <w:sz w:val="32"/>
          <w:szCs w:val="32"/>
          <w:highlight w:val="none"/>
          <w:lang w:val="en-US" w:eastAsia="zh-CN"/>
        </w:rPr>
      </w:pPr>
      <w:r>
        <w:rPr>
          <w:rFonts w:hint="default" w:ascii="Times New Roman" w:hAnsi="Times New Roman" w:eastAsia="楷体_GB2312" w:cs="Times New Roman"/>
          <w:b w:val="0"/>
          <w:bCs w:val="0"/>
          <w:color w:val="auto"/>
          <w:sz w:val="32"/>
          <w:szCs w:val="32"/>
          <w:highlight w:val="none"/>
        </w:rPr>
        <w:t>（一）</w:t>
      </w:r>
      <w:r>
        <w:rPr>
          <w:rFonts w:hint="default" w:ascii="Times New Roman" w:hAnsi="Times New Roman" w:eastAsia="楷体_GB2312" w:cs="Times New Roman"/>
          <w:b w:val="0"/>
          <w:bCs w:val="0"/>
          <w:color w:val="auto"/>
          <w:sz w:val="32"/>
          <w:szCs w:val="32"/>
          <w:highlight w:val="none"/>
          <w:lang w:eastAsia="zh-CN"/>
        </w:rPr>
        <w:t>主要经营指标</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Autospacing="0" w:afterLines="0" w:afterAutospacing="0" w:line="560" w:lineRule="exact"/>
        <w:ind w:firstLine="640" w:firstLineChars="200"/>
        <w:textAlignment w:val="auto"/>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截至202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lang w:val="en-US" w:eastAsia="zh-CN"/>
        </w:rPr>
        <w:t>末</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我行</w:t>
      </w:r>
      <w:r>
        <w:rPr>
          <w:rFonts w:hint="default" w:ascii="Times New Roman" w:hAnsi="Times New Roman" w:eastAsia="仿宋_GB2312" w:cs="Times New Roman"/>
          <w:color w:val="auto"/>
          <w:sz w:val="32"/>
          <w:szCs w:val="32"/>
          <w:highlight w:val="none"/>
        </w:rPr>
        <w:t>资产总额171亿元，较年初增加6亿元，增幅3.63%，其中：各项贷款116.17亿元，较年初减少2.81亿元，降幅2.36%；负债总额157.04亿元，较年初增加5.92亿元，增幅3.92%，其中：各项存款</w:t>
      </w:r>
      <w:r>
        <w:rPr>
          <w:rFonts w:hint="eastAsia" w:ascii="Times New Roman" w:hAnsi="Times New Roman" w:eastAsia="仿宋_GB2312" w:cs="Times New Roman"/>
          <w:color w:val="auto"/>
          <w:sz w:val="32"/>
          <w:szCs w:val="32"/>
          <w:highlight w:val="none"/>
          <w:lang w:eastAsia="zh-CN"/>
        </w:rPr>
        <w:t>（人行口径）</w:t>
      </w:r>
      <w:r>
        <w:rPr>
          <w:rFonts w:hint="default" w:ascii="Times New Roman" w:hAnsi="Times New Roman" w:eastAsia="仿宋_GB2312" w:cs="Times New Roman"/>
          <w:color w:val="auto"/>
          <w:sz w:val="32"/>
          <w:szCs w:val="32"/>
          <w:highlight w:val="none"/>
        </w:rPr>
        <w:t>138.76亿元，较年初增加7.11亿元，增幅5.4%</w:t>
      </w:r>
      <w:r>
        <w:rPr>
          <w:rFonts w:hint="eastAsia" w:ascii="Times New Roman" w:hAnsi="Times New Roman" w:eastAsia="仿宋_GB2312" w:cs="Times New Roman"/>
          <w:color w:val="auto"/>
          <w:sz w:val="32"/>
          <w:szCs w:val="32"/>
          <w:highlight w:val="none"/>
          <w:lang w:eastAsia="zh-CN"/>
        </w:rPr>
        <w:t>，各项存款（银监口径）</w:t>
      </w:r>
      <w:r>
        <w:rPr>
          <w:rFonts w:hint="eastAsia" w:ascii="Times New Roman" w:hAnsi="Times New Roman" w:eastAsia="仿宋_GB2312" w:cs="Times New Roman"/>
          <w:color w:val="auto"/>
          <w:sz w:val="32"/>
          <w:szCs w:val="32"/>
          <w:highlight w:val="none"/>
          <w:lang w:val="en-US" w:eastAsia="zh-CN"/>
        </w:rPr>
        <w:t>131.87亿元，较年初增加5.56亿元，增幅4.4%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bCs/>
          <w:color w:val="auto"/>
          <w:sz w:val="32"/>
          <w:szCs w:val="32"/>
          <w:highlight w:val="none"/>
          <w:lang w:val="en-US" w:eastAsia="zh-CN"/>
        </w:rPr>
        <w:t>实现各项收入8.66亿元，同比增加0.25亿元，增幅3%；各项支出7.89亿元，同比增加0.41亿元，增幅5.46%；实现利润总额0.77亿元，同比减少0.15亿元，降幅16.95%；实现净利润0.67亿元，同比增加0.06亿元，增幅10%。</w:t>
      </w:r>
    </w:p>
    <w:p>
      <w:pPr>
        <w:pStyle w:val="8"/>
        <w:keepNext w:val="0"/>
        <w:keepLines w:val="0"/>
        <w:pageBreakBefore w:val="0"/>
        <w:widowControl w:val="0"/>
        <w:numPr>
          <w:ilvl w:val="0"/>
          <w:numId w:val="4"/>
        </w:numPr>
        <w:kinsoku/>
        <w:wordWrap/>
        <w:overflowPunct/>
        <w:topLinePunct w:val="0"/>
        <w:autoSpaceDE/>
        <w:autoSpaceDN/>
        <w:bidi w:val="0"/>
        <w:adjustRightInd/>
        <w:snapToGrid/>
        <w:spacing w:beforeAutospacing="0" w:afterLines="0" w:afterAutospacing="0" w:line="560" w:lineRule="exact"/>
        <w:ind w:left="1630" w:leftChars="0" w:hanging="990" w:firstLineChars="0"/>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主要监管指标</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Autospacing="0" w:afterLines="0" w:afterAutospacing="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截至202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年12月末，主要监管指标情况如下：</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1.资本充足率</w:t>
      </w:r>
      <w:r>
        <w:rPr>
          <w:rFonts w:hint="eastAsia" w:ascii="Times New Roman" w:hAnsi="Times New Roman" w:eastAsia="仿宋_GB2312" w:cs="Times New Roman"/>
          <w:color w:val="auto"/>
          <w:sz w:val="32"/>
          <w:szCs w:val="32"/>
          <w:highlight w:val="none"/>
          <w:lang w:val="en-US" w:eastAsia="zh-CN"/>
        </w:rPr>
        <w:t>12.3</w:t>
      </w:r>
      <w:r>
        <w:rPr>
          <w:rFonts w:hint="default" w:ascii="Times New Roman" w:hAnsi="Times New Roman" w:eastAsia="仿宋_GB2312" w:cs="Times New Roman"/>
          <w:color w:val="auto"/>
          <w:sz w:val="32"/>
          <w:szCs w:val="32"/>
          <w:highlight w:val="none"/>
        </w:rPr>
        <w:t>%，较年初</w:t>
      </w:r>
      <w:r>
        <w:rPr>
          <w:rFonts w:hint="eastAsia" w:ascii="Times New Roman" w:hAnsi="Times New Roman" w:eastAsia="仿宋_GB2312" w:cs="Times New Roman"/>
          <w:color w:val="auto"/>
          <w:sz w:val="32"/>
          <w:szCs w:val="32"/>
          <w:highlight w:val="none"/>
          <w:lang w:val="en-US" w:eastAsia="zh-CN"/>
        </w:rPr>
        <w:t>下降0.21</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.拨备覆盖率</w:t>
      </w:r>
      <w:r>
        <w:rPr>
          <w:rFonts w:hint="eastAsia" w:ascii="Times New Roman" w:hAnsi="Times New Roman" w:eastAsia="仿宋_GB2312" w:cs="Times New Roman"/>
          <w:color w:val="auto"/>
          <w:sz w:val="32"/>
          <w:szCs w:val="32"/>
          <w:highlight w:val="none"/>
          <w:lang w:val="en-US" w:eastAsia="zh-CN"/>
        </w:rPr>
        <w:t>167.04</w:t>
      </w:r>
      <w:r>
        <w:rPr>
          <w:rFonts w:hint="default" w:ascii="Times New Roman" w:hAnsi="Times New Roman" w:eastAsia="仿宋_GB2312" w:cs="Times New Roman"/>
          <w:color w:val="auto"/>
          <w:sz w:val="32"/>
          <w:szCs w:val="32"/>
          <w:highlight w:val="none"/>
        </w:rPr>
        <w:t>%，较年初上升</w:t>
      </w:r>
      <w:r>
        <w:rPr>
          <w:rFonts w:hint="eastAsia" w:ascii="Times New Roman" w:hAnsi="Times New Roman" w:eastAsia="仿宋_GB2312" w:cs="Times New Roman"/>
          <w:color w:val="auto"/>
          <w:sz w:val="32"/>
          <w:szCs w:val="32"/>
          <w:highlight w:val="none"/>
          <w:lang w:val="en-US" w:eastAsia="zh-CN"/>
        </w:rPr>
        <w:t>0.18</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.流动性比例</w:t>
      </w:r>
      <w:r>
        <w:rPr>
          <w:rFonts w:hint="eastAsia" w:ascii="Times New Roman" w:hAnsi="Times New Roman" w:eastAsia="仿宋_GB2312" w:cs="Times New Roman"/>
          <w:color w:val="auto"/>
          <w:sz w:val="32"/>
          <w:szCs w:val="32"/>
          <w:highlight w:val="none"/>
          <w:lang w:val="en-US" w:eastAsia="zh-CN"/>
        </w:rPr>
        <w:t>44.75</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较年初上升</w:t>
      </w:r>
      <w:r>
        <w:rPr>
          <w:rFonts w:hint="eastAsia" w:ascii="Times New Roman" w:hAnsi="Times New Roman" w:eastAsia="仿宋_GB2312" w:cs="Times New Roman"/>
          <w:color w:val="auto"/>
          <w:sz w:val="32"/>
          <w:szCs w:val="32"/>
          <w:highlight w:val="none"/>
          <w:lang w:val="en-US" w:eastAsia="zh-CN"/>
        </w:rPr>
        <w:t>0.47</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.资产利润率</w:t>
      </w:r>
      <w:r>
        <w:rPr>
          <w:rFonts w:hint="eastAsia" w:ascii="Times New Roman" w:hAnsi="Times New Roman" w:eastAsia="仿宋_GB2312" w:cs="Times New Roman"/>
          <w:color w:val="auto"/>
          <w:sz w:val="32"/>
          <w:szCs w:val="32"/>
          <w:highlight w:val="none"/>
          <w:lang w:val="en-US" w:eastAsia="zh-CN"/>
        </w:rPr>
        <w:t>0.4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较上年同期</w:t>
      </w:r>
      <w:r>
        <w:rPr>
          <w:rFonts w:hint="eastAsia" w:ascii="Times New Roman" w:hAnsi="Times New Roman" w:eastAsia="仿宋_GB2312" w:cs="Times New Roman"/>
          <w:color w:val="auto"/>
          <w:sz w:val="32"/>
          <w:szCs w:val="32"/>
          <w:highlight w:val="none"/>
          <w:lang w:val="en-US" w:eastAsia="zh-CN"/>
        </w:rPr>
        <w:t>上升0.02个百分点</w:t>
      </w:r>
      <w:r>
        <w:rPr>
          <w:rFonts w:hint="default" w:ascii="Times New Roman" w:hAnsi="Times New Roman" w:eastAsia="仿宋_GB2312" w:cs="Times New Roman"/>
          <w:color w:val="auto"/>
          <w:sz w:val="32"/>
          <w:szCs w:val="32"/>
          <w:highlight w:val="none"/>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.资本利润率</w:t>
      </w: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78</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，较上年同期上升</w:t>
      </w:r>
      <w:r>
        <w:rPr>
          <w:rFonts w:hint="eastAsia" w:ascii="Times New Roman" w:hAnsi="Times New Roman" w:eastAsia="仿宋_GB2312" w:cs="Times New Roman"/>
          <w:color w:val="auto"/>
          <w:sz w:val="32"/>
          <w:szCs w:val="32"/>
          <w:highlight w:val="none"/>
          <w:lang w:val="en-US" w:eastAsia="zh-CN"/>
        </w:rPr>
        <w:t>0.29</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6.成本收入比</w:t>
      </w:r>
      <w:r>
        <w:rPr>
          <w:rFonts w:hint="eastAsia" w:ascii="Times New Roman" w:hAnsi="Times New Roman" w:eastAsia="仿宋_GB2312" w:cs="Times New Roman"/>
          <w:color w:val="auto"/>
          <w:sz w:val="32"/>
          <w:szCs w:val="32"/>
          <w:highlight w:val="none"/>
          <w:lang w:val="en-US" w:eastAsia="zh-CN"/>
        </w:rPr>
        <w:t>44.94</w:t>
      </w:r>
      <w:r>
        <w:rPr>
          <w:rFonts w:hint="default" w:ascii="Times New Roman" w:hAnsi="Times New Roman" w:eastAsia="仿宋_GB2312" w:cs="Times New Roman"/>
          <w:color w:val="auto"/>
          <w:sz w:val="32"/>
          <w:szCs w:val="32"/>
          <w:highlight w:val="none"/>
          <w:lang w:val="en-US" w:eastAsia="zh-CN"/>
        </w:rPr>
        <w:t>%，较上年同期下降</w:t>
      </w:r>
      <w:r>
        <w:rPr>
          <w:rFonts w:hint="eastAsia" w:ascii="Times New Roman" w:hAnsi="Times New Roman" w:eastAsia="仿宋_GB2312" w:cs="Times New Roman"/>
          <w:color w:val="auto"/>
          <w:sz w:val="32"/>
          <w:szCs w:val="32"/>
          <w:highlight w:val="none"/>
          <w:lang w:val="en-US" w:eastAsia="zh-CN"/>
        </w:rPr>
        <w:t>6.76</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7.不良贷款率4.1%，较年初下降0.</w:t>
      </w:r>
      <w:r>
        <w:rPr>
          <w:rFonts w:hint="eastAsia" w:ascii="Times New Roman" w:hAnsi="Times New Roman" w:eastAsia="仿宋_GB2312" w:cs="Times New Roman"/>
          <w:color w:val="auto"/>
          <w:sz w:val="32"/>
          <w:szCs w:val="32"/>
          <w:highlight w:val="none"/>
          <w:lang w:val="en-US" w:eastAsia="zh-CN"/>
        </w:rPr>
        <w:t>02</w:t>
      </w:r>
      <w:r>
        <w:rPr>
          <w:rFonts w:hint="default" w:ascii="Times New Roman" w:hAnsi="Times New Roman" w:eastAsia="仿宋_GB2312" w:cs="Times New Roman"/>
          <w:color w:val="auto"/>
          <w:sz w:val="32"/>
          <w:szCs w:val="32"/>
          <w:highlight w:val="none"/>
          <w:lang w:val="en-US" w:eastAsia="zh-CN"/>
        </w:rPr>
        <w:t>个百分点。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w:t>
      </w:r>
      <w:r>
        <w:rPr>
          <w:rFonts w:hint="default" w:ascii="Times New Roman" w:hAnsi="Times New Roman" w:eastAsia="黑体" w:cs="Times New Roman"/>
          <w:b w:val="0"/>
          <w:bCs w:val="0"/>
          <w:color w:val="auto"/>
          <w:sz w:val="32"/>
          <w:szCs w:val="32"/>
          <w:highlight w:val="none"/>
          <w:lang w:eastAsia="zh-CN"/>
        </w:rPr>
        <w:t>202</w:t>
      </w:r>
      <w:r>
        <w:rPr>
          <w:rFonts w:hint="eastAsia" w:eastAsia="黑体" w:cs="Times New Roman"/>
          <w:b w:val="0"/>
          <w:bCs w:val="0"/>
          <w:color w:val="auto"/>
          <w:sz w:val="32"/>
          <w:szCs w:val="32"/>
          <w:highlight w:val="none"/>
          <w:lang w:val="en-US" w:eastAsia="zh-CN"/>
        </w:rPr>
        <w:t>4</w:t>
      </w:r>
      <w:r>
        <w:rPr>
          <w:rFonts w:hint="default" w:ascii="Times New Roman" w:hAnsi="Times New Roman" w:eastAsia="黑体" w:cs="Times New Roman"/>
          <w:b w:val="0"/>
          <w:bCs w:val="0"/>
          <w:color w:val="auto"/>
          <w:sz w:val="32"/>
          <w:szCs w:val="32"/>
          <w:highlight w:val="none"/>
        </w:rPr>
        <w:t>年财务决算状况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（一）实现</w:t>
      </w:r>
      <w:r>
        <w:rPr>
          <w:rFonts w:hint="default" w:ascii="Times New Roman" w:hAnsi="Times New Roman" w:eastAsia="仿宋_GB2312" w:cs="Times New Roman"/>
          <w:b w:val="0"/>
          <w:bCs w:val="0"/>
          <w:color w:val="auto"/>
          <w:sz w:val="32"/>
          <w:szCs w:val="32"/>
          <w:highlight w:val="none"/>
        </w:rPr>
        <w:t>各项收入</w:t>
      </w:r>
      <w:r>
        <w:rPr>
          <w:rFonts w:hint="eastAsia" w:cs="Times New Roman"/>
          <w:bCs/>
          <w:color w:val="auto"/>
          <w:sz w:val="32"/>
          <w:szCs w:val="32"/>
          <w:highlight w:val="none"/>
          <w:lang w:val="en-US" w:eastAsia="zh-CN"/>
        </w:rPr>
        <w:t>8.66</w:t>
      </w:r>
      <w:r>
        <w:rPr>
          <w:rFonts w:hint="default" w:ascii="Times New Roman" w:hAnsi="Times New Roman" w:eastAsia="仿宋_GB2312" w:cs="Times New Roman"/>
          <w:b w:val="0"/>
          <w:bCs w:val="0"/>
          <w:color w:val="auto"/>
          <w:sz w:val="32"/>
          <w:szCs w:val="32"/>
          <w:highlight w:val="none"/>
          <w:lang w:val="en-US" w:eastAsia="zh-CN"/>
        </w:rPr>
        <w:t>亿</w:t>
      </w:r>
      <w:r>
        <w:rPr>
          <w:rFonts w:hint="default" w:ascii="Times New Roman" w:hAnsi="Times New Roman" w:eastAsia="仿宋_GB2312" w:cs="Times New Roman"/>
          <w:b w:val="0"/>
          <w:bCs w:val="0"/>
          <w:color w:val="auto"/>
          <w:sz w:val="32"/>
          <w:szCs w:val="32"/>
          <w:highlight w:val="none"/>
        </w:rPr>
        <w:t>元</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较上年同期增加</w:t>
      </w:r>
      <w:r>
        <w:rPr>
          <w:rFonts w:hint="eastAsia" w:cs="Times New Roman"/>
          <w:b w:val="0"/>
          <w:bCs w:val="0"/>
          <w:color w:val="auto"/>
          <w:sz w:val="32"/>
          <w:szCs w:val="32"/>
          <w:highlight w:val="none"/>
          <w:lang w:val="en-US" w:eastAsia="zh-CN"/>
        </w:rPr>
        <w:t>0.25</w:t>
      </w:r>
      <w:r>
        <w:rPr>
          <w:rFonts w:hint="default" w:ascii="Times New Roman" w:hAnsi="Times New Roman" w:eastAsia="仿宋_GB2312" w:cs="Times New Roman"/>
          <w:b w:val="0"/>
          <w:bCs w:val="0"/>
          <w:color w:val="auto"/>
          <w:sz w:val="32"/>
          <w:szCs w:val="32"/>
          <w:highlight w:val="none"/>
          <w:lang w:val="en-US" w:eastAsia="zh-CN"/>
        </w:rPr>
        <w:t>亿元，增幅</w:t>
      </w:r>
      <w:r>
        <w:rPr>
          <w:rFonts w:hint="eastAsia"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lang w:val="en-US" w:eastAsia="zh-CN"/>
        </w:rPr>
        <w:t>%，完成全年预算的</w:t>
      </w:r>
      <w:r>
        <w:rPr>
          <w:rFonts w:hint="eastAsia" w:cs="Times New Roman"/>
          <w:b w:val="0"/>
          <w:bCs w:val="0"/>
          <w:color w:val="auto"/>
          <w:sz w:val="32"/>
          <w:szCs w:val="32"/>
          <w:highlight w:val="none"/>
          <w:lang w:val="en-US" w:eastAsia="zh-CN"/>
        </w:rPr>
        <w:t>100.51</w:t>
      </w:r>
      <w:r>
        <w:rPr>
          <w:rFonts w:hint="default" w:ascii="Times New Roman" w:hAnsi="Times New Roman" w:eastAsia="仿宋_GB2312" w:cs="Times New Roman"/>
          <w:b w:val="0"/>
          <w:bCs w:val="0"/>
          <w:color w:val="auto"/>
          <w:sz w:val="32"/>
          <w:szCs w:val="32"/>
          <w:highlight w:val="none"/>
          <w:lang w:val="en-US" w:eastAsia="zh-CN"/>
        </w:rPr>
        <w:t>%。</w:t>
      </w:r>
    </w:p>
    <w:p>
      <w:pPr>
        <w:pStyle w:val="10"/>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bCs w:val="0"/>
          <w:color w:val="auto"/>
          <w:sz w:val="32"/>
          <w:szCs w:val="32"/>
          <w:highlight w:val="none"/>
          <w:lang w:val="en-US" w:eastAsia="zh-CN"/>
        </w:rPr>
      </w:pPr>
      <w:r>
        <w:rPr>
          <w:rFonts w:hint="default" w:ascii="Times New Roman" w:hAnsi="Times New Roman" w:eastAsia="仿宋_GB2312" w:cs="Times New Roman"/>
          <w:bCs w:val="0"/>
          <w:color w:val="auto"/>
          <w:sz w:val="32"/>
          <w:szCs w:val="32"/>
          <w:highlight w:val="none"/>
          <w:lang w:val="en-US" w:eastAsia="zh-CN"/>
        </w:rPr>
        <w:t>（二）实际</w:t>
      </w:r>
      <w:r>
        <w:rPr>
          <w:rFonts w:hint="default" w:ascii="Times New Roman" w:hAnsi="Times New Roman" w:eastAsia="仿宋_GB2312" w:cs="Times New Roman"/>
          <w:bCs w:val="0"/>
          <w:color w:val="auto"/>
          <w:sz w:val="32"/>
          <w:szCs w:val="32"/>
          <w:highlight w:val="none"/>
        </w:rPr>
        <w:t>各项</w:t>
      </w:r>
      <w:r>
        <w:rPr>
          <w:rFonts w:hint="default" w:ascii="Times New Roman" w:hAnsi="Times New Roman" w:eastAsia="仿宋_GB2312" w:cs="Times New Roman"/>
          <w:bCs w:val="0"/>
          <w:color w:val="auto"/>
          <w:sz w:val="32"/>
          <w:szCs w:val="32"/>
          <w:highlight w:val="none"/>
          <w:lang w:val="en-US" w:eastAsia="zh-CN"/>
        </w:rPr>
        <w:t>支出</w:t>
      </w:r>
      <w:r>
        <w:rPr>
          <w:rFonts w:hint="eastAsia" w:ascii="Times New Roman" w:hAnsi="Times New Roman" w:eastAsia="仿宋_GB2312" w:cs="Times New Roman"/>
          <w:bCs w:val="0"/>
          <w:color w:val="auto"/>
          <w:sz w:val="32"/>
          <w:szCs w:val="32"/>
          <w:highlight w:val="none"/>
          <w:lang w:val="en-US" w:eastAsia="zh-CN"/>
        </w:rPr>
        <w:t>7.89</w:t>
      </w:r>
      <w:r>
        <w:rPr>
          <w:rFonts w:hint="default" w:ascii="Times New Roman" w:hAnsi="Times New Roman" w:eastAsia="仿宋_GB2312" w:cs="Times New Roman"/>
          <w:bCs w:val="0"/>
          <w:color w:val="auto"/>
          <w:sz w:val="32"/>
          <w:szCs w:val="32"/>
          <w:highlight w:val="none"/>
          <w:lang w:val="en-US" w:eastAsia="zh-CN"/>
        </w:rPr>
        <w:t>亿</w:t>
      </w:r>
      <w:r>
        <w:rPr>
          <w:rFonts w:hint="default" w:ascii="Times New Roman" w:hAnsi="Times New Roman" w:eastAsia="仿宋_GB2312" w:cs="Times New Roman"/>
          <w:bCs w:val="0"/>
          <w:color w:val="auto"/>
          <w:sz w:val="32"/>
          <w:szCs w:val="32"/>
          <w:highlight w:val="none"/>
        </w:rPr>
        <w:t>元</w:t>
      </w:r>
      <w:r>
        <w:rPr>
          <w:rFonts w:hint="default" w:ascii="Times New Roman" w:hAnsi="Times New Roman" w:eastAsia="仿宋_GB2312" w:cs="Times New Roman"/>
          <w:bCs w:val="0"/>
          <w:color w:val="auto"/>
          <w:sz w:val="32"/>
          <w:szCs w:val="32"/>
          <w:highlight w:val="none"/>
          <w:lang w:eastAsia="zh-CN"/>
        </w:rPr>
        <w:t>，</w:t>
      </w:r>
      <w:r>
        <w:rPr>
          <w:rFonts w:hint="default" w:ascii="Times New Roman" w:hAnsi="Times New Roman" w:eastAsia="仿宋_GB2312" w:cs="Times New Roman"/>
          <w:bCs w:val="0"/>
          <w:color w:val="auto"/>
          <w:sz w:val="32"/>
          <w:szCs w:val="32"/>
          <w:highlight w:val="none"/>
          <w:lang w:val="en-US" w:eastAsia="zh-CN"/>
        </w:rPr>
        <w:t>较上年同期</w:t>
      </w:r>
      <w:r>
        <w:rPr>
          <w:rFonts w:hint="eastAsia" w:ascii="Times New Roman" w:hAnsi="Times New Roman" w:eastAsia="仿宋_GB2312" w:cs="Times New Roman"/>
          <w:bCs w:val="0"/>
          <w:color w:val="auto"/>
          <w:sz w:val="32"/>
          <w:szCs w:val="32"/>
          <w:highlight w:val="none"/>
          <w:lang w:val="en-US" w:eastAsia="zh-CN"/>
        </w:rPr>
        <w:t>增加0.41</w:t>
      </w:r>
      <w:r>
        <w:rPr>
          <w:rFonts w:hint="default" w:ascii="Times New Roman" w:hAnsi="Times New Roman" w:eastAsia="仿宋_GB2312" w:cs="Times New Roman"/>
          <w:bCs w:val="0"/>
          <w:color w:val="auto"/>
          <w:sz w:val="32"/>
          <w:szCs w:val="32"/>
          <w:highlight w:val="none"/>
          <w:lang w:val="en-US" w:eastAsia="zh-CN"/>
        </w:rPr>
        <w:t>亿元，增幅</w:t>
      </w:r>
      <w:r>
        <w:rPr>
          <w:rFonts w:hint="eastAsia" w:ascii="Times New Roman" w:hAnsi="Times New Roman" w:eastAsia="仿宋_GB2312" w:cs="Times New Roman"/>
          <w:bCs w:val="0"/>
          <w:color w:val="auto"/>
          <w:sz w:val="32"/>
          <w:szCs w:val="32"/>
          <w:highlight w:val="none"/>
          <w:lang w:val="en-US" w:eastAsia="zh-CN"/>
        </w:rPr>
        <w:t>5.46</w:t>
      </w:r>
      <w:r>
        <w:rPr>
          <w:rFonts w:hint="default" w:ascii="Times New Roman" w:hAnsi="Times New Roman" w:eastAsia="仿宋_GB2312" w:cs="Times New Roman"/>
          <w:bCs w:val="0"/>
          <w:color w:val="auto"/>
          <w:sz w:val="32"/>
          <w:szCs w:val="32"/>
          <w:highlight w:val="none"/>
          <w:lang w:val="en-US" w:eastAsia="zh-CN"/>
        </w:rPr>
        <w:t>%，使用全年预算的</w:t>
      </w:r>
      <w:r>
        <w:rPr>
          <w:rFonts w:hint="eastAsia" w:ascii="Times New Roman" w:hAnsi="Times New Roman" w:eastAsia="仿宋_GB2312" w:cs="Times New Roman"/>
          <w:bCs w:val="0"/>
          <w:color w:val="auto"/>
          <w:sz w:val="32"/>
          <w:szCs w:val="32"/>
          <w:highlight w:val="none"/>
          <w:lang w:val="en-US" w:eastAsia="zh-CN"/>
        </w:rPr>
        <w:t>106.48</w:t>
      </w:r>
      <w:r>
        <w:rPr>
          <w:rFonts w:hint="default" w:ascii="Times New Roman" w:hAnsi="Times New Roman" w:eastAsia="仿宋_GB2312" w:cs="Times New Roman"/>
          <w:bCs w:val="0"/>
          <w:color w:val="auto"/>
          <w:sz w:val="32"/>
          <w:szCs w:val="32"/>
          <w:highlight w:val="none"/>
          <w:lang w:val="en-US" w:eastAsia="zh-CN"/>
        </w:rPr>
        <w:t>%。</w:t>
      </w:r>
    </w:p>
    <w:p>
      <w:pPr>
        <w:pStyle w:val="10"/>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bCs w:val="0"/>
          <w:color w:val="auto"/>
          <w:sz w:val="32"/>
          <w:szCs w:val="32"/>
          <w:highlight w:val="none"/>
          <w:lang w:val="en-US" w:eastAsia="zh-CN"/>
        </w:rPr>
      </w:pPr>
      <w:r>
        <w:rPr>
          <w:rFonts w:hint="default" w:ascii="Times New Roman" w:hAnsi="Times New Roman" w:eastAsia="仿宋_GB2312" w:cs="Times New Roman"/>
          <w:bCs w:val="0"/>
          <w:color w:val="auto"/>
          <w:sz w:val="32"/>
          <w:szCs w:val="32"/>
          <w:highlight w:val="none"/>
          <w:lang w:val="en-US" w:eastAsia="zh-CN"/>
        </w:rPr>
        <w:t>（</w:t>
      </w:r>
      <w:r>
        <w:rPr>
          <w:rFonts w:hint="default" w:ascii="Times New Roman" w:hAnsi="Times New Roman" w:eastAsia="仿宋_GB2312" w:cs="Times New Roman"/>
          <w:bCs/>
          <w:color w:val="auto"/>
          <w:kern w:val="2"/>
          <w:sz w:val="32"/>
          <w:szCs w:val="32"/>
          <w:highlight w:val="none"/>
          <w:lang w:val="en-US" w:eastAsia="zh-CN" w:bidi="ar-SA"/>
        </w:rPr>
        <w:t>三）实现利润总额</w:t>
      </w:r>
      <w:r>
        <w:rPr>
          <w:rFonts w:hint="eastAsia" w:ascii="Times New Roman" w:hAnsi="Times New Roman" w:eastAsia="仿宋_GB2312" w:cs="Times New Roman"/>
          <w:bCs/>
          <w:color w:val="auto"/>
          <w:kern w:val="2"/>
          <w:sz w:val="32"/>
          <w:szCs w:val="32"/>
          <w:highlight w:val="none"/>
          <w:lang w:val="en-US" w:eastAsia="zh-CN" w:bidi="ar-SA"/>
        </w:rPr>
        <w:t>0.77</w:t>
      </w:r>
      <w:r>
        <w:rPr>
          <w:rFonts w:hint="default" w:ascii="Times New Roman" w:hAnsi="Times New Roman" w:eastAsia="仿宋_GB2312" w:cs="Times New Roman"/>
          <w:bCs/>
          <w:color w:val="auto"/>
          <w:kern w:val="2"/>
          <w:sz w:val="32"/>
          <w:szCs w:val="32"/>
          <w:highlight w:val="none"/>
          <w:lang w:val="en-US" w:eastAsia="zh-CN" w:bidi="ar-SA"/>
        </w:rPr>
        <w:t>亿元，较上年同期</w:t>
      </w:r>
      <w:r>
        <w:rPr>
          <w:rFonts w:hint="eastAsia" w:ascii="Times New Roman" w:hAnsi="Times New Roman" w:eastAsia="仿宋_GB2312" w:cs="Times New Roman"/>
          <w:bCs/>
          <w:color w:val="auto"/>
          <w:kern w:val="2"/>
          <w:sz w:val="32"/>
          <w:szCs w:val="32"/>
          <w:highlight w:val="none"/>
          <w:lang w:val="en-US" w:eastAsia="zh-CN" w:bidi="ar-SA"/>
        </w:rPr>
        <w:t>减少0.15亿</w:t>
      </w:r>
      <w:r>
        <w:rPr>
          <w:rFonts w:hint="default" w:ascii="Times New Roman" w:hAnsi="Times New Roman" w:eastAsia="仿宋_GB2312" w:cs="Times New Roman"/>
          <w:bCs/>
          <w:color w:val="auto"/>
          <w:kern w:val="2"/>
          <w:sz w:val="32"/>
          <w:szCs w:val="32"/>
          <w:highlight w:val="none"/>
          <w:lang w:val="en-US" w:eastAsia="zh-CN" w:bidi="ar-SA"/>
        </w:rPr>
        <w:t>元，</w:t>
      </w:r>
      <w:r>
        <w:rPr>
          <w:rFonts w:hint="eastAsia" w:ascii="Times New Roman" w:hAnsi="Times New Roman" w:eastAsia="仿宋_GB2312" w:cs="Times New Roman"/>
          <w:bCs/>
          <w:color w:val="auto"/>
          <w:kern w:val="2"/>
          <w:sz w:val="32"/>
          <w:szCs w:val="32"/>
          <w:highlight w:val="none"/>
          <w:lang w:val="en-US" w:eastAsia="zh-CN" w:bidi="ar-SA"/>
        </w:rPr>
        <w:t>降幅16.95</w:t>
      </w:r>
      <w:r>
        <w:rPr>
          <w:rFonts w:hint="default" w:ascii="Times New Roman" w:hAnsi="Times New Roman" w:eastAsia="仿宋_GB2312" w:cs="Times New Roman"/>
          <w:bCs/>
          <w:color w:val="auto"/>
          <w:kern w:val="2"/>
          <w:sz w:val="32"/>
          <w:szCs w:val="32"/>
          <w:highlight w:val="none"/>
          <w:lang w:val="en-US" w:eastAsia="zh-CN" w:bidi="ar-SA"/>
        </w:rPr>
        <w:t>%，完成全年预算的</w:t>
      </w:r>
      <w:r>
        <w:rPr>
          <w:rFonts w:hint="eastAsia" w:ascii="Times New Roman" w:hAnsi="Times New Roman" w:eastAsia="仿宋_GB2312" w:cs="Times New Roman"/>
          <w:bCs/>
          <w:color w:val="auto"/>
          <w:kern w:val="2"/>
          <w:sz w:val="32"/>
          <w:szCs w:val="32"/>
          <w:highlight w:val="none"/>
          <w:lang w:val="en-US" w:eastAsia="zh-CN" w:bidi="ar-SA"/>
        </w:rPr>
        <w:t>63.88</w:t>
      </w:r>
      <w:r>
        <w:rPr>
          <w:rFonts w:hint="default" w:ascii="Times New Roman" w:hAnsi="Times New Roman" w:eastAsia="仿宋_GB2312" w:cs="Times New Roman"/>
          <w:bCs/>
          <w:color w:val="auto"/>
          <w:kern w:val="2"/>
          <w:sz w:val="32"/>
          <w:szCs w:val="32"/>
          <w:highlight w:val="none"/>
          <w:lang w:val="en-US" w:eastAsia="zh-CN" w:bidi="ar-SA"/>
        </w:rPr>
        <w:t>%。</w:t>
      </w:r>
    </w:p>
    <w:p>
      <w:pPr>
        <w:pStyle w:val="10"/>
        <w:keepNext w:val="0"/>
        <w:keepLines w:val="0"/>
        <w:pageBreakBefore w:val="0"/>
        <w:kinsoku/>
        <w:wordWrap/>
        <w:topLinePunct w:val="0"/>
        <w:bidi w:val="0"/>
        <w:spacing w:line="560" w:lineRule="exact"/>
        <w:ind w:firstLine="640" w:firstLineChars="200"/>
        <w:rPr>
          <w:rFonts w:hint="default" w:ascii="Times New Roman" w:hAnsi="Times New Roman" w:eastAsia="仿宋_GB2312" w:cs="Times New Roman"/>
          <w:bCs w:val="0"/>
          <w:color w:val="auto"/>
          <w:sz w:val="32"/>
          <w:szCs w:val="32"/>
          <w:highlight w:val="none"/>
          <w:lang w:val="en-US" w:eastAsia="zh-CN"/>
        </w:rPr>
      </w:pPr>
      <w:r>
        <w:rPr>
          <w:rFonts w:hint="default" w:ascii="Times New Roman" w:hAnsi="Times New Roman" w:eastAsia="仿宋_GB2312" w:cs="Times New Roman"/>
          <w:bCs w:val="0"/>
          <w:color w:val="auto"/>
          <w:sz w:val="32"/>
          <w:szCs w:val="32"/>
          <w:highlight w:val="none"/>
          <w:lang w:val="en-US" w:eastAsia="zh-CN"/>
        </w:rPr>
        <w:t>（四）实现净利润</w:t>
      </w:r>
      <w:r>
        <w:rPr>
          <w:rFonts w:hint="eastAsia" w:ascii="Times New Roman" w:hAnsi="Times New Roman" w:eastAsia="仿宋_GB2312" w:cs="Times New Roman"/>
          <w:bCs w:val="0"/>
          <w:color w:val="auto"/>
          <w:sz w:val="32"/>
          <w:szCs w:val="32"/>
          <w:highlight w:val="none"/>
          <w:lang w:val="en-US" w:eastAsia="zh-CN"/>
        </w:rPr>
        <w:t>0.67</w:t>
      </w:r>
      <w:r>
        <w:rPr>
          <w:rFonts w:hint="default" w:ascii="Times New Roman" w:hAnsi="Times New Roman" w:eastAsia="仿宋_GB2312" w:cs="Times New Roman"/>
          <w:bCs w:val="0"/>
          <w:color w:val="auto"/>
          <w:sz w:val="32"/>
          <w:szCs w:val="32"/>
          <w:highlight w:val="none"/>
          <w:lang w:val="en-US" w:eastAsia="zh-CN"/>
        </w:rPr>
        <w:t>亿元，较上年同期增加</w:t>
      </w:r>
      <w:r>
        <w:rPr>
          <w:rFonts w:hint="eastAsia" w:ascii="Times New Roman" w:hAnsi="Times New Roman" w:eastAsia="仿宋_GB2312" w:cs="Times New Roman"/>
          <w:bCs w:val="0"/>
          <w:color w:val="auto"/>
          <w:sz w:val="32"/>
          <w:szCs w:val="32"/>
          <w:highlight w:val="none"/>
          <w:lang w:val="en-US" w:eastAsia="zh-CN"/>
        </w:rPr>
        <w:t>0.06亿</w:t>
      </w:r>
      <w:r>
        <w:rPr>
          <w:rFonts w:hint="default" w:ascii="Times New Roman" w:hAnsi="Times New Roman" w:eastAsia="仿宋_GB2312" w:cs="Times New Roman"/>
          <w:bCs w:val="0"/>
          <w:color w:val="auto"/>
          <w:sz w:val="32"/>
          <w:szCs w:val="32"/>
          <w:highlight w:val="none"/>
          <w:lang w:val="en-US" w:eastAsia="zh-CN"/>
        </w:rPr>
        <w:t>元，增幅10%，完成全年预算的100%。</w:t>
      </w:r>
    </w:p>
    <w:p>
      <w:pPr>
        <w:pStyle w:val="10"/>
        <w:keepNext w:val="0"/>
        <w:keepLines w:val="0"/>
        <w:pageBreakBefore w:val="0"/>
        <w:kinsoku/>
        <w:wordWrap/>
        <w:topLinePunct w:val="0"/>
        <w:bidi w:val="0"/>
        <w:spacing w:after="0" w:line="560" w:lineRule="exact"/>
        <w:ind w:firstLine="640" w:firstLineChars="200"/>
        <w:rPr>
          <w:rFonts w:hint="default" w:ascii="Times New Roman" w:hAnsi="Times New Roman" w:eastAsia="楷体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val="en-US" w:eastAsia="zh-CN"/>
        </w:rPr>
        <w:t>（五）以前年度损益调整情况。</w:t>
      </w:r>
    </w:p>
    <w:p>
      <w:pPr>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仿宋_GB2312" w:cs="Times New Roman"/>
          <w:bCs/>
          <w:color w:val="auto"/>
          <w:sz w:val="32"/>
          <w:szCs w:val="32"/>
          <w:highlight w:val="none"/>
          <w:lang w:val="en-US" w:eastAsia="zh-CN"/>
        </w:rPr>
        <w:t>结转以前年度利得7724.80万元。主要为确认2023年度以前递延所得税利得6041.61万元，以前年度损失1458.42万元；2024年汇算2023年企业所得税</w:t>
      </w:r>
      <w:r>
        <w:rPr>
          <w:rFonts w:hint="eastAsia" w:cs="Times New Roman"/>
          <w:bCs/>
          <w:color w:val="auto"/>
          <w:sz w:val="32"/>
          <w:szCs w:val="32"/>
          <w:highlight w:val="none"/>
          <w:lang w:val="en-US" w:eastAsia="zh-CN"/>
        </w:rPr>
        <w:t>市场化批量转让</w:t>
      </w:r>
      <w:r>
        <w:rPr>
          <w:rFonts w:hint="default" w:ascii="Times New Roman" w:hAnsi="Times New Roman" w:eastAsia="仿宋_GB2312" w:cs="Times New Roman"/>
          <w:bCs/>
          <w:color w:val="auto"/>
          <w:sz w:val="32"/>
          <w:szCs w:val="32"/>
          <w:highlight w:val="none"/>
          <w:lang w:val="en-US" w:eastAsia="zh-CN"/>
        </w:rPr>
        <w:t>损失税前扣除后应纳税所得额为负数转回2023年度利得3172.93万元；根据省联社文件调整人力外包费至以前年度损失31.31万元。综上2023年以前年度利得9214.53万元，以前年度损失1489.73万元。</w:t>
      </w:r>
    </w:p>
    <w:p>
      <w:pPr>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楷体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val="en-US" w:eastAsia="zh-CN"/>
        </w:rPr>
        <w:t>（六）监管指标完成情况。</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1.资本充足率</w:t>
      </w:r>
      <w:r>
        <w:rPr>
          <w:rFonts w:hint="eastAsia" w:ascii="Times New Roman" w:hAnsi="Times New Roman" w:eastAsia="仿宋_GB2312" w:cs="Times New Roman"/>
          <w:color w:val="auto"/>
          <w:sz w:val="32"/>
          <w:szCs w:val="32"/>
          <w:highlight w:val="none"/>
          <w:lang w:val="en-US" w:eastAsia="zh-CN"/>
        </w:rPr>
        <w:t>12.3</w:t>
      </w:r>
      <w:r>
        <w:rPr>
          <w:rFonts w:hint="default" w:ascii="Times New Roman" w:hAnsi="Times New Roman" w:eastAsia="仿宋_GB2312" w:cs="Times New Roman"/>
          <w:color w:val="auto"/>
          <w:sz w:val="32"/>
          <w:szCs w:val="32"/>
          <w:highlight w:val="none"/>
        </w:rPr>
        <w:t>%，较年初下降0.21个百分点，</w:t>
      </w:r>
      <w:r>
        <w:rPr>
          <w:rFonts w:hint="default" w:ascii="Times New Roman" w:hAnsi="Times New Roman" w:eastAsia="仿宋_GB2312" w:cs="Times New Roman"/>
          <w:color w:val="auto"/>
          <w:sz w:val="32"/>
          <w:szCs w:val="32"/>
          <w:highlight w:val="none"/>
          <w:lang w:val="en-US" w:eastAsia="zh-CN"/>
        </w:rPr>
        <w:t>高</w:t>
      </w:r>
      <w:r>
        <w:rPr>
          <w:rFonts w:hint="default" w:ascii="Times New Roman" w:hAnsi="Times New Roman" w:eastAsia="仿宋_GB2312" w:cs="Times New Roman"/>
          <w:color w:val="auto"/>
          <w:sz w:val="32"/>
          <w:szCs w:val="32"/>
          <w:highlight w:val="none"/>
        </w:rPr>
        <w:t>于预算</w:t>
      </w:r>
      <w:r>
        <w:rPr>
          <w:rFonts w:hint="eastAsia" w:ascii="Times New Roman" w:hAnsi="Times New Roman" w:eastAsia="仿宋_GB2312" w:cs="Times New Roman"/>
          <w:color w:val="auto"/>
          <w:sz w:val="32"/>
          <w:szCs w:val="32"/>
          <w:highlight w:val="none"/>
          <w:lang w:val="en-US" w:eastAsia="zh-CN"/>
        </w:rPr>
        <w:t>0.8</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高于</w:t>
      </w:r>
      <w:r>
        <w:rPr>
          <w:rFonts w:hint="default" w:ascii="Times New Roman" w:hAnsi="Times New Roman" w:eastAsia="仿宋_GB2312" w:cs="Times New Roman"/>
          <w:color w:val="auto"/>
          <w:sz w:val="32"/>
          <w:szCs w:val="32"/>
          <w:highlight w:val="none"/>
          <w:lang w:eastAsia="zh-CN"/>
        </w:rPr>
        <w:t>监管标准</w:t>
      </w:r>
      <w:r>
        <w:rPr>
          <w:rFonts w:hint="eastAsia" w:ascii="Times New Roman" w:hAnsi="Times New Roman" w:eastAsia="仿宋_GB2312" w:cs="Times New Roman"/>
          <w:color w:val="auto"/>
          <w:sz w:val="32"/>
          <w:szCs w:val="32"/>
          <w:highlight w:val="none"/>
          <w:lang w:val="en-US" w:eastAsia="zh-CN"/>
        </w:rPr>
        <w:t>1.8</w:t>
      </w:r>
      <w:r>
        <w:rPr>
          <w:rFonts w:hint="default" w:ascii="Times New Roman" w:hAnsi="Times New Roman" w:eastAsia="仿宋_GB2312" w:cs="Times New Roman"/>
          <w:color w:val="auto"/>
          <w:sz w:val="32"/>
          <w:szCs w:val="32"/>
          <w:highlight w:val="none"/>
          <w:lang w:val="en-US" w:eastAsia="zh-CN"/>
        </w:rPr>
        <w:t>个百分点</w:t>
      </w:r>
      <w:r>
        <w:rPr>
          <w:rFonts w:hint="default" w:ascii="Times New Roman" w:hAnsi="Times New Roman" w:eastAsia="仿宋_GB2312" w:cs="Times New Roman"/>
          <w:color w:val="auto"/>
          <w:sz w:val="32"/>
          <w:szCs w:val="32"/>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.拨备覆盖率167.04%，较年初上升0.18个百分点，</w:t>
      </w:r>
      <w:r>
        <w:rPr>
          <w:rFonts w:hint="default" w:ascii="Times New Roman" w:hAnsi="Times New Roman" w:eastAsia="仿宋_GB2312" w:cs="Times New Roman"/>
          <w:color w:val="auto"/>
          <w:sz w:val="32"/>
          <w:szCs w:val="32"/>
          <w:highlight w:val="none"/>
          <w:lang w:eastAsia="zh-CN"/>
        </w:rPr>
        <w:t>高于预算</w:t>
      </w:r>
      <w:r>
        <w:rPr>
          <w:rFonts w:hint="eastAsia" w:ascii="Times New Roman" w:hAnsi="Times New Roman" w:eastAsia="仿宋_GB2312" w:cs="Times New Roman"/>
          <w:color w:val="auto"/>
          <w:sz w:val="32"/>
          <w:szCs w:val="32"/>
          <w:highlight w:val="none"/>
          <w:lang w:val="en-US" w:eastAsia="zh-CN"/>
        </w:rPr>
        <w:t>2.04</w:t>
      </w:r>
      <w:r>
        <w:rPr>
          <w:rFonts w:hint="default" w:ascii="Times New Roman" w:hAnsi="Times New Roman" w:eastAsia="仿宋_GB2312" w:cs="Times New Roman"/>
          <w:color w:val="auto"/>
          <w:sz w:val="32"/>
          <w:szCs w:val="32"/>
          <w:highlight w:val="none"/>
        </w:rPr>
        <w:t>个百分点</w:t>
      </w:r>
      <w:r>
        <w:rPr>
          <w:rFonts w:hint="default" w:ascii="Times New Roman" w:hAnsi="Times New Roman" w:eastAsia="仿宋_GB2312" w:cs="Times New Roman"/>
          <w:color w:val="auto"/>
          <w:sz w:val="32"/>
          <w:szCs w:val="32"/>
          <w:highlight w:val="none"/>
          <w:lang w:eastAsia="zh-CN"/>
        </w:rPr>
        <w:t>，高于监管标准</w:t>
      </w:r>
      <w:r>
        <w:rPr>
          <w:rFonts w:hint="eastAsia" w:ascii="Times New Roman" w:hAnsi="Times New Roman" w:eastAsia="仿宋_GB2312" w:cs="Times New Roman"/>
          <w:color w:val="auto"/>
          <w:sz w:val="32"/>
          <w:szCs w:val="32"/>
          <w:highlight w:val="none"/>
          <w:lang w:val="en-US" w:eastAsia="zh-CN"/>
        </w:rPr>
        <w:t>17.04</w:t>
      </w:r>
      <w:r>
        <w:rPr>
          <w:rFonts w:hint="default" w:ascii="Times New Roman" w:hAnsi="Times New Roman" w:eastAsia="仿宋_GB2312" w:cs="Times New Roman"/>
          <w:color w:val="auto"/>
          <w:sz w:val="32"/>
          <w:szCs w:val="32"/>
          <w:highlight w:val="none"/>
          <w:lang w:val="en-US" w:eastAsia="zh-CN"/>
        </w:rPr>
        <w:t>个百分点</w:t>
      </w:r>
      <w:r>
        <w:rPr>
          <w:rFonts w:hint="default" w:ascii="Times New Roman" w:hAnsi="Times New Roman" w:eastAsia="仿宋_GB2312" w:cs="Times New Roman"/>
          <w:color w:val="auto"/>
          <w:sz w:val="32"/>
          <w:szCs w:val="32"/>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.流动性比例44.75%，较年初上升0.47个百分点</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低</w:t>
      </w:r>
      <w:r>
        <w:rPr>
          <w:rFonts w:hint="default" w:ascii="Times New Roman" w:hAnsi="Times New Roman" w:eastAsia="仿宋_GB2312" w:cs="Times New Roman"/>
          <w:color w:val="auto"/>
          <w:sz w:val="32"/>
          <w:szCs w:val="32"/>
          <w:highlight w:val="none"/>
          <w:lang w:val="en-US" w:eastAsia="zh-CN"/>
        </w:rPr>
        <w:t>于预算</w:t>
      </w:r>
      <w:r>
        <w:rPr>
          <w:rFonts w:hint="eastAsia" w:ascii="Times New Roman" w:hAnsi="Times New Roman" w:eastAsia="仿宋_GB2312" w:cs="Times New Roman"/>
          <w:color w:val="auto"/>
          <w:sz w:val="32"/>
          <w:szCs w:val="32"/>
          <w:highlight w:val="none"/>
          <w:lang w:val="en-US" w:eastAsia="zh-CN"/>
        </w:rPr>
        <w:t>0.25</w:t>
      </w:r>
      <w:r>
        <w:rPr>
          <w:rFonts w:hint="default" w:ascii="Times New Roman" w:hAnsi="Times New Roman" w:eastAsia="仿宋_GB2312" w:cs="Times New Roman"/>
          <w:color w:val="auto"/>
          <w:sz w:val="32"/>
          <w:szCs w:val="32"/>
          <w:highlight w:val="none"/>
          <w:lang w:val="en-US" w:eastAsia="zh-CN"/>
        </w:rPr>
        <w:t>个百分点，高于监管标准</w:t>
      </w:r>
      <w:r>
        <w:rPr>
          <w:rFonts w:hint="eastAsia" w:ascii="Times New Roman" w:hAnsi="Times New Roman" w:eastAsia="仿宋_GB2312" w:cs="Times New Roman"/>
          <w:color w:val="auto"/>
          <w:sz w:val="32"/>
          <w:szCs w:val="32"/>
          <w:highlight w:val="none"/>
          <w:lang w:val="en-US" w:eastAsia="zh-CN"/>
        </w:rPr>
        <w:t>19.75</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.资产利润率</w:t>
      </w:r>
      <w:r>
        <w:rPr>
          <w:rFonts w:hint="eastAsia" w:ascii="Times New Roman" w:hAnsi="Times New Roman" w:eastAsia="仿宋_GB2312" w:cs="Times New Roman"/>
          <w:color w:val="auto"/>
          <w:sz w:val="32"/>
          <w:szCs w:val="32"/>
          <w:highlight w:val="none"/>
          <w:lang w:val="en-US" w:eastAsia="zh-CN"/>
        </w:rPr>
        <w:t>0.4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较上年同期</w:t>
      </w:r>
      <w:r>
        <w:rPr>
          <w:rFonts w:hint="eastAsia" w:ascii="Times New Roman" w:hAnsi="Times New Roman" w:eastAsia="仿宋_GB2312" w:cs="Times New Roman"/>
          <w:color w:val="auto"/>
          <w:sz w:val="32"/>
          <w:szCs w:val="32"/>
          <w:highlight w:val="none"/>
          <w:lang w:val="en-US" w:eastAsia="zh-CN"/>
        </w:rPr>
        <w:t>上升0.02个百分点</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高于</w:t>
      </w:r>
      <w:r>
        <w:rPr>
          <w:rFonts w:hint="default" w:ascii="Times New Roman" w:hAnsi="Times New Roman" w:eastAsia="仿宋_GB2312" w:cs="Times New Roman"/>
          <w:color w:val="auto"/>
          <w:sz w:val="32"/>
          <w:szCs w:val="32"/>
          <w:highlight w:val="none"/>
          <w:lang w:val="en-US" w:eastAsia="zh-CN"/>
        </w:rPr>
        <w:t>预算</w:t>
      </w:r>
      <w:r>
        <w:rPr>
          <w:rFonts w:hint="eastAsia" w:ascii="Times New Roman" w:hAnsi="Times New Roman" w:eastAsia="仿宋_GB2312" w:cs="Times New Roman"/>
          <w:color w:val="auto"/>
          <w:sz w:val="32"/>
          <w:szCs w:val="32"/>
          <w:highlight w:val="none"/>
          <w:lang w:val="en-US" w:eastAsia="zh-CN"/>
        </w:rPr>
        <w:t>0.01</w:t>
      </w:r>
      <w:r>
        <w:rPr>
          <w:rFonts w:hint="default" w:ascii="Times New Roman" w:hAnsi="Times New Roman" w:eastAsia="仿宋_GB2312" w:cs="Times New Roman"/>
          <w:color w:val="auto"/>
          <w:sz w:val="32"/>
          <w:szCs w:val="32"/>
          <w:highlight w:val="none"/>
          <w:lang w:val="en-US" w:eastAsia="zh-CN"/>
        </w:rPr>
        <w:t>个百分点，低于监管标准</w:t>
      </w:r>
      <w:r>
        <w:rPr>
          <w:rFonts w:hint="eastAsia" w:ascii="Times New Roman" w:hAnsi="Times New Roman" w:eastAsia="仿宋_GB2312" w:cs="Times New Roman"/>
          <w:color w:val="auto"/>
          <w:sz w:val="32"/>
          <w:szCs w:val="32"/>
          <w:highlight w:val="none"/>
          <w:lang w:val="en-US" w:eastAsia="zh-CN"/>
        </w:rPr>
        <w:t>0.2</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.资本利润率</w:t>
      </w: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78</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，较上年同期上升0</w:t>
      </w:r>
      <w:r>
        <w:rPr>
          <w:rFonts w:hint="eastAsia"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Times New Roman"/>
          <w:color w:val="auto"/>
          <w:sz w:val="32"/>
          <w:szCs w:val="32"/>
          <w:highlight w:val="none"/>
          <w:lang w:val="en-US" w:eastAsia="zh-CN"/>
        </w:rPr>
        <w:t>个百分点，</w:t>
      </w:r>
      <w:r>
        <w:rPr>
          <w:rFonts w:hint="eastAsia" w:ascii="Times New Roman" w:hAnsi="Times New Roman" w:eastAsia="仿宋_GB2312" w:cs="Times New Roman"/>
          <w:color w:val="auto"/>
          <w:sz w:val="32"/>
          <w:szCs w:val="32"/>
          <w:highlight w:val="none"/>
          <w:lang w:val="en-US" w:eastAsia="zh-CN"/>
        </w:rPr>
        <w:t>高于</w:t>
      </w:r>
      <w:r>
        <w:rPr>
          <w:rFonts w:hint="default" w:ascii="Times New Roman" w:hAnsi="Times New Roman" w:eastAsia="仿宋_GB2312" w:cs="Times New Roman"/>
          <w:color w:val="auto"/>
          <w:sz w:val="32"/>
          <w:szCs w:val="32"/>
          <w:highlight w:val="none"/>
          <w:lang w:val="en-US" w:eastAsia="zh-CN"/>
        </w:rPr>
        <w:t>预算</w:t>
      </w:r>
      <w:r>
        <w:rPr>
          <w:rFonts w:hint="eastAsia" w:ascii="Times New Roman" w:hAnsi="Times New Roman" w:eastAsia="仿宋_GB2312" w:cs="Times New Roman"/>
          <w:color w:val="auto"/>
          <w:sz w:val="32"/>
          <w:szCs w:val="32"/>
          <w:highlight w:val="none"/>
          <w:lang w:val="en-US" w:eastAsia="zh-CN"/>
        </w:rPr>
        <w:t>0.2</w:t>
      </w:r>
      <w:r>
        <w:rPr>
          <w:rFonts w:hint="default" w:ascii="Times New Roman" w:hAnsi="Times New Roman" w:eastAsia="仿宋_GB2312" w:cs="Times New Roman"/>
          <w:color w:val="auto"/>
          <w:sz w:val="32"/>
          <w:szCs w:val="32"/>
          <w:highlight w:val="none"/>
          <w:lang w:val="en-US" w:eastAsia="zh-CN"/>
        </w:rPr>
        <w:t>个百分点，低于监管标准</w:t>
      </w:r>
      <w:r>
        <w:rPr>
          <w:rFonts w:hint="eastAsia" w:ascii="Times New Roman" w:hAnsi="Times New Roman" w:eastAsia="仿宋_GB2312" w:cs="Times New Roman"/>
          <w:color w:val="auto"/>
          <w:sz w:val="32"/>
          <w:szCs w:val="32"/>
          <w:highlight w:val="none"/>
          <w:lang w:val="en-US" w:eastAsia="zh-CN"/>
        </w:rPr>
        <w:t>6.22</w:t>
      </w:r>
      <w:r>
        <w:rPr>
          <w:rFonts w:hint="default" w:ascii="Times New Roman" w:hAnsi="Times New Roman" w:eastAsia="仿宋_GB2312" w:cs="Times New Roman"/>
          <w:color w:val="auto"/>
          <w:sz w:val="32"/>
          <w:szCs w:val="32"/>
          <w:highlight w:val="none"/>
          <w:lang w:val="en-US" w:eastAsia="zh-CN"/>
        </w:rPr>
        <w:t>个百分点；</w:t>
      </w:r>
    </w:p>
    <w:p>
      <w:pPr>
        <w:pStyle w:val="10"/>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6.成本收入比</w:t>
      </w:r>
      <w:r>
        <w:rPr>
          <w:rFonts w:hint="eastAsia" w:ascii="Times New Roman" w:hAnsi="Times New Roman" w:eastAsia="仿宋_GB2312" w:cs="Times New Roman"/>
          <w:color w:val="auto"/>
          <w:sz w:val="32"/>
          <w:szCs w:val="32"/>
          <w:highlight w:val="none"/>
          <w:lang w:val="en-US" w:eastAsia="zh-CN"/>
        </w:rPr>
        <w:t>44.94</w:t>
      </w:r>
      <w:r>
        <w:rPr>
          <w:rFonts w:hint="default" w:ascii="Times New Roman" w:hAnsi="Times New Roman" w:eastAsia="仿宋_GB2312" w:cs="Times New Roman"/>
          <w:color w:val="auto"/>
          <w:sz w:val="32"/>
          <w:szCs w:val="32"/>
          <w:highlight w:val="none"/>
          <w:lang w:val="en-US" w:eastAsia="zh-CN"/>
        </w:rPr>
        <w:t>%，较上年同期下降</w:t>
      </w:r>
      <w:r>
        <w:rPr>
          <w:rFonts w:hint="eastAsia" w:ascii="Times New Roman" w:hAnsi="Times New Roman" w:eastAsia="仿宋_GB2312" w:cs="Times New Roman"/>
          <w:color w:val="auto"/>
          <w:sz w:val="32"/>
          <w:szCs w:val="32"/>
          <w:highlight w:val="none"/>
          <w:lang w:val="en-US" w:eastAsia="zh-CN"/>
        </w:rPr>
        <w:t>6.76</w:t>
      </w:r>
      <w:r>
        <w:rPr>
          <w:rFonts w:hint="default" w:ascii="Times New Roman" w:hAnsi="Times New Roman" w:eastAsia="仿宋_GB2312" w:cs="Times New Roman"/>
          <w:color w:val="auto"/>
          <w:sz w:val="32"/>
          <w:szCs w:val="32"/>
          <w:highlight w:val="none"/>
          <w:lang w:val="en-US" w:eastAsia="zh-CN"/>
        </w:rPr>
        <w:t>百分点，低于预算</w:t>
      </w:r>
      <w:r>
        <w:rPr>
          <w:rFonts w:hint="eastAsia" w:ascii="Times New Roman" w:hAnsi="Times New Roman" w:eastAsia="仿宋_GB2312" w:cs="Times New Roman"/>
          <w:color w:val="auto"/>
          <w:sz w:val="32"/>
          <w:szCs w:val="32"/>
          <w:highlight w:val="none"/>
          <w:lang w:val="en-US" w:eastAsia="zh-CN"/>
        </w:rPr>
        <w:t>2.65</w:t>
      </w:r>
      <w:r>
        <w:rPr>
          <w:rFonts w:hint="default" w:ascii="Times New Roman" w:hAnsi="Times New Roman" w:eastAsia="仿宋_GB2312" w:cs="Times New Roman"/>
          <w:color w:val="auto"/>
          <w:sz w:val="32"/>
          <w:szCs w:val="32"/>
          <w:highlight w:val="none"/>
          <w:lang w:val="en-US" w:eastAsia="zh-CN"/>
        </w:rPr>
        <w:t>个百分点，高于监管标准</w:t>
      </w:r>
      <w:r>
        <w:rPr>
          <w:rFonts w:hint="eastAsia" w:ascii="Times New Roman" w:hAnsi="Times New Roman" w:eastAsia="仿宋_GB2312" w:cs="Times New Roman"/>
          <w:color w:val="auto"/>
          <w:sz w:val="32"/>
          <w:szCs w:val="32"/>
          <w:highlight w:val="none"/>
          <w:lang w:val="en-US" w:eastAsia="zh-CN"/>
        </w:rPr>
        <w:t>9.94</w:t>
      </w:r>
      <w:r>
        <w:rPr>
          <w:rFonts w:hint="default" w:ascii="Times New Roman" w:hAnsi="Times New Roman" w:eastAsia="仿宋_GB2312" w:cs="Times New Roman"/>
          <w:color w:val="auto"/>
          <w:sz w:val="32"/>
          <w:szCs w:val="32"/>
          <w:highlight w:val="none"/>
          <w:lang w:val="en-US" w:eastAsia="zh-CN"/>
        </w:rPr>
        <w:t>个百分点</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eastAsia" w:ascii="黑体" w:hAnsi="黑体" w:eastAsia="黑体" w:cs="黑体"/>
          <w:bCs/>
          <w:color w:val="auto"/>
          <w:sz w:val="32"/>
          <w:szCs w:val="32"/>
          <w:highlight w:val="none"/>
          <w:lang w:val="en-US" w:eastAsia="zh-CN"/>
        </w:rPr>
      </w:pPr>
      <w:bookmarkStart w:id="1" w:name="_Toc10109"/>
      <w:r>
        <w:rPr>
          <w:rFonts w:hint="eastAsia" w:ascii="黑体" w:hAnsi="黑体" w:eastAsia="黑体" w:cs="黑体"/>
          <w:bCs/>
          <w:color w:val="auto"/>
          <w:sz w:val="32"/>
          <w:szCs w:val="32"/>
          <w:highlight w:val="none"/>
          <w:lang w:val="en-US" w:eastAsia="zh-CN"/>
        </w:rPr>
        <w:t>三、2025</w:t>
      </w:r>
      <w:r>
        <w:rPr>
          <w:rFonts w:hint="eastAsia" w:ascii="黑体" w:hAnsi="黑体" w:eastAsia="黑体" w:cs="黑体"/>
          <w:bCs/>
          <w:color w:val="auto"/>
          <w:sz w:val="32"/>
          <w:szCs w:val="32"/>
          <w:highlight w:val="none"/>
        </w:rPr>
        <w:t>年</w:t>
      </w:r>
      <w:r>
        <w:rPr>
          <w:rFonts w:hint="eastAsia" w:ascii="黑体" w:hAnsi="黑体" w:eastAsia="黑体" w:cs="黑体"/>
          <w:bCs/>
          <w:color w:val="auto"/>
          <w:sz w:val="32"/>
          <w:szCs w:val="32"/>
          <w:highlight w:val="none"/>
          <w:lang w:val="en-US" w:eastAsia="zh-CN"/>
        </w:rPr>
        <w:t>度</w:t>
      </w:r>
      <w:r>
        <w:rPr>
          <w:rFonts w:hint="eastAsia" w:ascii="黑体" w:hAnsi="黑体" w:eastAsia="黑体" w:cs="黑体"/>
          <w:bCs/>
          <w:color w:val="auto"/>
          <w:sz w:val="32"/>
          <w:szCs w:val="32"/>
          <w:highlight w:val="none"/>
        </w:rPr>
        <w:t>财务预算</w:t>
      </w:r>
      <w:bookmarkEnd w:id="1"/>
      <w:r>
        <w:rPr>
          <w:rFonts w:hint="eastAsia" w:ascii="黑体" w:hAnsi="黑体" w:eastAsia="黑体" w:cs="黑体"/>
          <w:bCs/>
          <w:color w:val="auto"/>
          <w:sz w:val="32"/>
          <w:szCs w:val="32"/>
          <w:highlight w:val="none"/>
          <w:lang w:eastAsia="zh-CN"/>
        </w:rPr>
        <w:t>方案</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Cs/>
          <w:color w:val="auto"/>
          <w:sz w:val="32"/>
          <w:szCs w:val="32"/>
          <w:highlight w:val="none"/>
        </w:rPr>
        <w:t>我</w:t>
      </w:r>
      <w:r>
        <w:rPr>
          <w:rFonts w:hint="default" w:ascii="Times New Roman" w:hAnsi="Times New Roman" w:eastAsia="仿宋_GB2312" w:cs="Times New Roman"/>
          <w:bCs/>
          <w:color w:val="auto"/>
          <w:sz w:val="32"/>
          <w:szCs w:val="32"/>
          <w:highlight w:val="none"/>
          <w:lang w:val="en-US" w:eastAsia="zh-CN"/>
        </w:rPr>
        <w:t>行</w:t>
      </w:r>
      <w:r>
        <w:rPr>
          <w:rFonts w:hint="default" w:ascii="Times New Roman" w:hAnsi="Times New Roman" w:eastAsia="仿宋_GB2312" w:cs="Times New Roman"/>
          <w:color w:val="auto"/>
          <w:kern w:val="0"/>
          <w:sz w:val="32"/>
          <w:szCs w:val="32"/>
          <w:highlight w:val="none"/>
          <w:lang w:val="en-US" w:eastAsia="zh-CN" w:bidi="ar"/>
        </w:rPr>
        <w:t>坚持“资源围绕效益走”的原则，通过</w:t>
      </w:r>
      <w:r>
        <w:rPr>
          <w:rFonts w:hint="eastAsia" w:cs="Times New Roman"/>
          <w:color w:val="auto"/>
          <w:kern w:val="0"/>
          <w:sz w:val="32"/>
          <w:szCs w:val="32"/>
          <w:highlight w:val="none"/>
          <w:lang w:val="en-US" w:eastAsia="zh-CN" w:bidi="ar"/>
        </w:rPr>
        <w:t>“强支行，向发展要效益”，</w:t>
      </w:r>
      <w:r>
        <w:rPr>
          <w:rFonts w:hint="default" w:ascii="Times New Roman" w:hAnsi="Times New Roman" w:eastAsia="仿宋_GB2312" w:cs="Times New Roman"/>
          <w:bCs/>
          <w:color w:val="auto"/>
          <w:sz w:val="32"/>
          <w:szCs w:val="32"/>
          <w:highlight w:val="none"/>
          <w:lang w:eastAsia="zh-CN"/>
        </w:rPr>
        <w:t>以</w:t>
      </w:r>
      <w:r>
        <w:rPr>
          <w:rFonts w:hint="default" w:ascii="Times New Roman" w:hAnsi="Times New Roman" w:eastAsia="仿宋_GB2312" w:cs="Times New Roman"/>
          <w:color w:val="auto"/>
          <w:kern w:val="0"/>
          <w:sz w:val="32"/>
          <w:szCs w:val="32"/>
          <w:highlight w:val="none"/>
          <w:lang w:val="en-US" w:eastAsia="zh-CN" w:bidi="ar"/>
        </w:rPr>
        <w:t>全面提升经营效能增强财务可持续性为目标，</w:t>
      </w:r>
      <w:r>
        <w:rPr>
          <w:rFonts w:hint="default" w:ascii="Times New Roman" w:hAnsi="Times New Roman" w:eastAsia="仿宋_GB2312" w:cs="Times New Roman"/>
          <w:bCs/>
          <w:color w:val="auto"/>
          <w:sz w:val="32"/>
          <w:szCs w:val="32"/>
          <w:highlight w:val="none"/>
          <w:lang w:eastAsia="zh-CN"/>
        </w:rPr>
        <w:t>根据</w:t>
      </w:r>
      <w:r>
        <w:rPr>
          <w:rFonts w:hint="default" w:ascii="Times New Roman" w:hAnsi="Times New Roman" w:eastAsia="仿宋_GB2312" w:cs="Times New Roman"/>
          <w:bCs/>
          <w:color w:val="auto"/>
          <w:sz w:val="32"/>
          <w:szCs w:val="32"/>
          <w:highlight w:val="none"/>
          <w:lang w:val="en-US" w:eastAsia="zh-CN"/>
        </w:rPr>
        <w:t>202</w:t>
      </w:r>
      <w:r>
        <w:rPr>
          <w:rFonts w:hint="eastAsia" w:cs="Times New Roman"/>
          <w:bCs/>
          <w:color w:val="auto"/>
          <w:sz w:val="32"/>
          <w:szCs w:val="32"/>
          <w:highlight w:val="none"/>
          <w:lang w:val="en-US" w:eastAsia="zh-CN"/>
        </w:rPr>
        <w:t>5</w:t>
      </w:r>
      <w:r>
        <w:rPr>
          <w:rFonts w:hint="default" w:ascii="Times New Roman" w:hAnsi="Times New Roman" w:eastAsia="仿宋_GB2312" w:cs="Times New Roman"/>
          <w:bCs/>
          <w:color w:val="auto"/>
          <w:sz w:val="32"/>
          <w:szCs w:val="32"/>
          <w:highlight w:val="none"/>
        </w:rPr>
        <w:t>年度各项业务发展规划</w:t>
      </w:r>
      <w:r>
        <w:rPr>
          <w:rFonts w:hint="default" w:ascii="Times New Roman" w:hAnsi="Times New Roman" w:eastAsia="仿宋_GB2312" w:cs="Times New Roman"/>
          <w:bCs/>
          <w:color w:val="auto"/>
          <w:sz w:val="32"/>
          <w:szCs w:val="32"/>
          <w:highlight w:val="none"/>
          <w:lang w:eastAsia="zh-CN"/>
        </w:rPr>
        <w:t>，结合</w:t>
      </w:r>
      <w:r>
        <w:rPr>
          <w:rFonts w:hint="default" w:ascii="Times New Roman" w:hAnsi="Times New Roman" w:eastAsia="仿宋_GB2312" w:cs="Times New Roman"/>
          <w:color w:val="auto"/>
          <w:sz w:val="32"/>
          <w:szCs w:val="32"/>
          <w:highlight w:val="none"/>
          <w:lang w:val="en-US" w:eastAsia="zh-CN"/>
        </w:rPr>
        <w:t>内外部经营环境变化进行财务预算编制</w:t>
      </w:r>
      <w:r>
        <w:rPr>
          <w:rFonts w:hint="default" w:ascii="Times New Roman" w:hAnsi="Times New Roman" w:eastAsia="仿宋_GB2312" w:cs="Times New Roman"/>
          <w:color w:val="auto"/>
          <w:sz w:val="32"/>
          <w:szCs w:val="32"/>
          <w:highlight w:val="none"/>
        </w:rPr>
        <w:t>，现</w:t>
      </w:r>
      <w:r>
        <w:rPr>
          <w:rFonts w:hint="default" w:ascii="Times New Roman" w:hAnsi="Times New Roman" w:eastAsia="仿宋_GB2312" w:cs="Times New Roman"/>
          <w:color w:val="auto"/>
          <w:sz w:val="32"/>
          <w:szCs w:val="32"/>
          <w:highlight w:val="none"/>
          <w:lang w:eastAsia="zh-CN"/>
        </w:rPr>
        <w:t>将202</w:t>
      </w:r>
      <w:r>
        <w:rPr>
          <w:rFonts w:hint="eastAsia"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eastAsia="zh-CN"/>
        </w:rPr>
        <w:t>年度财务</w:t>
      </w:r>
      <w:r>
        <w:rPr>
          <w:rFonts w:hint="default" w:ascii="Times New Roman" w:hAnsi="Times New Roman" w:eastAsia="仿宋_GB2312" w:cs="Times New Roman"/>
          <w:color w:val="auto"/>
          <w:sz w:val="32"/>
          <w:szCs w:val="32"/>
          <w:highlight w:val="none"/>
          <w:lang w:val="en-US" w:eastAsia="zh-CN"/>
        </w:rPr>
        <w:t>预算方案报告如下：</w:t>
      </w:r>
    </w:p>
    <w:p>
      <w:pPr>
        <w:keepNext w:val="0"/>
        <w:keepLines w:val="0"/>
        <w:pageBreakBefore w:val="0"/>
        <w:widowControl/>
        <w:kinsoku/>
        <w:wordWrap/>
        <w:overflowPunct/>
        <w:topLinePunct w:val="0"/>
        <w:autoSpaceDE/>
        <w:autoSpaceDN/>
        <w:bidi w:val="0"/>
        <w:adjustRightInd/>
        <w:snapToGrid/>
        <w:spacing w:afterLines="0" w:line="560" w:lineRule="exact"/>
        <w:ind w:firstLine="640" w:firstLineChars="200"/>
        <w:jc w:val="left"/>
        <w:textAlignment w:val="auto"/>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仿宋_GB2312" w:cs="Times New Roman"/>
          <w:bCs/>
          <w:color w:val="auto"/>
          <w:sz w:val="32"/>
          <w:szCs w:val="32"/>
          <w:highlight w:val="none"/>
        </w:rPr>
        <w:t>202</w:t>
      </w:r>
      <w:r>
        <w:rPr>
          <w:rFonts w:hint="eastAsia" w:cs="Times New Roman"/>
          <w:bCs/>
          <w:color w:val="auto"/>
          <w:sz w:val="32"/>
          <w:szCs w:val="32"/>
          <w:highlight w:val="none"/>
          <w:lang w:val="en-US" w:eastAsia="zh-CN"/>
        </w:rPr>
        <w:t>5</w:t>
      </w:r>
      <w:r>
        <w:rPr>
          <w:rFonts w:hint="default" w:ascii="Times New Roman" w:hAnsi="Times New Roman" w:eastAsia="仿宋_GB2312" w:cs="Times New Roman"/>
          <w:bCs/>
          <w:color w:val="auto"/>
          <w:sz w:val="32"/>
          <w:szCs w:val="32"/>
          <w:highlight w:val="none"/>
        </w:rPr>
        <w:t>年，预算各项贷款增幅</w:t>
      </w:r>
      <w:r>
        <w:rPr>
          <w:rFonts w:hint="eastAsia" w:cs="Times New Roman"/>
          <w:bCs/>
          <w:color w:val="auto"/>
          <w:sz w:val="32"/>
          <w:szCs w:val="32"/>
          <w:highlight w:val="none"/>
          <w:lang w:val="en-US" w:eastAsia="zh-CN"/>
        </w:rPr>
        <w:t>8.5</w:t>
      </w:r>
      <w:r>
        <w:rPr>
          <w:rFonts w:hint="default" w:ascii="Times New Roman" w:hAnsi="Times New Roman" w:eastAsia="仿宋_GB2312" w:cs="Times New Roman"/>
          <w:bCs/>
          <w:color w:val="auto"/>
          <w:sz w:val="32"/>
          <w:szCs w:val="32"/>
          <w:highlight w:val="none"/>
        </w:rPr>
        <w:t>%；各项存款增幅</w:t>
      </w:r>
      <w:r>
        <w:rPr>
          <w:rFonts w:hint="eastAsia" w:cs="Times New Roman"/>
          <w:bCs/>
          <w:color w:val="auto"/>
          <w:sz w:val="32"/>
          <w:szCs w:val="32"/>
          <w:highlight w:val="none"/>
          <w:lang w:val="en-US" w:eastAsia="zh-CN"/>
        </w:rPr>
        <w:t>8.5</w:t>
      </w:r>
      <w:r>
        <w:rPr>
          <w:rFonts w:hint="default" w:ascii="Times New Roman" w:hAnsi="Times New Roman" w:eastAsia="仿宋_GB2312" w:cs="Times New Roman"/>
          <w:bCs/>
          <w:color w:val="auto"/>
          <w:sz w:val="32"/>
          <w:szCs w:val="32"/>
          <w:highlight w:val="none"/>
        </w:rPr>
        <w:t>%；各项收入增幅</w:t>
      </w:r>
      <w:r>
        <w:rPr>
          <w:rFonts w:hint="eastAsia" w:cs="Times New Roman"/>
          <w:bCs/>
          <w:color w:val="auto"/>
          <w:sz w:val="32"/>
          <w:szCs w:val="32"/>
          <w:highlight w:val="none"/>
          <w:lang w:val="en-US" w:eastAsia="zh-CN"/>
        </w:rPr>
        <w:t>0.58</w:t>
      </w:r>
      <w:r>
        <w:rPr>
          <w:rFonts w:hint="default" w:ascii="Times New Roman" w:hAnsi="Times New Roman" w:eastAsia="仿宋_GB2312" w:cs="Times New Roman"/>
          <w:bCs/>
          <w:color w:val="auto"/>
          <w:sz w:val="32"/>
          <w:szCs w:val="32"/>
          <w:highlight w:val="none"/>
        </w:rPr>
        <w:t>%；各项支出降幅</w:t>
      </w:r>
      <w:r>
        <w:rPr>
          <w:rFonts w:hint="eastAsia" w:cs="Times New Roman"/>
          <w:bCs/>
          <w:color w:val="auto"/>
          <w:sz w:val="32"/>
          <w:szCs w:val="32"/>
          <w:highlight w:val="none"/>
          <w:lang w:val="en-US" w:eastAsia="zh-CN"/>
        </w:rPr>
        <w:t>0.4</w:t>
      </w:r>
      <w:r>
        <w:rPr>
          <w:rFonts w:hint="default" w:ascii="Times New Roman" w:hAnsi="Times New Roman" w:eastAsia="仿宋_GB2312" w:cs="Times New Roman"/>
          <w:bCs/>
          <w:color w:val="auto"/>
          <w:sz w:val="32"/>
          <w:szCs w:val="32"/>
          <w:highlight w:val="none"/>
        </w:rPr>
        <w:t>%；实现利润总额</w:t>
      </w:r>
      <w:r>
        <w:rPr>
          <w:rFonts w:hint="eastAsia" w:cs="Times New Roman"/>
          <w:bCs/>
          <w:color w:val="auto"/>
          <w:sz w:val="32"/>
          <w:szCs w:val="32"/>
          <w:highlight w:val="none"/>
          <w:lang w:val="en-US" w:eastAsia="zh-CN"/>
        </w:rPr>
        <w:t>0.85</w:t>
      </w:r>
      <w:r>
        <w:rPr>
          <w:rFonts w:hint="default" w:ascii="Times New Roman" w:hAnsi="Times New Roman" w:eastAsia="仿宋_GB2312" w:cs="Times New Roman"/>
          <w:bCs/>
          <w:color w:val="auto"/>
          <w:sz w:val="32"/>
          <w:szCs w:val="32"/>
          <w:highlight w:val="none"/>
          <w:lang w:val="en-US" w:eastAsia="zh-CN"/>
        </w:rPr>
        <w:t>亿元</w:t>
      </w:r>
      <w:r>
        <w:rPr>
          <w:rFonts w:hint="default" w:ascii="Times New Roman" w:hAnsi="Times New Roman" w:eastAsia="仿宋_GB2312" w:cs="Times New Roman"/>
          <w:bCs/>
          <w:color w:val="auto"/>
          <w:sz w:val="32"/>
          <w:szCs w:val="32"/>
          <w:highlight w:val="none"/>
        </w:rPr>
        <w:t>，净利润</w:t>
      </w:r>
      <w:r>
        <w:rPr>
          <w:rFonts w:hint="default" w:ascii="Times New Roman" w:hAnsi="Times New Roman" w:eastAsia="仿宋_GB2312" w:cs="Times New Roman"/>
          <w:bCs/>
          <w:color w:val="auto"/>
          <w:sz w:val="32"/>
          <w:szCs w:val="32"/>
          <w:highlight w:val="none"/>
          <w:lang w:val="en-US" w:eastAsia="zh-CN"/>
        </w:rPr>
        <w:t>0.</w:t>
      </w:r>
      <w:r>
        <w:rPr>
          <w:rFonts w:hint="eastAsia" w:cs="Times New Roman"/>
          <w:bCs/>
          <w:color w:val="auto"/>
          <w:sz w:val="32"/>
          <w:szCs w:val="32"/>
          <w:highlight w:val="none"/>
          <w:lang w:val="en-US" w:eastAsia="zh-CN"/>
        </w:rPr>
        <w:t>72</w:t>
      </w:r>
      <w:r>
        <w:rPr>
          <w:rFonts w:hint="default" w:ascii="Times New Roman" w:hAnsi="Times New Roman" w:eastAsia="仿宋_GB2312" w:cs="Times New Roman"/>
          <w:bCs/>
          <w:color w:val="auto"/>
          <w:sz w:val="32"/>
          <w:szCs w:val="32"/>
          <w:highlight w:val="none"/>
          <w:lang w:val="en-US" w:eastAsia="zh-CN"/>
        </w:rPr>
        <w:t>亿</w:t>
      </w:r>
      <w:r>
        <w:rPr>
          <w:rFonts w:hint="default" w:ascii="Times New Roman" w:hAnsi="Times New Roman" w:eastAsia="仿宋_GB2312" w:cs="Times New Roman"/>
          <w:bCs/>
          <w:color w:val="auto"/>
          <w:sz w:val="32"/>
          <w:szCs w:val="32"/>
          <w:highlight w:val="none"/>
        </w:rPr>
        <w:t>元。具体预算如下:</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楷体_GB2312" w:cs="Times New Roman"/>
          <w:bCs/>
          <w:color w:val="auto"/>
          <w:sz w:val="32"/>
          <w:szCs w:val="32"/>
          <w:highlight w:val="none"/>
        </w:rPr>
      </w:pPr>
      <w:r>
        <w:rPr>
          <w:rFonts w:hint="default" w:ascii="Times New Roman" w:hAnsi="Times New Roman" w:eastAsia="楷体_GB2312" w:cs="Times New Roman"/>
          <w:bCs/>
          <w:color w:val="auto"/>
          <w:sz w:val="32"/>
          <w:szCs w:val="32"/>
          <w:highlight w:val="none"/>
        </w:rPr>
        <w:t>（一）各项收入预算</w:t>
      </w:r>
      <w:r>
        <w:rPr>
          <w:rFonts w:hint="eastAsia" w:eastAsia="楷体_GB2312" w:cs="Times New Roman"/>
          <w:bCs/>
          <w:color w:val="auto"/>
          <w:sz w:val="32"/>
          <w:szCs w:val="32"/>
          <w:highlight w:val="none"/>
          <w:lang w:val="en-US" w:eastAsia="zh-CN"/>
        </w:rPr>
        <w:t>8.71</w:t>
      </w:r>
      <w:r>
        <w:rPr>
          <w:rFonts w:hint="default" w:ascii="Times New Roman" w:hAnsi="Times New Roman" w:eastAsia="楷体_GB2312" w:cs="Times New Roman"/>
          <w:bCs/>
          <w:color w:val="auto"/>
          <w:sz w:val="32"/>
          <w:szCs w:val="32"/>
          <w:highlight w:val="none"/>
          <w:lang w:val="en-US" w:eastAsia="zh-CN"/>
        </w:rPr>
        <w:t>亿</w:t>
      </w:r>
      <w:r>
        <w:rPr>
          <w:rFonts w:hint="default" w:ascii="Times New Roman" w:hAnsi="Times New Roman" w:eastAsia="楷体_GB2312" w:cs="Times New Roman"/>
          <w:bCs/>
          <w:color w:val="auto"/>
          <w:sz w:val="32"/>
          <w:szCs w:val="32"/>
          <w:highlight w:val="none"/>
        </w:rPr>
        <w:t>元。</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楷体_GB2312" w:cs="Times New Roman"/>
          <w:bCs/>
          <w:color w:val="auto"/>
          <w:sz w:val="32"/>
          <w:szCs w:val="32"/>
          <w:highlight w:val="none"/>
        </w:rPr>
      </w:pPr>
      <w:r>
        <w:rPr>
          <w:rFonts w:hint="default" w:ascii="Times New Roman" w:hAnsi="Times New Roman" w:eastAsia="楷体_GB2312" w:cs="Times New Roman"/>
          <w:bCs/>
          <w:color w:val="auto"/>
          <w:sz w:val="32"/>
          <w:szCs w:val="32"/>
          <w:highlight w:val="none"/>
        </w:rPr>
        <w:t>（二）各项支出预算</w:t>
      </w:r>
      <w:r>
        <w:rPr>
          <w:rFonts w:hint="eastAsia" w:eastAsia="楷体_GB2312" w:cs="Times New Roman"/>
          <w:bCs/>
          <w:color w:val="auto"/>
          <w:sz w:val="32"/>
          <w:szCs w:val="32"/>
          <w:highlight w:val="none"/>
          <w:lang w:val="en-US" w:eastAsia="zh-CN"/>
        </w:rPr>
        <w:t>7.86</w:t>
      </w:r>
      <w:r>
        <w:rPr>
          <w:rFonts w:hint="default" w:ascii="Times New Roman" w:hAnsi="Times New Roman" w:eastAsia="楷体_GB2312" w:cs="Times New Roman"/>
          <w:bCs/>
          <w:color w:val="auto"/>
          <w:sz w:val="32"/>
          <w:szCs w:val="32"/>
          <w:highlight w:val="none"/>
          <w:lang w:val="en-US" w:eastAsia="zh-CN"/>
        </w:rPr>
        <w:t>亿</w:t>
      </w:r>
      <w:r>
        <w:rPr>
          <w:rFonts w:hint="default" w:ascii="Times New Roman" w:hAnsi="Times New Roman" w:eastAsia="楷体_GB2312" w:cs="Times New Roman"/>
          <w:bCs/>
          <w:color w:val="auto"/>
          <w:sz w:val="32"/>
          <w:szCs w:val="32"/>
          <w:highlight w:val="none"/>
        </w:rPr>
        <w:t>元。</w:t>
      </w:r>
    </w:p>
    <w:p>
      <w:pPr>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jc w:val="both"/>
        <w:textAlignment w:val="auto"/>
        <w:rPr>
          <w:rFonts w:hint="default" w:ascii="Times New Roman" w:hAnsi="Times New Roman" w:eastAsia="楷体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eastAsia="zh-CN"/>
        </w:rPr>
        <w:t>（三）</w:t>
      </w:r>
      <w:r>
        <w:rPr>
          <w:rFonts w:hint="default" w:ascii="Times New Roman" w:hAnsi="Times New Roman" w:eastAsia="楷体_GB2312" w:cs="Times New Roman"/>
          <w:bCs/>
          <w:color w:val="auto"/>
          <w:sz w:val="32"/>
          <w:szCs w:val="32"/>
          <w:highlight w:val="none"/>
        </w:rPr>
        <w:t>资</w:t>
      </w:r>
      <w:r>
        <w:rPr>
          <w:rFonts w:hint="default" w:ascii="Times New Roman" w:hAnsi="Times New Roman" w:eastAsia="楷体_GB2312" w:cs="Times New Roman"/>
          <w:bCs/>
          <w:color w:val="auto"/>
          <w:sz w:val="32"/>
          <w:szCs w:val="32"/>
          <w:highlight w:val="none"/>
          <w:lang w:val="en-US" w:eastAsia="zh-CN"/>
        </w:rPr>
        <w:t>产类</w:t>
      </w:r>
      <w:r>
        <w:rPr>
          <w:rFonts w:hint="default" w:ascii="Times New Roman" w:hAnsi="Times New Roman" w:eastAsia="楷体_GB2312" w:cs="Times New Roman"/>
          <w:bCs/>
          <w:color w:val="auto"/>
          <w:sz w:val="32"/>
          <w:szCs w:val="32"/>
          <w:highlight w:val="none"/>
        </w:rPr>
        <w:t>支出预算</w:t>
      </w:r>
      <w:r>
        <w:rPr>
          <w:rFonts w:hint="eastAsia" w:eastAsia="楷体_GB2312" w:cs="Times New Roman"/>
          <w:bCs/>
          <w:color w:val="auto"/>
          <w:sz w:val="32"/>
          <w:szCs w:val="32"/>
          <w:highlight w:val="none"/>
          <w:lang w:val="en-US" w:eastAsia="zh-CN"/>
        </w:rPr>
        <w:t>745.74</w:t>
      </w:r>
      <w:r>
        <w:rPr>
          <w:rFonts w:hint="default" w:ascii="Times New Roman" w:hAnsi="Times New Roman" w:eastAsia="楷体_GB2312" w:cs="Times New Roman"/>
          <w:bCs/>
          <w:color w:val="auto"/>
          <w:sz w:val="32"/>
          <w:szCs w:val="32"/>
          <w:highlight w:val="none"/>
          <w:lang w:val="en-US" w:eastAsia="zh-CN"/>
        </w:rPr>
        <w:t>万元。</w:t>
      </w:r>
    </w:p>
    <w:p>
      <w:pPr>
        <w:keepNext w:val="0"/>
        <w:keepLines w:val="0"/>
        <w:pageBreakBefore w:val="0"/>
        <w:kinsoku/>
        <w:wordWrap/>
        <w:topLinePunct w:val="0"/>
        <w:bidi w:val="0"/>
        <w:spacing w:after="0" w:afterLines="0" w:line="560" w:lineRule="exact"/>
        <w:ind w:firstLine="640" w:firstLineChars="200"/>
        <w:rPr>
          <w:rFonts w:hint="default" w:ascii="Times New Roman" w:hAnsi="Times New Roman" w:eastAsia="楷体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eastAsia="zh-CN"/>
        </w:rPr>
        <w:t>（四）</w:t>
      </w:r>
      <w:r>
        <w:rPr>
          <w:rFonts w:hint="default" w:ascii="Times New Roman" w:hAnsi="Times New Roman" w:eastAsia="楷体_GB2312" w:cs="Times New Roman"/>
          <w:bCs/>
          <w:color w:val="auto"/>
          <w:sz w:val="32"/>
          <w:szCs w:val="32"/>
          <w:highlight w:val="none"/>
          <w:lang w:val="en-US" w:eastAsia="zh-CN"/>
        </w:rPr>
        <w:t>资本规划</w:t>
      </w:r>
      <w:r>
        <w:rPr>
          <w:rFonts w:hint="default" w:ascii="Times New Roman" w:hAnsi="Times New Roman" w:eastAsia="楷体_GB2312" w:cs="Times New Roman"/>
          <w:bCs/>
          <w:color w:val="auto"/>
          <w:sz w:val="32"/>
          <w:szCs w:val="32"/>
          <w:highlight w:val="none"/>
        </w:rPr>
        <w:t>预算</w:t>
      </w:r>
      <w:r>
        <w:rPr>
          <w:rFonts w:hint="default" w:ascii="Times New Roman" w:hAnsi="Times New Roman" w:eastAsia="楷体_GB2312" w:cs="Times New Roman"/>
          <w:bCs/>
          <w:color w:val="auto"/>
          <w:sz w:val="32"/>
          <w:szCs w:val="32"/>
          <w:highlight w:val="none"/>
          <w:lang w:val="en-US" w:eastAsia="zh-CN"/>
        </w:rPr>
        <w:t>。</w:t>
      </w:r>
    </w:p>
    <w:p>
      <w:pPr>
        <w:keepNext w:val="0"/>
        <w:keepLines w:val="0"/>
        <w:pageBreakBefore w:val="0"/>
        <w:kinsoku/>
        <w:wordWrap/>
        <w:topLinePunct w:val="0"/>
        <w:bidi w:val="0"/>
        <w:spacing w:after="0" w:afterLines="0" w:line="560" w:lineRule="exact"/>
        <w:ind w:firstLine="640" w:firstLineChars="200"/>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楷体_GB2312" w:cs="Times New Roman"/>
          <w:bCs/>
          <w:color w:val="auto"/>
          <w:sz w:val="32"/>
          <w:szCs w:val="32"/>
          <w:highlight w:val="none"/>
          <w:lang w:val="en-US" w:eastAsia="zh-CN"/>
        </w:rPr>
        <w:t>202</w:t>
      </w:r>
      <w:r>
        <w:rPr>
          <w:rFonts w:hint="eastAsia" w:eastAsia="楷体_GB2312" w:cs="Times New Roman"/>
          <w:bCs/>
          <w:color w:val="auto"/>
          <w:sz w:val="32"/>
          <w:szCs w:val="32"/>
          <w:highlight w:val="none"/>
          <w:lang w:val="en-US" w:eastAsia="zh-CN"/>
        </w:rPr>
        <w:t>5</w:t>
      </w:r>
      <w:r>
        <w:rPr>
          <w:rFonts w:hint="default" w:ascii="Times New Roman" w:hAnsi="Times New Roman" w:eastAsia="楷体_GB2312" w:cs="Times New Roman"/>
          <w:bCs/>
          <w:color w:val="auto"/>
          <w:sz w:val="32"/>
          <w:szCs w:val="32"/>
          <w:highlight w:val="none"/>
          <w:lang w:val="en-US" w:eastAsia="zh-CN"/>
        </w:rPr>
        <w:t>年无募股、发行资本债计划，预计年末股本总额3.65亿元，年末资本净额</w:t>
      </w:r>
      <w:r>
        <w:rPr>
          <w:rFonts w:hint="eastAsia" w:eastAsia="楷体_GB2312" w:cs="Times New Roman"/>
          <w:bCs/>
          <w:color w:val="auto"/>
          <w:sz w:val="32"/>
          <w:szCs w:val="32"/>
          <w:highlight w:val="none"/>
          <w:lang w:val="en-US" w:eastAsia="zh-CN"/>
        </w:rPr>
        <w:t>15.13</w:t>
      </w:r>
      <w:r>
        <w:rPr>
          <w:rFonts w:hint="default" w:ascii="Times New Roman" w:hAnsi="Times New Roman" w:eastAsia="楷体_GB2312" w:cs="Times New Roman"/>
          <w:bCs/>
          <w:color w:val="auto"/>
          <w:sz w:val="32"/>
          <w:szCs w:val="32"/>
          <w:highlight w:val="none"/>
          <w:lang w:val="en-US" w:eastAsia="zh-CN"/>
        </w:rPr>
        <w:t>亿元。</w:t>
      </w:r>
    </w:p>
    <w:p>
      <w:pPr>
        <w:keepNext w:val="0"/>
        <w:keepLines w:val="0"/>
        <w:pageBreakBefore w:val="0"/>
        <w:widowControl w:val="0"/>
        <w:kinsoku/>
        <w:wordWrap/>
        <w:overflowPunct/>
        <w:topLinePunct w:val="0"/>
        <w:autoSpaceDE/>
        <w:autoSpaceDN/>
        <w:bidi w:val="0"/>
        <w:adjustRightInd w:val="0"/>
        <w:snapToGrid w:val="0"/>
        <w:spacing w:line="560" w:lineRule="exact"/>
        <w:ind w:firstLine="615"/>
        <w:textAlignment w:val="auto"/>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bidi="ar"/>
        </w:rPr>
        <w:t>202</w:t>
      </w:r>
      <w:r>
        <w:rPr>
          <w:rFonts w:hint="eastAsia" w:cs="Times New Roman"/>
          <w:color w:val="auto"/>
          <w:kern w:val="0"/>
          <w:sz w:val="32"/>
          <w:szCs w:val="32"/>
          <w:highlight w:val="none"/>
          <w:lang w:val="en-US" w:eastAsia="zh-CN" w:bidi="ar"/>
        </w:rPr>
        <w:t>5</w:t>
      </w:r>
      <w:r>
        <w:rPr>
          <w:rFonts w:hint="default" w:ascii="Times New Roman" w:hAnsi="Times New Roman" w:eastAsia="仿宋_GB2312" w:cs="Times New Roman"/>
          <w:color w:val="auto"/>
          <w:kern w:val="0"/>
          <w:sz w:val="32"/>
          <w:szCs w:val="32"/>
          <w:highlight w:val="none"/>
          <w:lang w:val="en-US" w:eastAsia="zh-CN" w:bidi="ar"/>
        </w:rPr>
        <w:t>年，安顺农商银行财务工作将按照“可操作、可量化、可联动、可考核”的原则推进全面预算工作，促进业财融合，提高精细化管理的能力和水平，努力实现各项业务经营目标</w:t>
      </w:r>
      <w:r>
        <w:rPr>
          <w:rFonts w:hint="default" w:ascii="Times New Roman" w:hAnsi="Times New Roman" w:eastAsia="仿宋_GB2312" w:cs="Times New Roman"/>
          <w:bCs/>
          <w:color w:val="auto"/>
          <w:sz w:val="32"/>
          <w:szCs w:val="32"/>
          <w:highlight w:val="none"/>
        </w:rPr>
        <w:t>。</w:t>
      </w:r>
    </w:p>
    <w:p>
      <w:pPr>
        <w:pStyle w:val="10"/>
        <w:rPr>
          <w:rFonts w:hint="default" w:ascii="Times New Roman" w:hAnsi="Times New Roman" w:cs="Times New Roman"/>
          <w:color w:val="auto"/>
          <w:highlight w:val="none"/>
        </w:rPr>
      </w:pPr>
    </w:p>
    <w:p>
      <w:pPr>
        <w:keepNext w:val="0"/>
        <w:keepLines w:val="0"/>
        <w:pageBreakBefore w:val="0"/>
        <w:numPr>
          <w:ilvl w:val="0"/>
          <w:numId w:val="0"/>
        </w:numPr>
        <w:kinsoku/>
        <w:wordWrap/>
        <w:topLinePunct w:val="0"/>
        <w:bidi w:val="0"/>
        <w:spacing w:line="560" w:lineRule="exact"/>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sz w:val="36"/>
          <w:szCs w:val="36"/>
          <w:highlight w:val="none"/>
          <w:lang w:val="en-US" w:eastAsia="zh-CN"/>
        </w:rPr>
        <w:t xml:space="preserve">第十章  </w:t>
      </w:r>
      <w:r>
        <w:rPr>
          <w:rFonts w:hint="eastAsia" w:ascii="黑体" w:hAnsi="黑体" w:eastAsia="黑体" w:cs="黑体"/>
          <w:b w:val="0"/>
          <w:bCs/>
          <w:color w:val="auto"/>
          <w:sz w:val="36"/>
          <w:szCs w:val="36"/>
          <w:highlight w:val="none"/>
        </w:rPr>
        <w:t xml:space="preserve"> </w:t>
      </w:r>
      <w:r>
        <w:rPr>
          <w:rFonts w:hint="eastAsia" w:ascii="黑体" w:hAnsi="黑体" w:eastAsia="黑体" w:cs="黑体"/>
          <w:b w:val="0"/>
          <w:bCs/>
          <w:color w:val="auto"/>
          <w:sz w:val="36"/>
          <w:szCs w:val="36"/>
          <w:highlight w:val="none"/>
          <w:lang w:eastAsia="zh-CN"/>
        </w:rPr>
        <w:t>重大</w:t>
      </w:r>
      <w:r>
        <w:rPr>
          <w:rFonts w:hint="eastAsia" w:ascii="黑体" w:hAnsi="黑体" w:eastAsia="黑体" w:cs="黑体"/>
          <w:b w:val="0"/>
          <w:bCs/>
          <w:color w:val="auto"/>
          <w:sz w:val="36"/>
          <w:szCs w:val="36"/>
          <w:highlight w:val="none"/>
        </w:rPr>
        <w:t>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color w:val="auto"/>
          <w:kern w:val="0"/>
          <w:sz w:val="32"/>
          <w:szCs w:val="32"/>
          <w:highlight w:val="none"/>
          <w:lang w:val="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一、</w:t>
      </w:r>
      <w:r>
        <w:rPr>
          <w:rFonts w:hint="default" w:ascii="Times New Roman" w:hAnsi="Times New Roman" w:eastAsia="仿宋_GB2312" w:cs="Times New Roman"/>
          <w:color w:val="auto"/>
          <w:sz w:val="32"/>
          <w:szCs w:val="32"/>
          <w:highlight w:val="none"/>
        </w:rPr>
        <w:t>报告期内，本行没有发生</w:t>
      </w:r>
      <w:r>
        <w:rPr>
          <w:rFonts w:hint="default" w:ascii="Times New Roman" w:hAnsi="Times New Roman" w:eastAsia="仿宋_GB2312" w:cs="Times New Roman"/>
          <w:bCs/>
          <w:color w:val="auto"/>
          <w:kern w:val="0"/>
          <w:sz w:val="32"/>
          <w:szCs w:val="32"/>
          <w:highlight w:val="none"/>
          <w:lang w:val="zh-CN"/>
        </w:rPr>
        <w:t>重大诉讼、仲裁事项。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二、</w:t>
      </w:r>
      <w:r>
        <w:rPr>
          <w:rFonts w:hint="default" w:ascii="Times New Roman" w:hAnsi="Times New Roman" w:eastAsia="仿宋_GB2312" w:cs="Times New Roman"/>
          <w:color w:val="auto"/>
          <w:sz w:val="32"/>
          <w:szCs w:val="32"/>
          <w:highlight w:val="none"/>
        </w:rPr>
        <w:t>报告期内，本行无</w:t>
      </w:r>
      <w:r>
        <w:rPr>
          <w:rFonts w:hint="default" w:ascii="Times New Roman" w:hAnsi="Times New Roman" w:eastAsia="仿宋_GB2312" w:cs="Times New Roman"/>
          <w:bCs/>
          <w:color w:val="auto"/>
          <w:kern w:val="0"/>
          <w:sz w:val="32"/>
          <w:szCs w:val="32"/>
          <w:highlight w:val="none"/>
          <w:lang w:val="zh-CN"/>
        </w:rPr>
        <w:t>重大案件、重大差错、其他损失情况。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三、</w:t>
      </w:r>
      <w:r>
        <w:rPr>
          <w:rFonts w:hint="default" w:ascii="Times New Roman" w:hAnsi="Times New Roman" w:eastAsia="仿宋_GB2312" w:cs="Times New Roman"/>
          <w:color w:val="auto"/>
          <w:sz w:val="32"/>
          <w:szCs w:val="32"/>
          <w:highlight w:val="none"/>
        </w:rPr>
        <w:t>报告期内，本行</w:t>
      </w:r>
      <w:r>
        <w:rPr>
          <w:rFonts w:hint="default" w:ascii="Times New Roman" w:hAnsi="Times New Roman" w:eastAsia="仿宋_GB2312" w:cs="Times New Roman"/>
          <w:color w:val="auto"/>
          <w:sz w:val="32"/>
          <w:szCs w:val="32"/>
          <w:highlight w:val="none"/>
          <w:lang w:eastAsia="zh-CN"/>
        </w:rPr>
        <w:t>无重大的对外投资、资产收购或处置</w:t>
      </w:r>
      <w:r>
        <w:rPr>
          <w:rFonts w:hint="default" w:ascii="Times New Roman" w:hAnsi="Times New Roman" w:eastAsia="仿宋_GB2312" w:cs="Times New Roman"/>
          <w:bCs/>
          <w:color w:val="auto"/>
          <w:kern w:val="0"/>
          <w:sz w:val="32"/>
          <w:szCs w:val="32"/>
          <w:highlight w:val="none"/>
          <w:lang w:val="zh-CN"/>
        </w:rPr>
        <w:t>、资产抵押、对外担保、委托他人管理本行资金或其他资产等重大事项。无吸收、分立合并事项。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四、关联交易事项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报告期内，本行关联交易公平合理，没有发现损害公司和股东利益的行为。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五、重大合同及履约情况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（一）报告期内，本行没有发生重大托管、承包、租赁事项。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pacing w:val="-20"/>
          <w:sz w:val="32"/>
          <w:szCs w:val="32"/>
          <w:highlight w:val="none"/>
        </w:rPr>
      </w:pPr>
      <w:r>
        <w:rPr>
          <w:rFonts w:hint="default" w:ascii="Times New Roman" w:hAnsi="Times New Roman" w:eastAsia="仿宋_GB2312" w:cs="Times New Roman"/>
          <w:color w:val="auto"/>
          <w:sz w:val="32"/>
          <w:szCs w:val="32"/>
          <w:highlight w:val="none"/>
        </w:rPr>
        <w:t>（二）报告期内，本行各项业务合同履行正常，未发生重大合同纠纷。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六、聘任、解聘会计师事务所情况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rPr>
        <w:t>报告期内，贵州永诚会计师事务所（普通合伙）</w:t>
      </w:r>
      <w:r>
        <w:rPr>
          <w:rFonts w:hint="default" w:ascii="Times New Roman" w:hAnsi="Times New Roman" w:eastAsia="仿宋_GB2312" w:cs="Times New Roman"/>
          <w:color w:val="auto"/>
          <w:sz w:val="32"/>
          <w:szCs w:val="32"/>
          <w:highlight w:val="none"/>
          <w:lang w:val="zh-CN"/>
        </w:rPr>
        <w:t>为本行的审计机构。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lang w:val="zh-CN"/>
        </w:rPr>
        <w:t>七、报告期内，本行及董事、监事、高级管理人员均未受到相关监管部门和司法部门的处罚。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zh-CN"/>
        </w:rPr>
      </w:pPr>
      <w:r>
        <w:rPr>
          <w:rFonts w:hint="default" w:ascii="Times New Roman" w:hAnsi="Times New Roman" w:eastAsia="仿宋_GB2312" w:cs="Times New Roman"/>
          <w:color w:val="auto"/>
          <w:sz w:val="32"/>
          <w:szCs w:val="32"/>
          <w:highlight w:val="none"/>
          <w:lang w:val="zh-CN"/>
        </w:rPr>
        <w:t>八、报告期内，我行终止营业网点</w:t>
      </w:r>
      <w:r>
        <w:rPr>
          <w:rFonts w:hint="default" w:ascii="Times New Roman" w:hAnsi="Times New Roman" w:eastAsia="仿宋_GB2312" w:cs="Times New Roman"/>
          <w:color w:val="auto"/>
          <w:sz w:val="32"/>
          <w:szCs w:val="32"/>
          <w:highlight w:val="none"/>
          <w:lang w:val="en-US" w:eastAsia="zh-CN"/>
        </w:rPr>
        <w:t>2个：分别是</w:t>
      </w:r>
      <w:r>
        <w:rPr>
          <w:rFonts w:hint="eastAsia" w:cs="Times New Roman"/>
          <w:color w:val="auto"/>
          <w:sz w:val="32"/>
          <w:szCs w:val="32"/>
          <w:highlight w:val="none"/>
          <w:lang w:val="en-US" w:eastAsia="zh-CN"/>
        </w:rPr>
        <w:t>西水</w:t>
      </w:r>
      <w:r>
        <w:rPr>
          <w:rFonts w:hint="default" w:ascii="Times New Roman" w:hAnsi="Times New Roman" w:eastAsia="仿宋_GB2312" w:cs="Times New Roman"/>
          <w:color w:val="auto"/>
          <w:sz w:val="32"/>
          <w:szCs w:val="32"/>
          <w:highlight w:val="none"/>
          <w:lang w:val="en-US" w:eastAsia="zh-CN"/>
        </w:rPr>
        <w:t>支行、</w:t>
      </w:r>
      <w:r>
        <w:rPr>
          <w:rFonts w:hint="eastAsia" w:cs="Times New Roman"/>
          <w:color w:val="auto"/>
          <w:sz w:val="32"/>
          <w:szCs w:val="32"/>
          <w:highlight w:val="none"/>
          <w:lang w:val="en-US" w:eastAsia="zh-CN"/>
        </w:rPr>
        <w:t>马鞍山</w:t>
      </w:r>
      <w:r>
        <w:rPr>
          <w:rFonts w:hint="default" w:ascii="Times New Roman" w:hAnsi="Times New Roman" w:eastAsia="仿宋_GB2312" w:cs="Times New Roman"/>
          <w:color w:val="auto"/>
          <w:sz w:val="32"/>
          <w:szCs w:val="32"/>
          <w:highlight w:val="none"/>
          <w:lang w:val="en-US" w:eastAsia="zh-CN"/>
        </w:rPr>
        <w:t>支行。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九、所获殊荣：</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bCs/>
          <w:color w:val="auto"/>
          <w:kern w:val="0"/>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en-US" w:eastAsia="zh-CN"/>
        </w:rPr>
        <w:t>一</w:t>
      </w:r>
      <w:r>
        <w:rPr>
          <w:rFonts w:hint="default"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bCs/>
          <w:color w:val="auto"/>
          <w:kern w:val="0"/>
          <w:sz w:val="32"/>
          <w:szCs w:val="32"/>
          <w:highlight w:val="none"/>
          <w:lang w:val="zh-CN"/>
        </w:rPr>
        <w:t>安顺农商银行荣获“2023年度贵州农信新时代优秀团队”</w:t>
      </w:r>
      <w:r>
        <w:rPr>
          <w:rFonts w:hint="eastAsia" w:ascii="Times New Roman" w:hAnsi="Times New Roman" w:eastAsia="仿宋_GB2312" w:cs="Times New Roman"/>
          <w:bCs/>
          <w:color w:val="auto"/>
          <w:kern w:val="0"/>
          <w:sz w:val="32"/>
          <w:szCs w:val="32"/>
          <w:highlight w:val="none"/>
          <w:lang w:val="zh-CN"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zh-CN"/>
        </w:rPr>
        <w:t>（二）安顺农商银行荣获“2024年安顺市“五一”先进集体”；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eastAsia="zh-CN"/>
        </w:rPr>
      </w:pPr>
      <w:r>
        <w:rPr>
          <w:rFonts w:hint="default" w:ascii="Times New Roman" w:hAnsi="Times New Roman" w:eastAsia="仿宋_GB2312" w:cs="Times New Roman"/>
          <w:bCs/>
          <w:color w:val="auto"/>
          <w:kern w:val="0"/>
          <w:sz w:val="32"/>
          <w:szCs w:val="32"/>
          <w:highlight w:val="none"/>
          <w:lang w:val="zh-CN"/>
        </w:rPr>
        <w:t>（</w:t>
      </w:r>
      <w:r>
        <w:rPr>
          <w:rFonts w:hint="eastAsia" w:ascii="Times New Roman" w:hAnsi="Times New Roman" w:eastAsia="仿宋_GB2312" w:cs="Times New Roman"/>
          <w:bCs/>
          <w:color w:val="auto"/>
          <w:kern w:val="0"/>
          <w:sz w:val="32"/>
          <w:szCs w:val="32"/>
          <w:highlight w:val="none"/>
          <w:lang w:val="en-US" w:eastAsia="zh-CN"/>
        </w:rPr>
        <w:t>三</w:t>
      </w:r>
      <w:r>
        <w:rPr>
          <w:rFonts w:hint="default" w:ascii="Times New Roman" w:hAnsi="Times New Roman" w:eastAsia="仿宋_GB2312" w:cs="Times New Roman"/>
          <w:bCs/>
          <w:color w:val="auto"/>
          <w:kern w:val="0"/>
          <w:sz w:val="32"/>
          <w:szCs w:val="32"/>
          <w:highlight w:val="none"/>
          <w:lang w:val="zh-CN"/>
        </w:rPr>
        <w:t>）安顺农商银行荣获“先进基层党组织”。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bCs/>
          <w:color w:val="auto"/>
          <w:kern w:val="0"/>
          <w:sz w:val="32"/>
          <w:szCs w:val="32"/>
          <w:highlight w:val="none"/>
          <w:lang w:val="zh-CN" w:eastAsia="zh-CN"/>
        </w:rPr>
      </w:pPr>
      <w:r>
        <w:rPr>
          <w:rFonts w:hint="default" w:ascii="Times New Roman" w:hAnsi="Times New Roman" w:eastAsia="仿宋_GB2312" w:cs="Times New Roman"/>
          <w:bCs/>
          <w:color w:val="auto"/>
          <w:kern w:val="0"/>
          <w:sz w:val="32"/>
          <w:szCs w:val="32"/>
          <w:highlight w:val="none"/>
          <w:lang w:val="zh-CN"/>
        </w:rPr>
        <w:t>（</w:t>
      </w:r>
      <w:r>
        <w:rPr>
          <w:rFonts w:hint="eastAsia" w:ascii="Times New Roman" w:hAnsi="Times New Roman" w:eastAsia="仿宋_GB2312" w:cs="Times New Roman"/>
          <w:bCs/>
          <w:color w:val="auto"/>
          <w:kern w:val="0"/>
          <w:sz w:val="32"/>
          <w:szCs w:val="32"/>
          <w:highlight w:val="none"/>
          <w:lang w:val="en-US" w:eastAsia="zh-CN"/>
        </w:rPr>
        <w:t>四</w:t>
      </w:r>
      <w:r>
        <w:rPr>
          <w:rFonts w:hint="default" w:ascii="Times New Roman" w:hAnsi="Times New Roman" w:eastAsia="仿宋_GB2312" w:cs="Times New Roman"/>
          <w:bCs/>
          <w:color w:val="auto"/>
          <w:kern w:val="0"/>
          <w:sz w:val="32"/>
          <w:szCs w:val="32"/>
          <w:highlight w:val="none"/>
          <w:lang w:val="zh-CN"/>
        </w:rPr>
        <w:t>）安顺农商银行荣获“预警劝阻工作表现突出金融机构”称号</w:t>
      </w:r>
      <w:r>
        <w:rPr>
          <w:rFonts w:hint="eastAsia" w:ascii="Times New Roman" w:hAnsi="Times New Roman" w:eastAsia="仿宋_GB2312" w:cs="Times New Roman"/>
          <w:bCs/>
          <w:color w:val="auto"/>
          <w:kern w:val="0"/>
          <w:sz w:val="32"/>
          <w:szCs w:val="32"/>
          <w:highlight w:val="none"/>
          <w:lang w:val="zh-CN"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Cs/>
          <w:color w:val="auto"/>
          <w:kern w:val="0"/>
          <w:sz w:val="32"/>
          <w:szCs w:val="32"/>
          <w:highlight w:val="none"/>
          <w:lang w:val="zh-CN"/>
        </w:rPr>
      </w:pPr>
      <w:r>
        <w:rPr>
          <w:rFonts w:hint="default" w:ascii="Times New Roman" w:hAnsi="Times New Roman" w:eastAsia="仿宋_GB2312" w:cs="Times New Roman"/>
          <w:bCs/>
          <w:color w:val="auto"/>
          <w:kern w:val="0"/>
          <w:sz w:val="32"/>
          <w:szCs w:val="32"/>
          <w:highlight w:val="none"/>
          <w:lang w:val="en-US" w:eastAsia="zh-CN"/>
        </w:rPr>
        <w:t>（</w:t>
      </w:r>
      <w:r>
        <w:rPr>
          <w:rFonts w:hint="eastAsia" w:ascii="Times New Roman" w:hAnsi="Times New Roman" w:eastAsia="仿宋_GB2312" w:cs="Times New Roman"/>
          <w:bCs/>
          <w:color w:val="auto"/>
          <w:kern w:val="0"/>
          <w:sz w:val="32"/>
          <w:szCs w:val="32"/>
          <w:highlight w:val="none"/>
          <w:lang w:val="en-US" w:eastAsia="zh-CN"/>
        </w:rPr>
        <w:t>五</w:t>
      </w:r>
      <w:r>
        <w:rPr>
          <w:rFonts w:hint="default" w:ascii="Times New Roman" w:hAnsi="Times New Roman" w:eastAsia="仿宋_GB2312" w:cs="Times New Roman"/>
          <w:bCs/>
          <w:color w:val="auto"/>
          <w:kern w:val="0"/>
          <w:sz w:val="32"/>
          <w:szCs w:val="32"/>
          <w:highlight w:val="none"/>
          <w:lang w:val="en-US" w:eastAsia="zh-CN"/>
        </w:rPr>
        <w:t>）</w:t>
      </w:r>
      <w:r>
        <w:rPr>
          <w:rFonts w:hint="default" w:ascii="Times New Roman" w:hAnsi="Times New Roman" w:eastAsia="仿宋_GB2312" w:cs="Times New Roman"/>
          <w:bCs/>
          <w:color w:val="auto"/>
          <w:kern w:val="0"/>
          <w:sz w:val="32"/>
          <w:szCs w:val="32"/>
          <w:highlight w:val="none"/>
          <w:lang w:val="zh-CN"/>
        </w:rPr>
        <w:t>安顺农商银行荣获“贵州农信第三届金融产品与服务创新三等奖”</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bCs/>
          <w:color w:val="auto"/>
          <w:kern w:val="0"/>
          <w:sz w:val="32"/>
          <w:szCs w:val="32"/>
          <w:highlight w:val="none"/>
          <w:lang w:val="en-US" w:eastAsia="zh-CN"/>
        </w:rPr>
      </w:pPr>
      <w:r>
        <w:rPr>
          <w:rFonts w:hint="default" w:ascii="Times New Roman" w:hAnsi="Times New Roman" w:eastAsia="仿宋_GB2312" w:cs="Times New Roman"/>
          <w:bCs/>
          <w:color w:val="auto"/>
          <w:kern w:val="0"/>
          <w:sz w:val="32"/>
          <w:szCs w:val="32"/>
          <w:highlight w:val="none"/>
          <w:lang w:val="en-US" w:eastAsia="zh-CN"/>
        </w:rPr>
        <w:t>（</w:t>
      </w:r>
      <w:r>
        <w:rPr>
          <w:rFonts w:hint="eastAsia" w:ascii="Times New Roman" w:hAnsi="Times New Roman" w:eastAsia="仿宋_GB2312" w:cs="Times New Roman"/>
          <w:bCs/>
          <w:color w:val="auto"/>
          <w:kern w:val="0"/>
          <w:sz w:val="32"/>
          <w:szCs w:val="32"/>
          <w:highlight w:val="none"/>
          <w:lang w:val="en-US" w:eastAsia="zh-CN"/>
        </w:rPr>
        <w:t>六</w:t>
      </w:r>
      <w:r>
        <w:rPr>
          <w:rFonts w:hint="default" w:ascii="Times New Roman" w:hAnsi="Times New Roman" w:eastAsia="仿宋_GB2312" w:cs="Times New Roman"/>
          <w:bCs/>
          <w:color w:val="auto"/>
          <w:kern w:val="0"/>
          <w:sz w:val="32"/>
          <w:szCs w:val="32"/>
          <w:highlight w:val="none"/>
          <w:lang w:val="en-US" w:eastAsia="zh-CN"/>
        </w:rPr>
        <w:t>）</w:t>
      </w:r>
      <w:r>
        <w:rPr>
          <w:rFonts w:hint="default" w:ascii="Times New Roman" w:hAnsi="Times New Roman" w:eastAsia="仿宋_GB2312" w:cs="Times New Roman"/>
          <w:bCs/>
          <w:color w:val="auto"/>
          <w:kern w:val="0"/>
          <w:sz w:val="32"/>
          <w:szCs w:val="32"/>
          <w:highlight w:val="none"/>
          <w:lang w:val="zh-CN"/>
        </w:rPr>
        <w:t>安顺农商银行轿子山支行荣获“2023年度贵州农信新时代优秀团队”</w:t>
      </w:r>
    </w:p>
    <w:p>
      <w:pPr>
        <w:keepNext w:val="0"/>
        <w:keepLines w:val="0"/>
        <w:pageBreakBefore w:val="0"/>
        <w:widowControl w:val="0"/>
        <w:kinsoku/>
        <w:wordWrap/>
        <w:overflowPunct/>
        <w:topLinePunct w:val="0"/>
        <w:autoSpaceDE/>
        <w:autoSpaceDN/>
        <w:bidi w:val="0"/>
        <w:adjustRightInd w:val="0"/>
        <w:snapToGrid w:val="0"/>
        <w:spacing w:line="560" w:lineRule="exact"/>
        <w:ind w:firstLine="624" w:firstLineChars="200"/>
        <w:textAlignment w:val="auto"/>
        <w:rPr>
          <w:rFonts w:hint="default" w:ascii="Times New Roman" w:hAnsi="Times New Roman" w:eastAsia="仿宋_GB2312" w:cs="Times New Roman"/>
          <w:b w:val="0"/>
          <w:bCs w:val="0"/>
          <w:color w:val="auto"/>
          <w:spacing w:val="-4"/>
          <w:kern w:val="2"/>
          <w:sz w:val="32"/>
          <w:szCs w:val="32"/>
          <w:highlight w:val="none"/>
          <w:lang w:val="zh-CN" w:eastAsia="zh-CN" w:bidi="ar-SA"/>
        </w:rPr>
      </w:pPr>
      <w:r>
        <w:rPr>
          <w:rFonts w:hint="default" w:ascii="Times New Roman" w:hAnsi="Times New Roman" w:eastAsia="仿宋_GB2312" w:cs="Times New Roman"/>
          <w:b w:val="0"/>
          <w:bCs w:val="0"/>
          <w:color w:val="auto"/>
          <w:spacing w:val="-4"/>
          <w:kern w:val="2"/>
          <w:sz w:val="32"/>
          <w:szCs w:val="32"/>
          <w:highlight w:val="none"/>
          <w:lang w:val="zh-CN" w:eastAsia="zh-CN" w:bidi="ar-SA"/>
        </w:rPr>
        <w:t>十、除上述信息外，本行无其他让公众必要了解的重要信息。</w:t>
      </w:r>
    </w:p>
    <w:p>
      <w:pPr>
        <w:pStyle w:val="10"/>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4"/>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10"/>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4"/>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10"/>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4"/>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8"/>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8"/>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8"/>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pStyle w:val="4"/>
        <w:rPr>
          <w:rFonts w:hint="default" w:ascii="Times New Roman" w:hAnsi="Times New Roman" w:eastAsia="仿宋_GB2312" w:cs="Times New Roman"/>
          <w:b w:val="0"/>
          <w:bCs w:val="0"/>
          <w:color w:val="auto"/>
          <w:spacing w:val="-4"/>
          <w:kern w:val="2"/>
          <w:sz w:val="32"/>
          <w:szCs w:val="32"/>
          <w:highlight w:val="none"/>
          <w:lang w:val="zh-CN" w:eastAsia="zh-CN" w:bidi="ar-SA"/>
        </w:rPr>
      </w:pPr>
    </w:p>
    <w:p>
      <w:pPr>
        <w:rPr>
          <w:rFonts w:hint="default"/>
          <w:color w:val="auto"/>
          <w:highlight w:val="none"/>
          <w:lang w:val="zh-CN" w:eastAsia="zh-CN"/>
        </w:rPr>
      </w:pPr>
    </w:p>
    <w:p>
      <w:pPr>
        <w:pStyle w:val="10"/>
        <w:rPr>
          <w:rFonts w:hint="default" w:ascii="Times New Roman" w:hAnsi="Times New Roman" w:cs="Times New Roman"/>
          <w:color w:val="auto"/>
          <w:highlight w:val="none"/>
          <w:lang w:val="en-US" w:eastAsia="zh-CN"/>
        </w:rPr>
      </w:pPr>
    </w:p>
    <w:p>
      <w:pPr>
        <w:keepNext w:val="0"/>
        <w:keepLines w:val="0"/>
        <w:pageBreakBefore w:val="0"/>
        <w:numPr>
          <w:ilvl w:val="0"/>
          <w:numId w:val="7"/>
        </w:numPr>
        <w:tabs>
          <w:tab w:val="left" w:pos="1859"/>
          <w:tab w:val="center" w:pos="4215"/>
        </w:tabs>
        <w:kinsoku/>
        <w:wordWrap/>
        <w:topLinePunct w:val="0"/>
        <w:bidi w:val="0"/>
        <w:spacing w:line="560" w:lineRule="exact"/>
        <w:ind w:left="2589" w:leftChars="0" w:firstLine="0" w:firstLineChars="0"/>
        <w:jc w:val="left"/>
        <w:rPr>
          <w:rFonts w:hint="default" w:ascii="Times New Roman" w:hAnsi="Times New Roman" w:eastAsia="黑体" w:cs="Times New Roman"/>
          <w:b/>
          <w:bCs w:val="0"/>
          <w:color w:val="auto"/>
          <w:sz w:val="36"/>
          <w:szCs w:val="36"/>
          <w:highlight w:val="none"/>
          <w:lang w:val="en-US" w:eastAsia="zh-CN"/>
        </w:rPr>
      </w:pPr>
      <w:r>
        <w:rPr>
          <w:rFonts w:hint="default" w:ascii="Times New Roman" w:hAnsi="Times New Roman" w:eastAsia="黑体" w:cs="Times New Roman"/>
          <w:b/>
          <w:bCs w:val="0"/>
          <w:color w:val="auto"/>
          <w:sz w:val="36"/>
          <w:szCs w:val="36"/>
          <w:highlight w:val="none"/>
          <w:lang w:val="en-US" w:eastAsia="zh-CN"/>
        </w:rPr>
        <w:t xml:space="preserve">  审计报告</w:t>
      </w:r>
    </w:p>
    <w:p>
      <w:pPr>
        <w:keepNext w:val="0"/>
        <w:keepLines w:val="0"/>
        <w:pageBreakBefore w:val="0"/>
        <w:kinsoku/>
        <w:wordWrap/>
        <w:topLinePunct w:val="0"/>
        <w:bidi w:val="0"/>
        <w:spacing w:line="560" w:lineRule="exact"/>
        <w:ind w:firstLine="640" w:firstLineChars="200"/>
        <w:jc w:val="left"/>
        <w:rPr>
          <w:rFonts w:hint="default" w:ascii="Times New Roman" w:hAnsi="Times New Roman" w:eastAsia="黑体" w:cs="Times New Roman"/>
          <w:b w:val="0"/>
          <w:bCs/>
          <w:color w:val="auto"/>
          <w:sz w:val="32"/>
          <w:szCs w:val="32"/>
          <w:highlight w:val="none"/>
        </w:rPr>
      </w:pPr>
      <w:r>
        <w:rPr>
          <w:color w:val="auto"/>
          <w:highlight w:val="none"/>
        </w:rPr>
        <w:drawing>
          <wp:anchor distT="0" distB="0" distL="114300" distR="114300" simplePos="0" relativeHeight="251740160" behindDoc="0" locked="0" layoutInCell="1" allowOverlap="1">
            <wp:simplePos x="0" y="0"/>
            <wp:positionH relativeFrom="column">
              <wp:posOffset>-67945</wp:posOffset>
            </wp:positionH>
            <wp:positionV relativeFrom="paragraph">
              <wp:posOffset>244475</wp:posOffset>
            </wp:positionV>
            <wp:extent cx="5598160" cy="7990205"/>
            <wp:effectExtent l="0" t="0" r="2540" b="10795"/>
            <wp:wrapSquare wrapText="bothSides"/>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5"/>
                    <a:stretch>
                      <a:fillRect/>
                    </a:stretch>
                  </pic:blipFill>
                  <pic:spPr>
                    <a:xfrm>
                      <a:off x="0" y="0"/>
                      <a:ext cx="5598160" cy="7990205"/>
                    </a:xfrm>
                    <a:prstGeom prst="rect">
                      <a:avLst/>
                    </a:prstGeom>
                    <a:noFill/>
                    <a:ln>
                      <a:noFill/>
                    </a:ln>
                  </pic:spPr>
                </pic:pic>
              </a:graphicData>
            </a:graphic>
          </wp:anchor>
        </w:drawing>
      </w:r>
    </w:p>
    <w:p>
      <w:pPr>
        <w:keepNext w:val="0"/>
        <w:keepLines w:val="0"/>
        <w:pageBreakBefore w:val="0"/>
        <w:kinsoku/>
        <w:wordWrap/>
        <w:topLinePunct w:val="0"/>
        <w:bidi w:val="0"/>
        <w:spacing w:line="240" w:lineRule="auto"/>
        <w:jc w:val="left"/>
        <w:rPr>
          <w:rFonts w:hint="eastAsia" w:ascii="Times New Roman" w:hAnsi="Times New Roman" w:eastAsia="黑体" w:cs="Times New Roman"/>
          <w:b w:val="0"/>
          <w:bCs/>
          <w:color w:val="auto"/>
          <w:sz w:val="32"/>
          <w:szCs w:val="32"/>
          <w:highlight w:val="none"/>
          <w:lang w:eastAsia="zh-CN"/>
        </w:rPr>
      </w:pPr>
      <w:r>
        <w:rPr>
          <w:rFonts w:hint="eastAsia" w:ascii="Times New Roman" w:hAnsi="Times New Roman" w:eastAsia="黑体" w:cs="Times New Roman"/>
          <w:b w:val="0"/>
          <w:bCs/>
          <w:color w:val="auto"/>
          <w:sz w:val="32"/>
          <w:szCs w:val="32"/>
          <w:highlight w:val="none"/>
          <w:lang w:eastAsia="zh-CN"/>
        </w:rPr>
        <w:drawing>
          <wp:anchor distT="0" distB="0" distL="114300" distR="114300" simplePos="0" relativeHeight="251741184" behindDoc="0" locked="0" layoutInCell="1" allowOverlap="1">
            <wp:simplePos x="0" y="0"/>
            <wp:positionH relativeFrom="column">
              <wp:posOffset>-354965</wp:posOffset>
            </wp:positionH>
            <wp:positionV relativeFrom="paragraph">
              <wp:posOffset>269240</wp:posOffset>
            </wp:positionV>
            <wp:extent cx="5831840" cy="8000365"/>
            <wp:effectExtent l="0" t="0" r="16510" b="635"/>
            <wp:wrapTopAndBottom/>
            <wp:docPr id="5" name="图片 5" descr="13901342841819136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901342841819136959(1)"/>
                    <pic:cNvPicPr>
                      <a:picLocks noChangeAspect="1"/>
                    </pic:cNvPicPr>
                  </pic:nvPicPr>
                  <pic:blipFill>
                    <a:blip r:embed="rId6"/>
                    <a:stretch>
                      <a:fillRect/>
                    </a:stretch>
                  </pic:blipFill>
                  <pic:spPr>
                    <a:xfrm>
                      <a:off x="0" y="0"/>
                      <a:ext cx="5831840" cy="8000365"/>
                    </a:xfrm>
                    <a:prstGeom prst="rect">
                      <a:avLst/>
                    </a:prstGeom>
                  </pic:spPr>
                </pic:pic>
              </a:graphicData>
            </a:graphic>
          </wp:anchor>
        </w:drawing>
      </w:r>
    </w:p>
    <w:p>
      <w:pPr>
        <w:keepNext w:val="0"/>
        <w:keepLines w:val="0"/>
        <w:pageBreakBefore w:val="0"/>
        <w:kinsoku/>
        <w:wordWrap/>
        <w:topLinePunct w:val="0"/>
        <w:bidi w:val="0"/>
        <w:spacing w:line="560" w:lineRule="exact"/>
        <w:jc w:val="left"/>
        <w:rPr>
          <w:rFonts w:hint="default" w:ascii="Times New Roman" w:hAnsi="Times New Roman" w:eastAsia="黑体" w:cs="Times New Roman"/>
          <w:b w:val="0"/>
          <w:bCs/>
          <w:color w:val="auto"/>
          <w:sz w:val="32"/>
          <w:szCs w:val="32"/>
          <w:highlight w:val="none"/>
        </w:rPr>
      </w:pPr>
      <w:r>
        <w:rPr>
          <w:rFonts w:hint="eastAsia" w:ascii="Times New Roman" w:hAnsi="Times New Roman" w:eastAsia="黑体" w:cs="Times New Roman"/>
          <w:b w:val="0"/>
          <w:bCs/>
          <w:color w:val="auto"/>
          <w:sz w:val="32"/>
          <w:szCs w:val="32"/>
          <w:highlight w:val="none"/>
          <w:lang w:eastAsia="zh-CN"/>
        </w:rPr>
        <w:drawing>
          <wp:anchor distT="0" distB="0" distL="114300" distR="114300" simplePos="0" relativeHeight="251742208" behindDoc="0" locked="0" layoutInCell="1" allowOverlap="1">
            <wp:simplePos x="0" y="0"/>
            <wp:positionH relativeFrom="column">
              <wp:posOffset>-339725</wp:posOffset>
            </wp:positionH>
            <wp:positionV relativeFrom="paragraph">
              <wp:posOffset>266700</wp:posOffset>
            </wp:positionV>
            <wp:extent cx="5984240" cy="8001000"/>
            <wp:effectExtent l="0" t="0" r="16510" b="0"/>
            <wp:wrapTopAndBottom/>
            <wp:docPr id="8" name="图片 8" descr="4197803630212819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197803630212819080(1)"/>
                    <pic:cNvPicPr>
                      <a:picLocks noChangeAspect="1"/>
                    </pic:cNvPicPr>
                  </pic:nvPicPr>
                  <pic:blipFill>
                    <a:blip r:embed="rId7"/>
                    <a:stretch>
                      <a:fillRect/>
                    </a:stretch>
                  </pic:blipFill>
                  <pic:spPr>
                    <a:xfrm>
                      <a:off x="0" y="0"/>
                      <a:ext cx="5984240" cy="8001000"/>
                    </a:xfrm>
                    <a:prstGeom prst="rect">
                      <a:avLst/>
                    </a:prstGeom>
                  </pic:spPr>
                </pic:pic>
              </a:graphicData>
            </a:graphic>
          </wp:anchor>
        </w:drawing>
      </w:r>
    </w:p>
    <w:p>
      <w:pPr>
        <w:spacing w:line="520" w:lineRule="exact"/>
        <w:ind w:firstLine="723" w:firstLineChars="200"/>
        <w:jc w:val="center"/>
        <w:rPr>
          <w:rFonts w:ascii="Arial Narrow" w:hAnsi="宋体"/>
          <w:b/>
          <w:color w:val="auto"/>
          <w:sz w:val="36"/>
          <w:highlight w:val="none"/>
        </w:rPr>
      </w:pPr>
      <w:r>
        <w:rPr>
          <w:rFonts w:hint="eastAsia" w:ascii="Arial Narrow" w:hAnsi="宋体"/>
          <w:b/>
          <w:color w:val="auto"/>
          <w:sz w:val="36"/>
          <w:highlight w:val="none"/>
        </w:rPr>
        <w:t>安顺农村商业银行股份有限公司</w:t>
      </w:r>
    </w:p>
    <w:p>
      <w:pPr>
        <w:spacing w:line="520" w:lineRule="exact"/>
        <w:ind w:firstLine="723" w:firstLineChars="200"/>
        <w:jc w:val="center"/>
        <w:rPr>
          <w:rFonts w:hint="eastAsia" w:ascii="Arial Narrow" w:hAnsi="宋体"/>
          <w:b/>
          <w:color w:val="auto"/>
          <w:sz w:val="36"/>
          <w:highlight w:val="none"/>
        </w:rPr>
      </w:pPr>
      <w:r>
        <w:rPr>
          <w:rFonts w:hint="eastAsia" w:ascii="Arial Narrow" w:hAnsi="宋体"/>
          <w:b/>
          <w:color w:val="auto"/>
          <w:sz w:val="36"/>
          <w:highlight w:val="none"/>
        </w:rPr>
        <w:t>2024年</w:t>
      </w:r>
      <w:r>
        <w:rPr>
          <w:rFonts w:ascii="Arial Narrow" w:hAnsi="宋体"/>
          <w:b/>
          <w:color w:val="auto"/>
          <w:sz w:val="36"/>
          <w:highlight w:val="none"/>
        </w:rPr>
        <w:t>度财务报表附注</w:t>
      </w:r>
    </w:p>
    <w:p>
      <w:pPr>
        <w:spacing w:line="520" w:lineRule="auto"/>
        <w:ind w:firstLine="482" w:firstLineChars="200"/>
        <w:jc w:val="left"/>
        <w:rPr>
          <w:rFonts w:ascii="Arial Narrow" w:hAnsi="宋体"/>
          <w:b/>
          <w:color w:val="auto"/>
          <w:sz w:val="24"/>
          <w:highlight w:val="none"/>
        </w:rPr>
      </w:pPr>
    </w:p>
    <w:p>
      <w:pPr>
        <w:spacing w:line="520" w:lineRule="auto"/>
        <w:ind w:firstLine="482" w:firstLineChars="200"/>
        <w:jc w:val="left"/>
        <w:outlineLvl w:val="0"/>
        <w:rPr>
          <w:rFonts w:hint="eastAsia" w:ascii="Arial Narrow" w:hAnsi="宋体"/>
          <w:b/>
          <w:color w:val="auto"/>
          <w:sz w:val="24"/>
          <w:highlight w:val="none"/>
        </w:rPr>
      </w:pPr>
      <w:r>
        <w:rPr>
          <w:rFonts w:hint="eastAsia" w:ascii="Arial Narrow" w:hAnsi="宋体"/>
          <w:b/>
          <w:color w:val="auto"/>
          <w:sz w:val="24"/>
          <w:highlight w:val="none"/>
        </w:rPr>
        <w:t>一、基本情况</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安顺农村商业银行股份有限公司改制前名称为安顺市西秀区农村信用合作联社，该联社是经中国银行业监督管理委员会贵州监管局批准的具有独立法人资格的合作金融机构。按照党中央国务院关于深化农村信用社改革的决定，于2003年进行了产权制度改革，并于2006年12月统一法人，逐步建立了股份合作制。步入了“自主经营、自担风险、自负盈亏、自我约束”的发展之路。2013年11月21日贵州银监局下发黔银监复[2013]341号文件《贵州银监局关于安顺农村商业银行股份有限公司开业的批复》，同意安顺农村商业银行股份有限公司挂牌开业，至此安顺市西秀区农村信用合作联社正式成功改制为安顺农村商业银行股份有限公司。</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经营范围：吸收公众存款；发放短期、中期、和长期贷款；办理国内结算；办理票据承兑与贴现；代理发行、代理兑付、承销政府债券；买卖政府债券、金融债券；从事同业拆借；从事借记卡业务；代理收付款项及代理保险业务；经中国银行业监督管理机构批准的其他业务；房屋租赁。</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本行法定名称：安顺农村商业银行股份有限公司</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统一社会信用代码： 91520400215675515G</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经济性质：其他股份有限公司（非上市）</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注册资本：36,496.1892万元</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法定代表人：江弘</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联系地址：贵州省安顺市西秀区南华路22号</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联系电话：0851--33320217</w:t>
      </w:r>
    </w:p>
    <w:p>
      <w:pPr>
        <w:spacing w:line="520" w:lineRule="exact"/>
        <w:ind w:firstLine="480" w:firstLineChars="200"/>
        <w:rPr>
          <w:rFonts w:hint="eastAsia"/>
          <w:color w:val="auto"/>
          <w:highlight w:val="none"/>
        </w:rPr>
      </w:pPr>
      <w:r>
        <w:rPr>
          <w:rFonts w:hint="eastAsia" w:ascii="Arial Narrow" w:hAnsi="Arial Narrow"/>
          <w:color w:val="auto"/>
          <w:sz w:val="24"/>
          <w:highlight w:val="none"/>
        </w:rPr>
        <w:t>邮政编码：561000</w:t>
      </w:r>
    </w:p>
    <w:p>
      <w:pPr>
        <w:spacing w:line="520" w:lineRule="auto"/>
        <w:ind w:firstLine="482" w:firstLineChars="200"/>
        <w:jc w:val="left"/>
        <w:outlineLvl w:val="0"/>
        <w:rPr>
          <w:rFonts w:hint="eastAsia" w:ascii="Arial Narrow" w:hAnsi="宋体"/>
          <w:b/>
          <w:color w:val="auto"/>
          <w:sz w:val="24"/>
          <w:highlight w:val="none"/>
        </w:rPr>
      </w:pPr>
      <w:r>
        <w:rPr>
          <w:rFonts w:ascii="Arial Narrow" w:hAnsi="宋体"/>
          <w:b/>
          <w:color w:val="auto"/>
          <w:sz w:val="24"/>
          <w:highlight w:val="none"/>
        </w:rPr>
        <w:t>二、</w:t>
      </w:r>
      <w:r>
        <w:rPr>
          <w:rFonts w:hint="eastAsia" w:ascii="Arial Narrow" w:hAnsi="宋体"/>
          <w:b/>
          <w:color w:val="auto"/>
          <w:sz w:val="24"/>
          <w:highlight w:val="none"/>
        </w:rPr>
        <w:t>财</w:t>
      </w:r>
      <w:r>
        <w:rPr>
          <w:rFonts w:ascii="Arial Narrow" w:hAnsi="宋体"/>
          <w:b/>
          <w:color w:val="auto"/>
          <w:sz w:val="24"/>
          <w:highlight w:val="none"/>
        </w:rPr>
        <w:t>务报表的编制基础</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本行</w:t>
      </w:r>
      <w:r>
        <w:rPr>
          <w:rFonts w:ascii="Arial Narrow" w:hAnsi="Arial Narrow"/>
          <w:color w:val="auto"/>
          <w:sz w:val="24"/>
          <w:highlight w:val="none"/>
        </w:rPr>
        <w:t>财务报表以持续经营假设为基础，根据实际发生的交易和事项，按照财政部发布的《企业会计准则——基本准则》（财政部令第33号发布、财政部令第76号修订）、于2006年2月15日及其后颁布和修订的42项具体会计准则、企业会计准则应用指南、企业会计准则解释及其他相关规定（以下合称</w:t>
      </w:r>
      <w:r>
        <w:rPr>
          <w:rFonts w:hint="eastAsia" w:ascii="Arial Narrow" w:hAnsi="Arial Narrow"/>
          <w:color w:val="auto"/>
          <w:sz w:val="24"/>
          <w:highlight w:val="none"/>
        </w:rPr>
        <w:t>“</w:t>
      </w:r>
      <w:r>
        <w:rPr>
          <w:rFonts w:ascii="Arial Narrow" w:hAnsi="Arial Narrow"/>
          <w:color w:val="auto"/>
          <w:sz w:val="24"/>
          <w:highlight w:val="none"/>
        </w:rPr>
        <w:t>企业会计准则</w:t>
      </w:r>
      <w:r>
        <w:rPr>
          <w:rFonts w:hint="eastAsia" w:ascii="Arial Narrow" w:hAnsi="Arial Narrow"/>
          <w:color w:val="auto"/>
          <w:sz w:val="24"/>
          <w:highlight w:val="none"/>
        </w:rPr>
        <w:t>”</w:t>
      </w:r>
      <w:r>
        <w:rPr>
          <w:rFonts w:ascii="Arial Narrow" w:hAnsi="Arial Narrow"/>
          <w:color w:val="auto"/>
          <w:sz w:val="24"/>
          <w:highlight w:val="none"/>
        </w:rPr>
        <w:t>）的规定编制。</w:t>
      </w:r>
    </w:p>
    <w:p>
      <w:pPr>
        <w:spacing w:line="520" w:lineRule="exact"/>
        <w:ind w:firstLine="512" w:firstLineChars="200"/>
        <w:rPr>
          <w:rFonts w:hint="eastAsia"/>
          <w:color w:val="auto"/>
          <w:highlight w:val="none"/>
        </w:rPr>
      </w:pPr>
      <w:r>
        <w:rPr>
          <w:rFonts w:ascii="宋体" w:hAnsi="宋体"/>
          <w:color w:val="auto"/>
          <w:spacing w:val="8"/>
          <w:sz w:val="24"/>
          <w:highlight w:val="none"/>
        </w:rPr>
        <w:t>根据企业会计准则的相关规定，</w:t>
      </w:r>
      <w:r>
        <w:rPr>
          <w:rFonts w:hint="eastAsia" w:ascii="宋体" w:hAnsi="宋体"/>
          <w:color w:val="auto"/>
          <w:spacing w:val="8"/>
          <w:sz w:val="24"/>
          <w:highlight w:val="none"/>
        </w:rPr>
        <w:t>本行</w:t>
      </w:r>
      <w:r>
        <w:rPr>
          <w:rFonts w:ascii="宋体" w:hAnsi="宋体"/>
          <w:color w:val="auto"/>
          <w:spacing w:val="8"/>
          <w:sz w:val="24"/>
          <w:highlight w:val="none"/>
        </w:rPr>
        <w:t>会计核算以权责发生制为基础。除</w:t>
      </w:r>
      <w:r>
        <w:rPr>
          <w:rFonts w:hint="eastAsia" w:ascii="宋体" w:hAnsi="宋体"/>
          <w:color w:val="auto"/>
          <w:spacing w:val="8"/>
          <w:sz w:val="24"/>
          <w:highlight w:val="none"/>
        </w:rPr>
        <w:t>部分</w:t>
      </w:r>
      <w:r>
        <w:rPr>
          <w:rFonts w:ascii="宋体" w:hAnsi="宋体"/>
          <w:color w:val="auto"/>
          <w:spacing w:val="8"/>
          <w:sz w:val="24"/>
          <w:highlight w:val="none"/>
        </w:rPr>
        <w:t>金融工具外，本财务报表均以历史成本为计量基础。资产如果发生减值，则按照相关规定计提相应的减值准备</w:t>
      </w:r>
      <w:r>
        <w:rPr>
          <w:rFonts w:hint="eastAsia" w:ascii="宋体" w:hAnsi="宋体"/>
          <w:color w:val="auto"/>
          <w:spacing w:val="8"/>
          <w:sz w:val="24"/>
          <w:highlight w:val="none"/>
        </w:rPr>
        <w:t>。</w:t>
      </w:r>
    </w:p>
    <w:p>
      <w:pPr>
        <w:spacing w:line="520" w:lineRule="auto"/>
        <w:ind w:firstLine="482" w:firstLineChars="200"/>
        <w:outlineLvl w:val="0"/>
        <w:rPr>
          <w:rFonts w:ascii="Arial Narrow" w:hAnsi="Arial Narrow"/>
          <w:b/>
          <w:color w:val="auto"/>
          <w:sz w:val="24"/>
          <w:highlight w:val="none"/>
        </w:rPr>
      </w:pPr>
      <w:r>
        <w:rPr>
          <w:rFonts w:hint="eastAsia" w:ascii="Arial Narrow" w:hAnsi="Arial Narrow"/>
          <w:b/>
          <w:color w:val="auto"/>
          <w:sz w:val="24"/>
          <w:highlight w:val="none"/>
        </w:rPr>
        <w:t>三、</w:t>
      </w:r>
      <w:r>
        <w:rPr>
          <w:rFonts w:ascii="Arial Narrow" w:hAnsi="Arial Narrow"/>
          <w:b/>
          <w:color w:val="auto"/>
          <w:sz w:val="24"/>
          <w:highlight w:val="none"/>
        </w:rPr>
        <w:t>遵循企业会计准则的声明</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本行编制的财务报表符合企业会计准则的要求，真实、完整地反映本行报告期的财务状况、经营成果、现金流量等有关信息。</w:t>
      </w:r>
    </w:p>
    <w:p>
      <w:pPr>
        <w:spacing w:line="520" w:lineRule="auto"/>
        <w:ind w:firstLine="482" w:firstLineChars="200"/>
        <w:outlineLvl w:val="0"/>
        <w:rPr>
          <w:rFonts w:ascii="Arial Narrow" w:hAnsi="Arial Narrow"/>
          <w:b/>
          <w:color w:val="auto"/>
          <w:sz w:val="24"/>
          <w:highlight w:val="none"/>
        </w:rPr>
      </w:pPr>
      <w:r>
        <w:rPr>
          <w:rFonts w:hint="eastAsia" w:ascii="Arial Narrow" w:hAnsi="Arial Narrow"/>
          <w:b/>
          <w:color w:val="auto"/>
          <w:sz w:val="24"/>
          <w:highlight w:val="none"/>
        </w:rPr>
        <w:t>四</w:t>
      </w:r>
      <w:r>
        <w:rPr>
          <w:rFonts w:ascii="Arial Narrow" w:hAnsi="Arial Narrow"/>
          <w:b/>
          <w:color w:val="auto"/>
          <w:sz w:val="24"/>
          <w:highlight w:val="none"/>
        </w:rPr>
        <w:t>、</w:t>
      </w:r>
      <w:r>
        <w:rPr>
          <w:rFonts w:hint="eastAsia" w:ascii="Arial Narrow" w:hAnsi="Arial Narrow"/>
          <w:b/>
          <w:color w:val="auto"/>
          <w:sz w:val="24"/>
          <w:highlight w:val="none"/>
        </w:rPr>
        <w:t>重要</w:t>
      </w:r>
      <w:r>
        <w:rPr>
          <w:rFonts w:ascii="Arial Narrow" w:hAnsi="Arial Narrow"/>
          <w:b/>
          <w:color w:val="auto"/>
          <w:sz w:val="24"/>
          <w:highlight w:val="none"/>
        </w:rPr>
        <w:t>会计政策</w:t>
      </w:r>
      <w:r>
        <w:rPr>
          <w:rFonts w:hint="eastAsia" w:ascii="Arial Narrow" w:hAnsi="Arial Narrow"/>
          <w:b/>
          <w:color w:val="auto"/>
          <w:sz w:val="24"/>
          <w:highlight w:val="none"/>
        </w:rPr>
        <w:t>和</w:t>
      </w:r>
      <w:r>
        <w:rPr>
          <w:rFonts w:ascii="Arial Narrow" w:hAnsi="Arial Narrow"/>
          <w:b/>
          <w:color w:val="auto"/>
          <w:sz w:val="24"/>
          <w:highlight w:val="none"/>
        </w:rPr>
        <w:t>会计估计</w:t>
      </w:r>
    </w:p>
    <w:p>
      <w:pPr>
        <w:spacing w:line="520" w:lineRule="exact"/>
        <w:ind w:firstLine="482" w:firstLineChars="200"/>
        <w:outlineLvl w:val="1"/>
        <w:rPr>
          <w:rFonts w:ascii="Arial Narrow" w:hAnsi="Arial Narrow"/>
          <w:color w:val="auto"/>
          <w:sz w:val="24"/>
          <w:highlight w:val="none"/>
        </w:rPr>
      </w:pPr>
      <w:r>
        <w:rPr>
          <w:rFonts w:ascii="Arial Narrow" w:hAnsi="Arial Narrow"/>
          <w:b/>
          <w:bCs/>
          <w:color w:val="auto"/>
          <w:sz w:val="24"/>
          <w:highlight w:val="none"/>
        </w:rPr>
        <w:t>4.1</w:t>
      </w:r>
      <w:r>
        <w:rPr>
          <w:rFonts w:hint="eastAsia" w:ascii="Arial" w:hAnsi="Arial" w:cs="Arial"/>
          <w:b/>
          <w:color w:val="auto"/>
          <w:sz w:val="24"/>
          <w:highlight w:val="none"/>
        </w:rPr>
        <w:t>会计年度</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本行</w:t>
      </w:r>
      <w:r>
        <w:rPr>
          <w:rFonts w:ascii="Arial Narrow" w:hAnsi="Arial Narrow"/>
          <w:color w:val="auto"/>
          <w:sz w:val="24"/>
          <w:highlight w:val="none"/>
        </w:rPr>
        <w:t>的会计年度采用公历年度，即每年自1月1日起至12月31日止。</w:t>
      </w:r>
    </w:p>
    <w:p>
      <w:pPr>
        <w:spacing w:line="520" w:lineRule="exact"/>
        <w:ind w:firstLine="482" w:firstLineChars="200"/>
        <w:outlineLvl w:val="1"/>
        <w:rPr>
          <w:rFonts w:ascii="Arial Narrow" w:hAnsi="Arial Narrow"/>
          <w:color w:val="auto"/>
          <w:sz w:val="24"/>
          <w:highlight w:val="none"/>
        </w:rPr>
      </w:pPr>
      <w:r>
        <w:rPr>
          <w:rFonts w:ascii="Arial Narrow" w:hAnsi="Arial Narrow"/>
          <w:b/>
          <w:bCs/>
          <w:color w:val="auto"/>
          <w:sz w:val="24"/>
          <w:highlight w:val="none"/>
        </w:rPr>
        <w:t>4.2</w:t>
      </w:r>
      <w:r>
        <w:rPr>
          <w:rFonts w:hint="eastAsia" w:ascii="Arial" w:hAnsi="Arial" w:cs="Arial"/>
          <w:b/>
          <w:color w:val="auto"/>
          <w:sz w:val="24"/>
          <w:highlight w:val="none"/>
        </w:rPr>
        <w:t>记账本位币</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本行</w:t>
      </w:r>
      <w:r>
        <w:rPr>
          <w:rFonts w:ascii="Arial Narrow" w:hAnsi="Arial Narrow"/>
          <w:color w:val="auto"/>
          <w:sz w:val="24"/>
          <w:highlight w:val="none"/>
        </w:rPr>
        <w:t>记账本位币为人民币。</w:t>
      </w:r>
    </w:p>
    <w:p>
      <w:pPr>
        <w:spacing w:line="520" w:lineRule="exact"/>
        <w:ind w:firstLine="482" w:firstLineChars="200"/>
        <w:outlineLvl w:val="1"/>
        <w:rPr>
          <w:rFonts w:ascii="Arial Narrow" w:hAnsi="Arial Narrow"/>
          <w:b/>
          <w:bCs/>
          <w:color w:val="auto"/>
          <w:sz w:val="24"/>
          <w:highlight w:val="none"/>
        </w:rPr>
      </w:pPr>
      <w:r>
        <w:rPr>
          <w:rFonts w:hint="eastAsia" w:ascii="Arial Narrow" w:hAnsi="Arial Narrow"/>
          <w:b/>
          <w:bCs/>
          <w:color w:val="auto"/>
          <w:sz w:val="24"/>
          <w:highlight w:val="none"/>
        </w:rPr>
        <w:t>4.3</w:t>
      </w:r>
      <w:r>
        <w:rPr>
          <w:rFonts w:hint="eastAsia" w:ascii="Arial" w:hAnsi="Arial" w:cs="Arial"/>
          <w:b/>
          <w:color w:val="auto"/>
          <w:sz w:val="24"/>
          <w:highlight w:val="none"/>
        </w:rPr>
        <w:t>金融工具</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金融工具，是指形成一方的金融资产并形成其他方的金融负债或权益工具的合同。本行成为金融工具合同的一方时，确认一项金融资产或金融负债。</w:t>
      </w:r>
    </w:p>
    <w:p>
      <w:pPr>
        <w:spacing w:line="520" w:lineRule="exact"/>
        <w:ind w:firstLine="482" w:firstLineChars="200"/>
        <w:outlineLvl w:val="2"/>
        <w:rPr>
          <w:rFonts w:hint="eastAsia" w:ascii="Arial Narrow" w:hAnsi="Arial Narrow"/>
          <w:color w:val="auto"/>
          <w:sz w:val="24"/>
          <w:highlight w:val="none"/>
        </w:rPr>
      </w:pPr>
      <w:r>
        <w:rPr>
          <w:rFonts w:hint="eastAsia" w:ascii="Arial Narrow" w:hAnsi="Arial Narrow"/>
          <w:b/>
          <w:bCs/>
          <w:color w:val="auto"/>
          <w:sz w:val="24"/>
          <w:highlight w:val="none"/>
        </w:rPr>
        <w:t xml:space="preserve">4.3.1 </w:t>
      </w:r>
      <w:r>
        <w:rPr>
          <w:rFonts w:hint="eastAsia" w:ascii="Arial Narrow" w:hAnsi="Arial Narrow"/>
          <w:color w:val="auto"/>
          <w:sz w:val="24"/>
          <w:highlight w:val="none"/>
        </w:rPr>
        <w:t>金融资产的分类和计量</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根据管理金融资产的业务模式和金融资产的合同现金流量特征，将金融资产划分为：以摊余成本计量的金融资产、以公允价值计量且其变动计入其他综合收益的金融资产及以公允价值计量且其变动计入当期损益的金融资产。</w:t>
      </w:r>
    </w:p>
    <w:p>
      <w:pPr>
        <w:spacing w:line="520" w:lineRule="exact"/>
        <w:ind w:firstLine="482" w:firstLineChars="200"/>
        <w:outlineLvl w:val="3"/>
        <w:rPr>
          <w:rFonts w:hint="eastAsia" w:ascii="Arial Narrow" w:hAnsi="Arial Narrow"/>
          <w:b/>
          <w:bCs/>
          <w:color w:val="auto"/>
          <w:sz w:val="24"/>
          <w:highlight w:val="none"/>
        </w:rPr>
      </w:pPr>
      <w:r>
        <w:rPr>
          <w:rFonts w:hint="eastAsia" w:ascii="Arial Narrow" w:hAnsi="Arial Narrow"/>
          <w:b/>
          <w:bCs/>
          <w:color w:val="auto"/>
          <w:sz w:val="24"/>
          <w:highlight w:val="none"/>
        </w:rPr>
        <w:t xml:space="preserve">4.3.1.1 </w:t>
      </w:r>
      <w:r>
        <w:rPr>
          <w:rFonts w:hint="eastAsia" w:ascii="Arial Narrow" w:hAnsi="Arial Narrow"/>
          <w:color w:val="auto"/>
          <w:sz w:val="24"/>
          <w:highlight w:val="none"/>
        </w:rPr>
        <w:t>以摊余成本计量的债务工具投资</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 xml:space="preserve">金融资产同时符合以下条件的，分类为以摊余成本计量的金融资产：本行管理此类金融资产的业务模式为以收取合同现金流量为目标；该金融资产的合同条款规定，在特定日期产生的现金流量，仅为对本金和以未偿付本金金额为基础的利息的支付。 </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以摊余成本计量的金融资产包括应收票据及应收账款、其他应收款、长期应收款、债权投资等，按公允价值进行初始计量，相关交易费用计入初始确认金额；不包含重大融资成分的应收账款以及本行决定不考虑不超过一年的融资成分的应收账款，以合同交易价格进行初始计量。</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此类金融资产按照实际利率法以摊余成本进行后续计量，持有期间采用实际利率法计算的利息计入当期损益。收回或处置时，将取得的价款与该金融资产账面价值之间的差额计入当期损益。其摊销或减值产生的利得或损失，均计入当期损益。</w:t>
      </w:r>
    </w:p>
    <w:p>
      <w:pPr>
        <w:spacing w:line="520" w:lineRule="exact"/>
        <w:ind w:firstLine="482" w:firstLineChars="200"/>
        <w:outlineLvl w:val="3"/>
        <w:rPr>
          <w:rFonts w:hint="eastAsia" w:ascii="Arial Narrow" w:hAnsi="Arial Narrow"/>
          <w:color w:val="auto"/>
          <w:sz w:val="24"/>
          <w:highlight w:val="none"/>
        </w:rPr>
      </w:pPr>
      <w:r>
        <w:rPr>
          <w:rFonts w:hint="eastAsia" w:ascii="Arial Narrow" w:hAnsi="Arial Narrow"/>
          <w:b/>
          <w:bCs/>
          <w:color w:val="auto"/>
          <w:sz w:val="24"/>
          <w:highlight w:val="none"/>
        </w:rPr>
        <w:t xml:space="preserve">4.3.1.2 </w:t>
      </w:r>
      <w:r>
        <w:rPr>
          <w:rFonts w:hint="eastAsia" w:ascii="Arial Narrow" w:hAnsi="Arial Narrow"/>
          <w:color w:val="auto"/>
          <w:sz w:val="24"/>
          <w:highlight w:val="none"/>
        </w:rPr>
        <w:t>以公允价值计量且其变动计入其他综合收益的金融资产</w:t>
      </w:r>
    </w:p>
    <w:p>
      <w:pPr>
        <w:spacing w:line="520" w:lineRule="exact"/>
        <w:ind w:firstLine="482" w:firstLineChars="200"/>
        <w:rPr>
          <w:rFonts w:hint="eastAsia" w:ascii="Arial Narrow" w:hAnsi="Arial Narrow"/>
          <w:color w:val="auto"/>
          <w:sz w:val="24"/>
          <w:highlight w:val="none"/>
        </w:rPr>
      </w:pPr>
      <w:r>
        <w:rPr>
          <w:rFonts w:hint="eastAsia" w:ascii="Arial Narrow" w:hAnsi="Arial Narrow"/>
          <w:b/>
          <w:bCs/>
          <w:color w:val="auto"/>
          <w:sz w:val="24"/>
          <w:highlight w:val="none"/>
        </w:rPr>
        <w:t xml:space="preserve">4.3.1.2.1 </w:t>
      </w:r>
      <w:r>
        <w:rPr>
          <w:rFonts w:hint="eastAsia" w:ascii="Arial Narrow" w:hAnsi="Arial Narrow"/>
          <w:color w:val="auto"/>
          <w:sz w:val="24"/>
          <w:highlight w:val="none"/>
        </w:rPr>
        <w:t>以公允价值计量且其变动计入其他综合收益的债务工具投资</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金融资产同时符合以下条件的，分类为以公允价值计量且其变动计入其他综合收益的金融资产：本行管理此类金融资产的业务模式为既以收取合同现金流量为目标又以出售为目标；该金融资产的合同条款规定，在特定日期产生的现金流量，仅为对本金和以未偿付本金金额为基础的利息的支付。</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以公允价值计量且其变动计入其他综合收益的金融资产（债务工具）包括其他债权投资等，按公允价值进行初始计量，相关交易费用计入初始确认金额。该金融资产按公允价值进行后续计量，公允价值变动除采用实际利率法计算的利息、减值损失或利得和汇兑损益之外，均计入其他综合收益。</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终止确认时，之前计入其他综合收益的累计利得或损失从其他综合收益中转出，计入当期损益。</w:t>
      </w:r>
    </w:p>
    <w:p>
      <w:pPr>
        <w:overflowPunct w:val="0"/>
        <w:adjustRightInd w:val="0"/>
        <w:snapToGrid w:val="0"/>
        <w:spacing w:line="520" w:lineRule="exact"/>
        <w:ind w:firstLine="482" w:firstLineChars="200"/>
        <w:outlineLvl w:val="9"/>
        <w:rPr>
          <w:rFonts w:ascii="Arial" w:hAnsi="Arial" w:cs="Arial"/>
          <w:color w:val="auto"/>
          <w:sz w:val="24"/>
          <w:highlight w:val="none"/>
        </w:rPr>
      </w:pPr>
      <w:r>
        <w:rPr>
          <w:rFonts w:hint="eastAsia" w:ascii="Arial Narrow" w:hAnsi="Arial Narrow" w:eastAsia="宋体" w:cs="Times New Roman"/>
          <w:b/>
          <w:bCs/>
          <w:color w:val="auto"/>
          <w:sz w:val="24"/>
          <w:highlight w:val="none"/>
        </w:rPr>
        <w:t>4.3.1.2.2</w:t>
      </w:r>
      <w:r>
        <w:rPr>
          <w:rFonts w:hint="eastAsia" w:ascii="Arial" w:hAnsi="Arial" w:cs="Arial"/>
          <w:color w:val="auto"/>
          <w:sz w:val="24"/>
          <w:highlight w:val="none"/>
        </w:rPr>
        <w:t>指定为以公允价值计量且其变动计入其他综合收益的权益工具投资</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不可撤销地选择将部分非交易性权益工具投资指定为以公允价值计量且其变动计入其他综合收益的金融资产，包括其他权益工具投资等，仅将相关股利收入计入当期损益，公允价值变动计入其他综合收益。当该金融资产终止确认时，之前计入其他综合收益的累计利得或损失从其他综合收益中转出，计入留存收益。【据实际情况具体描述指定的情况】</w:t>
      </w:r>
    </w:p>
    <w:p>
      <w:pPr>
        <w:overflowPunct w:val="0"/>
        <w:adjustRightInd w:val="0"/>
        <w:snapToGrid w:val="0"/>
        <w:spacing w:line="520" w:lineRule="exact"/>
        <w:ind w:firstLine="482" w:firstLineChars="200"/>
        <w:outlineLvl w:val="3"/>
        <w:rPr>
          <w:rFonts w:ascii="Arial" w:hAnsi="Arial" w:cs="Arial"/>
          <w:color w:val="auto"/>
          <w:sz w:val="24"/>
          <w:highlight w:val="none"/>
        </w:rPr>
      </w:pPr>
      <w:r>
        <w:rPr>
          <w:rFonts w:hint="eastAsia" w:ascii="Arial Narrow" w:hAnsi="Arial Narrow" w:eastAsia="宋体" w:cs="Times New Roman"/>
          <w:b/>
          <w:bCs/>
          <w:color w:val="auto"/>
          <w:sz w:val="24"/>
          <w:highlight w:val="none"/>
        </w:rPr>
        <w:t>4.3.1.3</w:t>
      </w:r>
      <w:r>
        <w:rPr>
          <w:rFonts w:hint="eastAsia" w:ascii="Arial" w:hAnsi="Arial" w:cs="Arial"/>
          <w:color w:val="auto"/>
          <w:sz w:val="24"/>
          <w:highlight w:val="none"/>
        </w:rPr>
        <w:t xml:space="preserve"> 以公允价值计量且其变动计入当期损益的金融资产</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将持有的未划分为上述以摊余成本计量的金融资产和以公允价值计量且其变动计入其他综合收益的金融资产之外的金融资产，分类为以公允价值计量且其变动计入当期损益的金融资产。包括交易性金融资产、衍生金融资产、其他非流动金融资产等，按公允价值进行初始计量，相关交易费用计入当期损益。该金融资产按公允价值进行后续计量，公允价值变动计入当期损益。终止确认时，其公允价值与初始入账金额之间的差额确认为投资收益。</w:t>
      </w:r>
    </w:p>
    <w:p>
      <w:pPr>
        <w:keepNext w:val="0"/>
        <w:keepLines w:val="0"/>
        <w:pageBreakBefore w:val="0"/>
        <w:widowControl w:val="0"/>
        <w:kinsoku/>
        <w:wordWrap/>
        <w:overflowPunct w:val="0"/>
        <w:topLinePunct w:val="0"/>
        <w:autoSpaceDE/>
        <w:autoSpaceDN/>
        <w:bidi w:val="0"/>
        <w:adjustRightInd w:val="0"/>
        <w:snapToGrid w:val="0"/>
        <w:spacing w:line="520" w:lineRule="exact"/>
        <w:ind w:firstLine="420" w:firstLineChars="200"/>
        <w:textAlignment w:val="auto"/>
        <w:outlineLvl w:val="2"/>
        <w:rPr>
          <w:rFonts w:ascii="Arial" w:hAnsi="Arial" w:cs="Arial"/>
          <w:color w:val="auto"/>
          <w:sz w:val="21"/>
          <w:szCs w:val="21"/>
          <w:highlight w:val="none"/>
        </w:rPr>
      </w:pPr>
      <w:r>
        <w:rPr>
          <w:rFonts w:hint="eastAsia" w:ascii="Arial" w:hAnsi="Arial" w:cs="Arial"/>
          <w:color w:val="auto"/>
          <w:sz w:val="21"/>
          <w:szCs w:val="21"/>
          <w:highlight w:val="none"/>
        </w:rPr>
        <w:t>4.3.2 金融工具的减值</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本行对分类为以摊余成本计量的金融工具、分类为以公允价值计量且其变动计入其他综合收益的金融工具（债务工具）、租赁应收款、合同资产、应收款项以及财务担保合同以预期信用损失为基础确认损失准备。</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 xml:space="preserve">本行按照下列方法确定相关金融工具的预期信用损失： </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（a）对于金融资产，信用损失应为本行应收取的合同现金流量与预期收取的现金流量之间差额的现值；</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 xml:space="preserve">（b）对于租赁应收款项，信用损失应为本行应收取的合同现金流量与预期收取的现金流量之间差额的现值； </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 xml:space="preserve">（c）对于财务担保合同，信用损失应为本行就该合同持有人发生的信用损失向其做出赔付的预计付款额，减去本行预期向该合同持有人、债务人或任何其他方收取的金额之间差额的现值； </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 xml:space="preserve">（d）对于未提用的贷款承诺，信用损失应为在贷款承诺持有人提用相应贷款的情况下，企业应收取的合同现金流量与预期收取的现金流量之间差额的现值。 </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（e）对于资产负债表日已发生信用减值但并非购买或源生已发生信用减值的金融资产，信用损失为该金融资产账面余额与按原实际利率折现的估计未来现金流量的现值之间的差额。</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当本行不再合理预期金融资产合同现金流量能够全部或部分收回的，直接减记该金融资产的账面余额。这种减记构成相关金融资产的终止确认。</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对于其他金融工具，除购买或源生的已发生信用减值的金融资产外，本行在每个资产负债表日评估相关金融工具的信用风险自初始确认后的变动情况。若该金融工具的信用风险自初始确认后已显著增加，本行按照相当于该金融工具整个存续期内预期信用损失的金额计量其损失准备；若该金融工具的信用风险自初始确认后并未显著增加，本行按照相当于该金融工具未来12个月内预期信用损失的金额计量其损失准备。信用损失准备的增加或转回金额，除分类为以公允价值计量且其变动计入其他综合收益的金融资产外，作为减值损失或利得计入当期损益。对于分类为以公允价值计量且其变动计入其他综合收益的金融资产，本行在其他综合收益中确认其信用损失准备，并将减值损失或利得计入当期损益，且不减少该金融资产在资产负债表中列示的账面价值。</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在前一会计期间已经按照相当于金融工具整个存续期内预期信用损失的金额计量了损失准备，但在当期资产负债表日，该金融工具已不再属于自初始确认后信用风险显著增加的情形的，本行在当期资产负债表日按照相当于未来12个月内预期信用损失的金额计量该金融工具的损失准备，由此形成的损失准备的转回金额作为减值利得计入当期损益。</w:t>
      </w:r>
    </w:p>
    <w:p>
      <w:pPr>
        <w:overflowPunct w:val="0"/>
        <w:adjustRightInd w:val="0"/>
        <w:snapToGrid w:val="0"/>
        <w:spacing w:line="520" w:lineRule="exact"/>
        <w:ind w:firstLine="480" w:firstLineChars="200"/>
        <w:outlineLvl w:val="3"/>
        <w:rPr>
          <w:rFonts w:ascii="Arial" w:hAnsi="Arial" w:cs="Arial"/>
          <w:color w:val="auto"/>
          <w:sz w:val="24"/>
          <w:highlight w:val="none"/>
        </w:rPr>
      </w:pPr>
      <w:r>
        <w:rPr>
          <w:rFonts w:hint="eastAsia" w:ascii="Arial" w:hAnsi="Arial" w:cs="Arial"/>
          <w:color w:val="auto"/>
          <w:sz w:val="24"/>
          <w:highlight w:val="none"/>
        </w:rPr>
        <w:t>4.3.2.1信用风险显著增加</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本行利用可获得的合理且有依据的前瞻性信息，通过比较金融工具在资产负债表日发生违约的风险与在初始确认日发生违约的风险，以确定金融工具的信用风险自初始确认后是否已显著增加。</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于资产负债表日，若本行判断金融工具只具有较低的信用风险的，则假设该金融工具的信用风险自初始确认后并未显著增加。如果金融工具违约风险较低，借款人在短期内履行其合同现金流量义务的能力很强，并且即使较长时间内经济形势和经营环境存在不利变化但未必一定降低借款人履行其合同现金义务，则该金融工具被视为具有较低的信用风险。</w:t>
      </w:r>
    </w:p>
    <w:p>
      <w:pPr>
        <w:overflowPunct w:val="0"/>
        <w:adjustRightInd w:val="0"/>
        <w:snapToGrid w:val="0"/>
        <w:spacing w:line="520" w:lineRule="exact"/>
        <w:ind w:firstLine="480" w:firstLineChars="200"/>
        <w:outlineLvl w:val="3"/>
        <w:rPr>
          <w:rFonts w:ascii="Arial" w:hAnsi="Arial" w:cs="Arial"/>
          <w:color w:val="auto"/>
          <w:sz w:val="24"/>
          <w:highlight w:val="none"/>
        </w:rPr>
      </w:pPr>
      <w:r>
        <w:rPr>
          <w:rFonts w:hint="eastAsia" w:ascii="Arial" w:hAnsi="Arial" w:cs="Arial"/>
          <w:color w:val="auto"/>
          <w:sz w:val="24"/>
          <w:highlight w:val="none"/>
        </w:rPr>
        <w:t>4.3.2.2 已发生信用减值的金融资产</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当本行预期对金融资产未来现金流量具有不利影响的一项或多项事件发生时，该金融资产成为已发生信用减值的金融资产。金融资产已发生信用减值的证据包括下列可观察信息：①发行方或债务人发生重大财务困难；②债务人违反合同，如偿付利息或本金违约或逾期等；③债权人出于与债务人财务困难有关的经济或合同考虑，给予债务人在任何其他情况下都不会做出的让步；④债务人很可能破产或进行其他财务重组；⑤发行方或债务人财务困难导致该金融资产的活跃市场消失；⑥以大幅折扣购买或源生一项金融资产，该折扣反映了发生信用损失的事实。</w:t>
      </w:r>
    </w:p>
    <w:p>
      <w:pPr>
        <w:overflowPunct w:val="0"/>
        <w:adjustRightInd w:val="0"/>
        <w:snapToGrid w:val="0"/>
        <w:spacing w:line="520" w:lineRule="exact"/>
        <w:ind w:firstLine="480" w:firstLineChars="200"/>
        <w:outlineLvl w:val="2"/>
        <w:rPr>
          <w:rFonts w:ascii="Arial" w:hAnsi="Arial" w:cs="Arial"/>
          <w:color w:val="auto"/>
          <w:sz w:val="24"/>
          <w:highlight w:val="none"/>
        </w:rPr>
      </w:pPr>
      <w:r>
        <w:rPr>
          <w:rFonts w:hint="eastAsia" w:ascii="Arial" w:hAnsi="Arial" w:cs="Arial"/>
          <w:color w:val="auto"/>
          <w:sz w:val="24"/>
          <w:highlight w:val="none"/>
        </w:rPr>
        <w:t>4.3.3 金融资产转移确认依据和计量</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资产满足下列条件之一的，本行予以终止对该项金融资产的确认：收取该金融资产现金流量的合同权利终止；该金融资产已转移，且本行将金融资产所有权上几乎所有的风险和报酬转移给转入方；该金融资产已转移，虽然本行既没有转移也没有保留金融资产所有权上几乎所有的风险和报酬，但是放弃了对该金融资产控制。</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的金融资产部分转移满足终止确认条件的，将所转移金融资产整体的账面价值，在终止确认部分和未终止确认部分之间按照转移日各自相对的公允价值进行分摊，并将终止确认部分收到的对价与原计入其他综合收益的公允价值变动累计额中对应终止确认部分的金额之和与终止确认部分在终止确认日的账面价值之差额计入当期损益或留存收益。</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若本行既没有转移也没有保留金融资产所有权上几乎所有的风险和报酬，且未放弃对该金融资产的控制的，则按照继续涉入所转移金融资产的程度确认有关金融资产，并相应确认有关负债。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被转移金融资产以摊余成本计量的，相关负债的账面价值等于继续涉入被转移金融资产的账面价值减去本行保留的权利（如果本行因金融资产转移保留了相关权利）的摊余成本并加上本行承担的义务（如果本行因金融资产转移承担了相关义务）的摊余成本，相关负债不指定为以公允价值计量且其变动计入当期损益的金融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被转移金融资产以公允价值计量的，相关负债的账面价值等于继续涉入被转移金融资产的账面价值减去本行保留的权利（如果本行因金融资产转移保留了相关权利）的公允价值并加上本行承担的义务（如果本行因金融资产转移承担了相关义务）的公允价值，该权利和义务的公允价值应为按独立基础计量时的公允价值。</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金融资产转移不满足终止确认条件的，继续确认所转移金融资产整体，并将所收到的对价确认为一项金融负债。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对于继续涉入条件下的金融资产转移，本行根据继续涉入所转移金融资产的程度确认有关金融资产和金融负债，以充分反映本行所保留的权利和承担的义务。</w:t>
      </w:r>
    </w:p>
    <w:p>
      <w:pPr>
        <w:overflowPunct w:val="0"/>
        <w:adjustRightInd w:val="0"/>
        <w:snapToGrid w:val="0"/>
        <w:spacing w:line="520" w:lineRule="exact"/>
        <w:ind w:firstLine="480" w:firstLineChars="200"/>
        <w:outlineLvl w:val="2"/>
        <w:rPr>
          <w:rFonts w:ascii="Arial" w:hAnsi="Arial" w:cs="Arial"/>
          <w:color w:val="auto"/>
          <w:sz w:val="24"/>
          <w:highlight w:val="none"/>
        </w:rPr>
      </w:pPr>
      <w:r>
        <w:rPr>
          <w:rFonts w:hint="eastAsia" w:ascii="Arial" w:hAnsi="Arial" w:cs="Arial"/>
          <w:color w:val="auto"/>
          <w:sz w:val="24"/>
          <w:highlight w:val="none"/>
        </w:rPr>
        <w:t>4.3.4 金融负债的分类和计量</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本行的金融负债于初始确认时分类为以公允价值计量且其变动计入当期损益的金融负债和以摊余成本计量的金融负债。金融负债在初始确认时以公允价值计量。</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以公允价值计量且其变动计入当期损益的金融负债，包括交易性金融负债（含属于金融负债的衍生工具）和指定为以公允价值计量且其变动计入当期损益的金融负债。该类金融负债以公允价值计量，公允价值变动形成的利得或损失，计入当期损益。</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以摊余成本计量的金融负债，采用实际利率法，按摊余成本进行后续计量。</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金融负债的现时义务全部或部分已经解除的，终止确认该金融负债或其一部分。本行与债权人之间签订协议，以承担新金融负债方式替换现存金融负债，且新金融负债与现存金融负债的合同条款实质上不同的，终止确认现存金融负债，并同时确认新金融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金融负债全部或部分终止确认的，将终止确认部分的账面价值与支付的对价（包括转出的非现金资产或承担的新金融负债）之间的差额，计入当期损益。</w:t>
      </w:r>
    </w:p>
    <w:p>
      <w:pPr>
        <w:overflowPunct w:val="0"/>
        <w:adjustRightInd w:val="0"/>
        <w:snapToGrid w:val="0"/>
        <w:spacing w:line="520" w:lineRule="exact"/>
        <w:ind w:firstLine="480" w:firstLineChars="200"/>
        <w:outlineLvl w:val="2"/>
        <w:rPr>
          <w:rFonts w:ascii="Arial" w:hAnsi="Arial" w:cs="Arial"/>
          <w:color w:val="auto"/>
          <w:sz w:val="24"/>
          <w:highlight w:val="none"/>
        </w:rPr>
      </w:pPr>
      <w:r>
        <w:rPr>
          <w:rFonts w:hint="eastAsia" w:ascii="Arial" w:hAnsi="Arial" w:cs="Arial"/>
          <w:color w:val="auto"/>
          <w:sz w:val="24"/>
          <w:highlight w:val="none"/>
        </w:rPr>
        <w:t>4.3.5金融负债的终止确认</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本行金融负债的现时义务全部或部分已经解除的，终止确认该金融负债或其一部分。本行与债权人之间签订协议，以承担新金融负债方式替换现存金融负债，且新金融负债与现存金融负债的合同条款实质上不同的，终止确认现存金融负债，并同时确认新金融负债。</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金融负债全部或部分终止确认的，将终止确认部分的账面价值与支付的对价（包括转出的非现金资产或承担的新金融负债）之间的差额，计入当期损益。</w:t>
      </w:r>
    </w:p>
    <w:p>
      <w:pPr>
        <w:overflowPunct w:val="0"/>
        <w:adjustRightInd w:val="0"/>
        <w:snapToGrid w:val="0"/>
        <w:spacing w:line="520" w:lineRule="exact"/>
        <w:ind w:firstLine="480" w:firstLineChars="200"/>
        <w:outlineLvl w:val="2"/>
        <w:rPr>
          <w:rFonts w:ascii="Arial" w:hAnsi="Arial" w:cs="Arial"/>
          <w:color w:val="auto"/>
          <w:sz w:val="24"/>
          <w:highlight w:val="none"/>
        </w:rPr>
      </w:pPr>
      <w:r>
        <w:rPr>
          <w:rFonts w:hint="eastAsia" w:ascii="Arial" w:hAnsi="Arial" w:cs="Arial"/>
          <w:color w:val="auto"/>
          <w:sz w:val="24"/>
          <w:highlight w:val="none"/>
        </w:rPr>
        <w:t>4.3.6金融资产和金融负债的抵销</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金融资产和金融负债在资产负债表内分别列示，不相互抵销。但同时满足下列条件的，以相互抵销后的净额在资产负债表内列示：本行具有抵销已确认金额的法定权利，且该种法定权利是当前可执行的；本行计划以净额结算，或同时变现该金融资产和清偿该金融负债。不满足终止确认条件的金融资产转移，转出方不得将已转移的金融资产和相关负债进行抵销。</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hint="eastAsia" w:ascii="Arial" w:hAnsi="Arial" w:cs="Arial"/>
          <w:b/>
          <w:color w:val="auto"/>
          <w:sz w:val="24"/>
          <w:highlight w:val="none"/>
        </w:rPr>
        <w:t>4.4 其他应收款</w:t>
      </w:r>
    </w:p>
    <w:p>
      <w:pPr>
        <w:overflowPunct w:val="0"/>
        <w:adjustRightInd w:val="0"/>
        <w:snapToGrid w:val="0"/>
        <w:spacing w:line="520" w:lineRule="exact"/>
        <w:ind w:firstLine="480" w:firstLineChars="200"/>
        <w:outlineLvl w:val="9"/>
        <w:rPr>
          <w:rFonts w:ascii="Arial" w:hAnsi="Arial" w:cs="Arial"/>
          <w:color w:val="auto"/>
          <w:sz w:val="24"/>
          <w:highlight w:val="none"/>
        </w:rPr>
      </w:pPr>
      <w:r>
        <w:rPr>
          <w:rFonts w:hint="eastAsia" w:ascii="Arial" w:hAnsi="Arial" w:cs="Arial"/>
          <w:color w:val="auto"/>
          <w:sz w:val="24"/>
          <w:highlight w:val="none"/>
        </w:rPr>
        <w:t>其他应收款项目，反映资产负债表日经营活动产生的其他各种应收、暂付的款项。</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5</w:t>
      </w:r>
      <w:r>
        <w:rPr>
          <w:rFonts w:ascii="Arial" w:hAnsi="Arial" w:cs="Arial"/>
          <w:b/>
          <w:color w:val="auto"/>
          <w:sz w:val="24"/>
          <w:highlight w:val="none"/>
        </w:rPr>
        <w:t xml:space="preserve"> </w:t>
      </w:r>
      <w:r>
        <w:rPr>
          <w:rFonts w:ascii="Arial" w:hAnsi="宋体" w:cs="Arial"/>
          <w:b/>
          <w:color w:val="auto"/>
          <w:sz w:val="24"/>
          <w:highlight w:val="none"/>
        </w:rPr>
        <w:t>固定资产</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 xml:space="preserve">固定资产指本行为经营管理而持有的，使用寿命超过一个会计年度的有形资产。在建工程是指正在建造的房屋及建筑物、机器设备等，在达到预定可使用状态时，转入相应的固定资产。 </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w:t>
      </w:r>
      <w:r>
        <w:rPr>
          <w:rFonts w:hint="eastAsia" w:ascii="Arial" w:hAnsi="宋体" w:cs="Arial"/>
          <w:b w:val="0"/>
          <w:bCs/>
          <w:color w:val="auto"/>
          <w:sz w:val="24"/>
          <w:highlight w:val="none"/>
        </w:rPr>
        <w:t>5</w:t>
      </w:r>
      <w:r>
        <w:rPr>
          <w:rFonts w:ascii="Arial" w:hAnsi="宋体" w:cs="Arial"/>
          <w:b w:val="0"/>
          <w:bCs/>
          <w:color w:val="auto"/>
          <w:sz w:val="24"/>
          <w:highlight w:val="none"/>
        </w:rPr>
        <w:t>.1 固定资产的成本</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除本行承继原建行的固定资产和在建工程以重组基准日评估值为成本外，固定资产以成本进行初始计量。外购固定资产的成本包括购买价款、相关税费以及使该项资产达到预定可使用状态前所发生的可归属于该项资产的费用。自行建造固定资产的成本由建造该项资产达到预定可使用状态前所发生的必要支出构成。固定资产的各组成部分具有不同预计使用年限或者以不同方式提供经济利益，适用不同折旧率或折旧方法的，本行分别将各组成部分确认为单项固定资产。对于固定资产的后续支出，包括与更换固定资产某组成部分相关的支出，在符合固定资产确认条件时计入固定资产成本，同时将被替换部分的账面价值扣除。与固定资产日常维护相关的支出在发生时计入当期损益。</w:t>
      </w:r>
      <w:r>
        <w:rPr>
          <w:rFonts w:ascii="Arial" w:hAnsi="Arial" w:cs="Arial"/>
          <w:color w:val="auto"/>
          <w:kern w:val="0"/>
          <w:sz w:val="24"/>
          <w:szCs w:val="24"/>
          <w:highlight w:val="none"/>
        </w:rPr>
        <w:t xml:space="preserve"> </w:t>
      </w:r>
    </w:p>
    <w:p>
      <w:pPr>
        <w:pStyle w:val="6"/>
        <w:snapToGrid w:val="0"/>
        <w:spacing w:line="520" w:lineRule="exact"/>
        <w:ind w:firstLine="480" w:firstLineChars="200"/>
        <w:outlineLvl w:val="9"/>
        <w:rPr>
          <w:rFonts w:hint="eastAsia" w:ascii="Arial" w:hAnsi="Arial" w:eastAsia="仿宋_GB2312" w:cs="Arial"/>
          <w:b w:val="0"/>
          <w:bCs w:val="0"/>
          <w:color w:val="auto"/>
          <w:kern w:val="2"/>
          <w:sz w:val="24"/>
          <w:szCs w:val="24"/>
          <w:highlight w:val="none"/>
          <w:lang w:val="en-US" w:eastAsia="zh-CN" w:bidi="ar-SA"/>
        </w:rPr>
      </w:pPr>
      <w:r>
        <w:rPr>
          <w:rFonts w:hint="eastAsia" w:ascii="Arial" w:hAnsi="Arial" w:eastAsia="仿宋_GB2312" w:cs="Arial"/>
          <w:b w:val="0"/>
          <w:bCs w:val="0"/>
          <w:color w:val="auto"/>
          <w:kern w:val="2"/>
          <w:sz w:val="24"/>
          <w:szCs w:val="24"/>
          <w:highlight w:val="none"/>
          <w:lang w:val="en-US" w:eastAsia="zh-CN" w:bidi="ar-SA"/>
        </w:rPr>
        <w:t>4.5.2 固定资产的折旧和减值</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本行在固定资产预计使用年限内对固定资产原价扣除其预计净残值如有后的金额按直线法计提折旧，计入当期损益。已计提减值准备的固定资产，在计提折旧时会扣除已计提的固定资产减值准备累计金额。在建工程不计提折旧。本行各类固定资产的预计使用年限、预计净残值率及年折旧率如下：</w:t>
      </w:r>
      <w:r>
        <w:rPr>
          <w:rFonts w:ascii="Arial" w:hAnsi="Arial" w:cs="Arial"/>
          <w:color w:val="auto"/>
          <w:kern w:val="0"/>
          <w:sz w:val="24"/>
          <w:szCs w:val="24"/>
          <w:highlight w:val="none"/>
        </w:rPr>
        <w:t xml:space="preserve"> </w:t>
      </w:r>
    </w:p>
    <w:tbl>
      <w:tblPr>
        <w:tblStyle w:val="12"/>
        <w:tblpPr w:leftFromText="180" w:rightFromText="180" w:vertAnchor="text" w:horzAnchor="page" w:tblpX="1498" w:tblpY="213"/>
        <w:tblOverlap w:val="never"/>
        <w:tblW w:w="90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0"/>
        <w:gridCol w:w="2464"/>
        <w:gridCol w:w="2175"/>
        <w:gridCol w:w="2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0" w:type="dxa"/>
            <w:noWrap w:val="0"/>
            <w:vAlign w:val="top"/>
          </w:tcPr>
          <w:p>
            <w:pPr>
              <w:spacing w:line="520" w:lineRule="auto"/>
              <w:jc w:val="center"/>
              <w:outlineLvl w:val="9"/>
              <w:rPr>
                <w:rFonts w:ascii="Arial Narrow" w:hAnsi="Arial Narrow" w:cs="Arial"/>
                <w:b/>
                <w:color w:val="auto"/>
                <w:sz w:val="28"/>
                <w:szCs w:val="20"/>
                <w:highlight w:val="none"/>
                <w:shd w:val="clear" w:color="auto" w:fill="FFFFFF"/>
              </w:rPr>
            </w:pPr>
            <w:r>
              <w:rPr>
                <w:rFonts w:ascii="Arial Narrow" w:hAnsi="Arial Narrow" w:cs="Arial"/>
                <w:b/>
                <w:color w:val="auto"/>
                <w:sz w:val="28"/>
                <w:szCs w:val="20"/>
                <w:highlight w:val="none"/>
                <w:shd w:val="clear" w:color="auto" w:fill="FFFFFF"/>
              </w:rPr>
              <w:t>资产类别</w:t>
            </w:r>
          </w:p>
        </w:tc>
        <w:tc>
          <w:tcPr>
            <w:tcW w:w="2464" w:type="dxa"/>
            <w:noWrap w:val="0"/>
            <w:vAlign w:val="top"/>
          </w:tcPr>
          <w:p>
            <w:pPr>
              <w:spacing w:line="520" w:lineRule="auto"/>
              <w:jc w:val="center"/>
              <w:outlineLvl w:val="9"/>
              <w:rPr>
                <w:rFonts w:ascii="Arial Narrow" w:hAnsi="Arial Narrow" w:cs="Arial"/>
                <w:b/>
                <w:color w:val="auto"/>
                <w:sz w:val="28"/>
                <w:szCs w:val="20"/>
                <w:highlight w:val="none"/>
                <w:shd w:val="clear" w:color="auto" w:fill="FFFFFF"/>
              </w:rPr>
            </w:pPr>
            <w:r>
              <w:rPr>
                <w:rFonts w:ascii="Arial Narrow" w:hAnsi="Arial Narrow" w:cs="Arial"/>
                <w:b/>
                <w:color w:val="auto"/>
                <w:sz w:val="28"/>
                <w:szCs w:val="20"/>
                <w:highlight w:val="none"/>
                <w:shd w:val="clear" w:color="auto" w:fill="FFFFFF"/>
              </w:rPr>
              <w:t>预计使用年限</w:t>
            </w:r>
          </w:p>
        </w:tc>
        <w:tc>
          <w:tcPr>
            <w:tcW w:w="2175" w:type="dxa"/>
            <w:noWrap w:val="0"/>
            <w:vAlign w:val="top"/>
          </w:tcPr>
          <w:p>
            <w:pPr>
              <w:spacing w:line="520" w:lineRule="auto"/>
              <w:jc w:val="center"/>
              <w:outlineLvl w:val="9"/>
              <w:rPr>
                <w:rFonts w:ascii="Arial Narrow" w:hAnsi="Arial Narrow" w:cs="Arial"/>
                <w:b/>
                <w:color w:val="auto"/>
                <w:sz w:val="28"/>
                <w:szCs w:val="20"/>
                <w:highlight w:val="none"/>
                <w:shd w:val="clear" w:color="auto" w:fill="FFFFFF"/>
              </w:rPr>
            </w:pPr>
            <w:r>
              <w:rPr>
                <w:rFonts w:ascii="Arial Narrow" w:hAnsi="Arial Narrow" w:cs="Arial"/>
                <w:b/>
                <w:color w:val="auto"/>
                <w:sz w:val="28"/>
                <w:szCs w:val="20"/>
                <w:highlight w:val="none"/>
                <w:shd w:val="clear" w:color="auto" w:fill="FFFFFF"/>
              </w:rPr>
              <w:t>预计净残值率</w:t>
            </w:r>
          </w:p>
        </w:tc>
        <w:tc>
          <w:tcPr>
            <w:tcW w:w="2186" w:type="dxa"/>
            <w:noWrap w:val="0"/>
            <w:vAlign w:val="top"/>
          </w:tcPr>
          <w:p>
            <w:pPr>
              <w:spacing w:line="520" w:lineRule="auto"/>
              <w:jc w:val="center"/>
              <w:outlineLvl w:val="9"/>
              <w:rPr>
                <w:rFonts w:ascii="Arial Narrow" w:hAnsi="Arial Narrow" w:cs="Arial"/>
                <w:b/>
                <w:color w:val="auto"/>
                <w:sz w:val="28"/>
                <w:szCs w:val="20"/>
                <w:highlight w:val="none"/>
                <w:shd w:val="clear" w:color="auto" w:fill="FFFFFF"/>
              </w:rPr>
            </w:pPr>
            <w:r>
              <w:rPr>
                <w:rFonts w:ascii="Arial Narrow" w:hAnsi="Arial Narrow" w:cs="Arial"/>
                <w:b/>
                <w:color w:val="auto"/>
                <w:sz w:val="28"/>
                <w:szCs w:val="20"/>
                <w:highlight w:val="none"/>
                <w:shd w:val="clear" w:color="auto" w:fill="FFFFFF"/>
              </w:rPr>
              <w:t>年折旧率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2220"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房屋及建筑物</w:t>
            </w:r>
          </w:p>
        </w:tc>
        <w:tc>
          <w:tcPr>
            <w:tcW w:w="2464" w:type="dxa"/>
            <w:noWrap w:val="0"/>
            <w:vAlign w:val="center"/>
          </w:tcPr>
          <w:p>
            <w:pPr>
              <w:spacing w:line="520" w:lineRule="auto"/>
              <w:jc w:val="center"/>
              <w:outlineLvl w:val="9"/>
              <w:rPr>
                <w:rFonts w:hint="default" w:ascii="Arial Narrow" w:hAnsi="Arial Narrow" w:eastAsia="宋体" w:cs="Arial"/>
                <w:color w:val="auto"/>
                <w:sz w:val="28"/>
                <w:szCs w:val="20"/>
                <w:highlight w:val="none"/>
                <w:shd w:val="clear" w:color="auto" w:fill="FFFFFF"/>
                <w:lang w:val="en-US" w:eastAsia="zh-CN"/>
              </w:rPr>
            </w:pPr>
            <w:r>
              <w:rPr>
                <w:rFonts w:ascii="Arial Narrow" w:hAnsi="Arial Narrow" w:cs="Arial"/>
                <w:color w:val="auto"/>
                <w:sz w:val="28"/>
                <w:szCs w:val="20"/>
                <w:highlight w:val="none"/>
                <w:shd w:val="clear" w:color="auto" w:fill="FFFFFF"/>
              </w:rPr>
              <w:t>20年</w:t>
            </w:r>
            <w:r>
              <w:rPr>
                <w:rFonts w:hint="eastAsia" w:ascii="Arial Narrow" w:hAnsi="Arial Narrow" w:cs="Arial"/>
                <w:color w:val="auto"/>
                <w:sz w:val="28"/>
                <w:szCs w:val="20"/>
                <w:highlight w:val="none"/>
                <w:shd w:val="clear" w:color="auto" w:fill="FFFFFF"/>
                <w:lang w:eastAsia="zh-CN"/>
              </w:rPr>
              <w:t>、</w:t>
            </w:r>
            <w:r>
              <w:rPr>
                <w:rFonts w:hint="eastAsia" w:ascii="Arial Narrow" w:hAnsi="Arial Narrow" w:cs="Arial"/>
                <w:color w:val="auto"/>
                <w:sz w:val="28"/>
                <w:szCs w:val="20"/>
                <w:highlight w:val="none"/>
                <w:shd w:val="clear" w:color="auto" w:fill="FFFFFF"/>
                <w:lang w:val="en-US" w:eastAsia="zh-CN"/>
              </w:rPr>
              <w:t>40年</w:t>
            </w:r>
          </w:p>
        </w:tc>
        <w:tc>
          <w:tcPr>
            <w:tcW w:w="2175"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5%</w:t>
            </w:r>
          </w:p>
        </w:tc>
        <w:tc>
          <w:tcPr>
            <w:tcW w:w="2186" w:type="dxa"/>
            <w:noWrap w:val="0"/>
            <w:vAlign w:val="center"/>
          </w:tcPr>
          <w:p>
            <w:pPr>
              <w:spacing w:line="520" w:lineRule="auto"/>
              <w:jc w:val="center"/>
              <w:outlineLvl w:val="9"/>
              <w:rPr>
                <w:rFonts w:hint="default" w:ascii="Arial Narrow" w:hAnsi="Arial Narrow" w:eastAsia="宋体" w:cs="Arial"/>
                <w:color w:val="auto"/>
                <w:sz w:val="28"/>
                <w:szCs w:val="20"/>
                <w:highlight w:val="none"/>
                <w:shd w:val="clear" w:color="auto" w:fill="FFFFFF"/>
                <w:lang w:val="en-US" w:eastAsia="zh-CN"/>
              </w:rPr>
            </w:pPr>
            <w:r>
              <w:rPr>
                <w:rFonts w:ascii="Arial Narrow" w:hAnsi="Arial Narrow" w:cs="Arial"/>
                <w:color w:val="auto"/>
                <w:sz w:val="28"/>
                <w:szCs w:val="20"/>
                <w:highlight w:val="none"/>
                <w:shd w:val="clear" w:color="auto" w:fill="FFFFFF"/>
              </w:rPr>
              <w:t>4.75%</w:t>
            </w:r>
            <w:r>
              <w:rPr>
                <w:rFonts w:hint="eastAsia" w:ascii="Arial Narrow" w:hAnsi="Arial Narrow" w:cs="Arial"/>
                <w:color w:val="auto"/>
                <w:sz w:val="28"/>
                <w:szCs w:val="20"/>
                <w:highlight w:val="none"/>
                <w:shd w:val="clear" w:color="auto" w:fill="FFFFFF"/>
                <w:lang w:eastAsia="zh-CN"/>
              </w:rPr>
              <w:t>、</w:t>
            </w:r>
            <w:r>
              <w:rPr>
                <w:rFonts w:hint="eastAsia" w:ascii="Arial Narrow" w:hAnsi="Arial Narrow" w:cs="Arial"/>
                <w:color w:val="auto"/>
                <w:sz w:val="28"/>
                <w:szCs w:val="20"/>
                <w:highlight w:val="none"/>
                <w:shd w:val="clear" w:color="auto" w:fill="FFFFFF"/>
                <w:lang w:val="en-US" w:eastAsia="zh-CN"/>
              </w:rPr>
              <w:t>2.375%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0"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机器设备</w:t>
            </w:r>
          </w:p>
        </w:tc>
        <w:tc>
          <w:tcPr>
            <w:tcW w:w="2464"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10年</w:t>
            </w:r>
          </w:p>
        </w:tc>
        <w:tc>
          <w:tcPr>
            <w:tcW w:w="2175"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3%</w:t>
            </w:r>
          </w:p>
        </w:tc>
        <w:tc>
          <w:tcPr>
            <w:tcW w:w="2186"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0"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交通工具</w:t>
            </w:r>
          </w:p>
        </w:tc>
        <w:tc>
          <w:tcPr>
            <w:tcW w:w="2464"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4年</w:t>
            </w:r>
          </w:p>
        </w:tc>
        <w:tc>
          <w:tcPr>
            <w:tcW w:w="2175"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3%</w:t>
            </w:r>
          </w:p>
        </w:tc>
        <w:tc>
          <w:tcPr>
            <w:tcW w:w="2186"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24.25%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0"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hint="eastAsia" w:ascii="Arial Narrow" w:hAnsi="Arial Narrow" w:cs="Arial"/>
                <w:color w:val="auto"/>
                <w:sz w:val="28"/>
                <w:szCs w:val="20"/>
                <w:highlight w:val="none"/>
                <w:shd w:val="clear" w:color="auto" w:fill="FFFFFF"/>
              </w:rPr>
              <w:t>办公用具</w:t>
            </w:r>
          </w:p>
        </w:tc>
        <w:tc>
          <w:tcPr>
            <w:tcW w:w="2464"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hint="eastAsia" w:ascii="Arial Narrow" w:hAnsi="Arial Narrow" w:cs="Arial"/>
                <w:color w:val="auto"/>
                <w:sz w:val="28"/>
                <w:szCs w:val="20"/>
                <w:highlight w:val="none"/>
                <w:shd w:val="clear" w:color="auto" w:fill="FFFFFF"/>
              </w:rPr>
              <w:t>5</w:t>
            </w:r>
            <w:r>
              <w:rPr>
                <w:rFonts w:ascii="Arial Narrow" w:hAnsi="Arial Narrow" w:cs="Arial"/>
                <w:color w:val="auto"/>
                <w:sz w:val="28"/>
                <w:szCs w:val="20"/>
                <w:highlight w:val="none"/>
                <w:shd w:val="clear" w:color="auto" w:fill="FFFFFF"/>
              </w:rPr>
              <w:t>年</w:t>
            </w:r>
          </w:p>
        </w:tc>
        <w:tc>
          <w:tcPr>
            <w:tcW w:w="2175"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ascii="Arial Narrow" w:hAnsi="Arial Narrow" w:cs="Arial"/>
                <w:color w:val="auto"/>
                <w:sz w:val="28"/>
                <w:szCs w:val="20"/>
                <w:highlight w:val="none"/>
                <w:shd w:val="clear" w:color="auto" w:fill="FFFFFF"/>
              </w:rPr>
              <w:t>3%</w:t>
            </w:r>
          </w:p>
        </w:tc>
        <w:tc>
          <w:tcPr>
            <w:tcW w:w="2186" w:type="dxa"/>
            <w:noWrap w:val="0"/>
            <w:vAlign w:val="center"/>
          </w:tcPr>
          <w:p>
            <w:pPr>
              <w:spacing w:line="520" w:lineRule="auto"/>
              <w:jc w:val="center"/>
              <w:outlineLvl w:val="9"/>
              <w:rPr>
                <w:rFonts w:ascii="Arial Narrow" w:hAnsi="Arial Narrow" w:cs="Arial"/>
                <w:color w:val="auto"/>
                <w:sz w:val="28"/>
                <w:szCs w:val="20"/>
                <w:highlight w:val="none"/>
                <w:shd w:val="clear" w:color="auto" w:fill="FFFFFF"/>
              </w:rPr>
            </w:pPr>
            <w:r>
              <w:rPr>
                <w:rFonts w:hint="eastAsia" w:ascii="Arial Narrow" w:hAnsi="Arial Narrow" w:cs="Arial"/>
                <w:color w:val="auto"/>
                <w:sz w:val="28"/>
                <w:szCs w:val="20"/>
                <w:highlight w:val="none"/>
                <w:shd w:val="clear" w:color="auto" w:fill="FFFFFF"/>
              </w:rPr>
              <w:t>19.4%</w:t>
            </w:r>
          </w:p>
        </w:tc>
      </w:tr>
    </w:tbl>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本行至少每年对固定资产的预计使用年限、预计净残值率和折旧方法进行复核。本行固定资产的减值按附注4.11进行处理。</w:t>
      </w:r>
      <w:r>
        <w:rPr>
          <w:rFonts w:ascii="Arial" w:hAnsi="Arial" w:cs="Arial"/>
          <w:color w:val="auto"/>
          <w:kern w:val="0"/>
          <w:sz w:val="24"/>
          <w:szCs w:val="24"/>
          <w:highlight w:val="none"/>
        </w:rPr>
        <w:t xml:space="preserve"> </w:t>
      </w:r>
    </w:p>
    <w:p>
      <w:pPr>
        <w:pStyle w:val="6"/>
        <w:snapToGrid w:val="0"/>
        <w:spacing w:line="520" w:lineRule="exact"/>
        <w:ind w:firstLine="480" w:firstLineChars="200"/>
        <w:outlineLvl w:val="9"/>
        <w:rPr>
          <w:rFonts w:hint="eastAsia" w:ascii="Arial" w:hAnsi="Arial" w:eastAsia="仿宋_GB2312" w:cs="Arial"/>
          <w:b w:val="0"/>
          <w:bCs w:val="0"/>
          <w:color w:val="auto"/>
          <w:kern w:val="2"/>
          <w:sz w:val="24"/>
          <w:szCs w:val="24"/>
          <w:highlight w:val="none"/>
          <w:lang w:val="en-US" w:eastAsia="zh-CN" w:bidi="ar-SA"/>
        </w:rPr>
      </w:pPr>
      <w:r>
        <w:rPr>
          <w:rFonts w:hint="eastAsia" w:ascii="Arial" w:hAnsi="Arial" w:eastAsia="仿宋_GB2312" w:cs="Arial"/>
          <w:b w:val="0"/>
          <w:bCs w:val="0"/>
          <w:color w:val="auto"/>
          <w:kern w:val="2"/>
          <w:sz w:val="24"/>
          <w:szCs w:val="24"/>
          <w:highlight w:val="none"/>
          <w:lang w:val="en-US" w:eastAsia="zh-CN" w:bidi="ar-SA"/>
        </w:rPr>
        <w:t>4.5.3 固定资产的处置</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报废或处置固定资产所产生的利得或损失为处置所得款项净额与资产账面价值之间的差额，并于报废或处置日在当期损益中确认。</w:t>
      </w:r>
      <w:r>
        <w:rPr>
          <w:rFonts w:ascii="Arial" w:hAnsi="Arial"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6</w:t>
      </w:r>
      <w:r>
        <w:rPr>
          <w:rFonts w:ascii="Arial" w:hAnsi="宋体" w:cs="Arial"/>
          <w:b/>
          <w:color w:val="auto"/>
          <w:sz w:val="24"/>
          <w:highlight w:val="none"/>
        </w:rPr>
        <w:t>租赁</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租赁是指本行让渡或取得了在一定期间内控制一项或多项已识别资产使用的权利以换取或支付对价的合同。在一项合同开始日，本行评估合同是否为租赁或包含租赁。 </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w:t>
      </w:r>
      <w:r>
        <w:rPr>
          <w:rFonts w:hint="eastAsia" w:ascii="Arial" w:hAnsi="宋体" w:cs="Arial"/>
          <w:b w:val="0"/>
          <w:bCs/>
          <w:color w:val="auto"/>
          <w:sz w:val="24"/>
          <w:highlight w:val="none"/>
        </w:rPr>
        <w:t>6</w:t>
      </w:r>
      <w:r>
        <w:rPr>
          <w:rFonts w:ascii="Arial" w:hAnsi="宋体" w:cs="Arial"/>
          <w:b w:val="0"/>
          <w:bCs/>
          <w:color w:val="auto"/>
          <w:sz w:val="24"/>
          <w:highlight w:val="none"/>
        </w:rPr>
        <w:t>.1</w:t>
      </w:r>
      <w:r>
        <w:rPr>
          <w:rFonts w:hint="eastAsia" w:ascii="Arial" w:hAnsi="宋体" w:cs="Arial"/>
          <w:b w:val="0"/>
          <w:bCs/>
          <w:color w:val="auto"/>
          <w:sz w:val="24"/>
          <w:highlight w:val="none"/>
        </w:rPr>
        <w:t>本行作为承租人</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对于短期租赁（在租赁开始日租赁期不超过12个月的租赁）和低价值资产租赁，本行采取简化处理方法，不确认使用权资产和租赁负债，而在租赁期内各个期间按照直线法或其他系统合理的方法将租赁付款额计入相关资产成本或当期损益。</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7</w:t>
      </w:r>
      <w:r>
        <w:rPr>
          <w:rFonts w:ascii="Arial" w:hAnsi="宋体" w:cs="Arial"/>
          <w:b/>
          <w:color w:val="auto"/>
          <w:sz w:val="24"/>
          <w:highlight w:val="none"/>
        </w:rPr>
        <w:t>在建工程</w:t>
      </w:r>
      <w:r>
        <w:rPr>
          <w:rFonts w:ascii="Arial" w:hAnsi="Arial" w:cs="Arial"/>
          <w:b/>
          <w:color w:val="auto"/>
          <w:sz w:val="24"/>
          <w:highlight w:val="none"/>
        </w:rPr>
        <w:t> </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在建工程包括正在建造的办公楼及其附属物和设备的成本。在建工程成本包括设备原价、建筑和安装成本和发生的其他直接成本。在建工程自达到预定可使用状态时转列为固定资产，并按有关的折旧政策计提折旧。在建工程不计提折旧。</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8</w:t>
      </w:r>
      <w:r>
        <w:rPr>
          <w:rFonts w:ascii="Arial" w:hAnsi="宋体" w:cs="Arial"/>
          <w:b/>
          <w:color w:val="auto"/>
          <w:sz w:val="24"/>
          <w:highlight w:val="none"/>
        </w:rPr>
        <w:t>无形资产</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软件和其他无形资产以成本进行初始计量。本行在无形资产的使用寿命内对无形资产成本扣除其预计净残值如有后的金额按直线法进行摊销，计入当期损益。已计提减值准备的无形资产，在摊销时会扣除已计提的减值准备累计金额。本行无形资产的减值按附注4.11进行处理。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9</w:t>
      </w:r>
      <w:r>
        <w:rPr>
          <w:rFonts w:ascii="Arial" w:hAnsi="宋体" w:cs="Arial"/>
          <w:b/>
          <w:color w:val="auto"/>
          <w:sz w:val="24"/>
          <w:highlight w:val="none"/>
        </w:rPr>
        <w:t>长期待摊费用</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长期待摊费用是指已经发生，但摊销期限在一年以上不含一年的各项费用，主要包括租入固定资产改良支出和租赁费等。租赁费是指以经营性租赁方式租入固定资产发生的租赁费用，根据合同期限平均摊销。其他长期待摊费用根据合同或协议期限与受益期限孰短原则确定摊销期限，并平均摊销。如果长期待摊的费用项目不能使本行以后会计期间受益的，将尚未摊销的项目的摊余价值全部转入当期损益。</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w:t>
      </w:r>
      <w:r>
        <w:rPr>
          <w:rFonts w:hint="eastAsia" w:ascii="Arial" w:hAnsi="Arial" w:cs="Arial"/>
          <w:b/>
          <w:color w:val="auto"/>
          <w:sz w:val="24"/>
          <w:highlight w:val="none"/>
        </w:rPr>
        <w:t>10</w:t>
      </w:r>
      <w:r>
        <w:rPr>
          <w:rFonts w:ascii="Arial" w:hAnsi="宋体" w:cs="Arial"/>
          <w:b/>
          <w:color w:val="auto"/>
          <w:sz w:val="24"/>
          <w:highlight w:val="none"/>
        </w:rPr>
        <w:t>抵债资产</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在收回已减值贷款和垫款时，本行可通过法律程序收回抵押品的所有权或由借款人自愿交付所有权。如果本行有意按规定对资产进行变现并且不再要求借款人偿还贷款，将确认抵债资产并在资产负债表中列报为“其他资产”。当本行以抵债资产作为补偿贷款和垫款及应收利息的损失时，该抵债资产以公允价值入账，取得抵债资产应支付的相关税费、垫付诉讼费用和其他成本计入抵债资产账面价值。抵债资产以入账价值减按照附注4.11中所述的会计政策计量的减值准备计入资产负债表中。</w:t>
      </w:r>
      <w:r>
        <w:rPr>
          <w:rFonts w:ascii="Arial" w:hAnsi="Arial"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1</w:t>
      </w:r>
      <w:r>
        <w:rPr>
          <w:rFonts w:hint="eastAsia" w:ascii="Arial" w:hAnsi="宋体" w:cs="Arial"/>
          <w:b/>
          <w:color w:val="auto"/>
          <w:sz w:val="24"/>
          <w:highlight w:val="none"/>
        </w:rPr>
        <w:t>长期资产减值</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对于固定资产、在建工程、使用寿命有限的无形资产等非流动非金融资产，本行于资产负债表日判断是否存在减值迹象。如存在减值迹象的，则估计其可收回金额，进行减值测试。</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pPr>
        <w:pStyle w:val="6"/>
        <w:snapToGrid w:val="0"/>
        <w:spacing w:line="520" w:lineRule="exact"/>
        <w:ind w:firstLine="480" w:firstLineChars="200"/>
        <w:outlineLvl w:val="9"/>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上述资产减值损失一经确认，以后期间不予转回价值得以恢复的部分。</w:t>
      </w:r>
      <w:r>
        <w:rPr>
          <w:rFonts w:ascii="Arial" w:hAnsi="Arial"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2</w:t>
      </w:r>
      <w:r>
        <w:rPr>
          <w:rFonts w:ascii="Arial" w:hAnsi="Arial" w:cs="Arial"/>
          <w:b/>
          <w:color w:val="auto"/>
          <w:sz w:val="24"/>
          <w:highlight w:val="none"/>
        </w:rPr>
        <w:t xml:space="preserve"> </w:t>
      </w:r>
      <w:r>
        <w:rPr>
          <w:rFonts w:ascii="Arial" w:hAnsi="宋体" w:cs="Arial"/>
          <w:b/>
          <w:color w:val="auto"/>
          <w:sz w:val="24"/>
          <w:highlight w:val="none"/>
        </w:rPr>
        <w:t>职工薪酬</w:t>
      </w:r>
      <w:r>
        <w:rPr>
          <w:rFonts w:ascii="Arial" w:hAnsi="Arial" w:cs="Arial"/>
          <w:b/>
          <w:color w:val="auto"/>
          <w:sz w:val="24"/>
          <w:highlight w:val="none"/>
        </w:rPr>
        <w:t xml:space="preserve"> </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职工薪酬是本行为获得职工提供的服务或解除劳动关系而给予的各种形式的报酬或补偿。除辞退福利外，本行在员工提供服务的会计期间，将应付职工薪酬确认为负债，并相应增加资产成本或当期费用。如延迟付款或清偿所产生的折现会构成重大影响的，将对付款额进行折现后列示于资产负债表中。 </w:t>
      </w:r>
    </w:p>
    <w:p>
      <w:pPr>
        <w:overflowPunct w:val="0"/>
        <w:adjustRightInd w:val="0"/>
        <w:snapToGrid w:val="0"/>
        <w:spacing w:line="520" w:lineRule="exact"/>
        <w:ind w:firstLine="480" w:firstLineChars="200"/>
        <w:outlineLvl w:val="1"/>
        <w:rPr>
          <w:rFonts w:hint="eastAsia" w:ascii="Arial" w:hAnsi="宋体" w:cs="Arial"/>
          <w:b w:val="0"/>
          <w:bCs/>
          <w:color w:val="auto"/>
          <w:sz w:val="24"/>
          <w:highlight w:val="none"/>
        </w:rPr>
      </w:pPr>
      <w:r>
        <w:rPr>
          <w:rFonts w:hint="eastAsia" w:ascii="Arial" w:hAnsi="宋体" w:cs="Arial"/>
          <w:b w:val="0"/>
          <w:bCs/>
          <w:color w:val="auto"/>
          <w:sz w:val="24"/>
          <w:highlight w:val="none"/>
        </w:rPr>
        <w:t>4.12.1 离职后福利</w:t>
      </w:r>
    </w:p>
    <w:p>
      <w:pPr>
        <w:pStyle w:val="6"/>
        <w:snapToGrid w:val="0"/>
        <w:spacing w:line="520" w:lineRule="exact"/>
        <w:ind w:firstLine="480" w:firstLineChars="200"/>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本行将离职后福利计划分类为设定提存计划和设定受益计划。设定提存计划是本行向独立的基金缴存固定费用后，不再承担进一步支付义务的离职后福利计划；设定受益计划是除设定提存计划以外的离职后福利计划。于报告期内，本行属于设定提存计划的离职后福利主要是为员工缴纳的基本养老保险、企业年金及失业保险；属于设定受益计划的离职后福利主要为补充退休福利。基本养老保险按中国有关法规，本行员工参加了由当地劳动和社会保障部门组织实施的社会基本养老保险。本行以当地规定的社会基本养老保险缴纳基数和比例，向当地社会基本养老保险经办机构缴纳养老保险费。上述缴纳的社会基本养老保险按权责发生制原则计入当期损益。员工退休后，各地劳动及社会保障部门向已退休员工支付社会基本养老金。</w:t>
      </w:r>
    </w:p>
    <w:p>
      <w:pPr>
        <w:overflowPunct w:val="0"/>
        <w:adjustRightInd w:val="0"/>
        <w:snapToGrid w:val="0"/>
        <w:spacing w:line="520" w:lineRule="exact"/>
        <w:ind w:firstLine="480" w:firstLineChars="200"/>
        <w:outlineLvl w:val="1"/>
        <w:rPr>
          <w:rFonts w:hint="eastAsia" w:ascii="Arial" w:hAnsi="宋体" w:cs="Arial"/>
          <w:b w:val="0"/>
          <w:bCs/>
          <w:color w:val="auto"/>
          <w:sz w:val="24"/>
          <w:highlight w:val="none"/>
        </w:rPr>
      </w:pPr>
      <w:r>
        <w:rPr>
          <w:rFonts w:hint="eastAsia" w:ascii="Arial" w:hAnsi="宋体" w:cs="Arial"/>
          <w:b w:val="0"/>
          <w:bCs/>
          <w:color w:val="auto"/>
          <w:sz w:val="24"/>
          <w:highlight w:val="none"/>
        </w:rPr>
        <w:t>4.12.2辞退福利</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本行在职工劳动合同到期之前解除与职工的劳动关系，或者为鼓励职工自愿接受裁减而提出给予补偿的建议，在本行不能单方面撤回解除劳动关系计划或裁减建议时和确认与涉及支付辞退福利的重组相关的成本费用时两者孰早日，确认因解除与职工的劳动关系给予补偿而产生的负债，同时计入当期损益。 </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2</w:t>
      </w:r>
      <w:r>
        <w:rPr>
          <w:rFonts w:ascii="Arial" w:hAnsi="宋体" w:cs="Arial"/>
          <w:b w:val="0"/>
          <w:bCs/>
          <w:color w:val="auto"/>
          <w:sz w:val="24"/>
          <w:highlight w:val="none"/>
        </w:rPr>
        <w:t>.3内部退养福利</w:t>
      </w:r>
    </w:p>
    <w:p>
      <w:pPr>
        <w:pStyle w:val="6"/>
        <w:snapToGrid w:val="0"/>
        <w:spacing w:line="520" w:lineRule="exact"/>
        <w:ind w:firstLine="480" w:firstLineChars="200"/>
        <w:outlineLvl w:val="9"/>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本行与未达到国家规定退休年龄，自愿申请退出工作岗位休养的员工达成协 议，自内部退养安排开始之日起至达到国家规定退休年龄止，本行向这些员工支付内部退养福利。估算假设变化及福利标准调整引起的差异于发生时计入当期损益。</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2</w:t>
      </w:r>
      <w:r>
        <w:rPr>
          <w:rFonts w:ascii="Arial" w:hAnsi="宋体" w:cs="Arial"/>
          <w:b w:val="0"/>
          <w:bCs/>
          <w:color w:val="auto"/>
          <w:sz w:val="24"/>
          <w:highlight w:val="none"/>
        </w:rPr>
        <w:t>.4员工激励计划</w:t>
      </w:r>
    </w:p>
    <w:p>
      <w:pPr>
        <w:pStyle w:val="6"/>
        <w:snapToGrid w:val="0"/>
        <w:spacing w:line="520" w:lineRule="exact"/>
        <w:ind w:firstLine="480" w:firstLineChars="200"/>
        <w:rPr>
          <w:rFonts w:hint="eastAsia" w:ascii="Arial" w:hAnsi="宋体"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经董事会批准，为奖励符合激励条件的员工已为本行提供的服务，本行向参与激励计划的员工支付一定金额的员工奖励基金。上述奖励基金由专设的员工理事会独立管理。当本行存在法定或推定支付义务，且该义务能够合理估计时，本行确认员工激励计划项下的费用。</w:t>
      </w:r>
      <w:r>
        <w:rPr>
          <w:rFonts w:hint="eastAsia" w:ascii="Arial" w:hAnsi="宋体"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3</w:t>
      </w:r>
      <w:r>
        <w:rPr>
          <w:rFonts w:ascii="Arial" w:hAnsi="Arial" w:cs="Arial"/>
          <w:b/>
          <w:color w:val="auto"/>
          <w:sz w:val="24"/>
          <w:highlight w:val="none"/>
        </w:rPr>
        <w:t xml:space="preserve"> </w:t>
      </w:r>
      <w:r>
        <w:rPr>
          <w:rFonts w:ascii="Arial" w:hAnsi="宋体" w:cs="Arial"/>
          <w:b/>
          <w:color w:val="auto"/>
          <w:sz w:val="24"/>
          <w:highlight w:val="none"/>
        </w:rPr>
        <w:t>预计负债及或有负债</w:t>
      </w:r>
      <w:r>
        <w:rPr>
          <w:rFonts w:ascii="Arial" w:hAnsi="Arial" w:cs="Arial"/>
          <w:b/>
          <w:color w:val="auto"/>
          <w:sz w:val="24"/>
          <w:highlight w:val="none"/>
        </w:rPr>
        <w:t xml:space="preserve"> </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如与或有事项相关的义务是本行承担的现时义务，且该义务的履行很可能会导致经济利益流出本行，以及有关金额能够可靠地计量，则本行会于资产负债表中确认预计负债。预计负债按履行相关现时义务所需支出的最佳估计数进行初始计量。本行在确定最佳估计数时，综合考虑与或有事项有关的风险、不确定性及货币时间价值等因素。对于货币时间价值影响重大的，通过对相关未来现金流出折现后的金额确定最佳估计数。对过去的交易或者事项形成的潜在义务，其存在须通过未来不确定事项的发生或不发生予以证实；或过去的交易或者事项形成的现时义务，履行该义务不是很可能导致经济利益流出本行或该义务的金额不能可靠计量，则本行会将该潜在义务或现时义务披露为或有负债，但在经济利益流出本行的可能性极低的情况下除外。</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4</w:t>
      </w:r>
      <w:r>
        <w:rPr>
          <w:rFonts w:ascii="Arial" w:hAnsi="Arial" w:cs="Arial"/>
          <w:b/>
          <w:color w:val="auto"/>
          <w:sz w:val="24"/>
          <w:highlight w:val="none"/>
        </w:rPr>
        <w:t xml:space="preserve"> </w:t>
      </w:r>
      <w:r>
        <w:rPr>
          <w:rFonts w:ascii="Arial" w:hAnsi="宋体" w:cs="Arial"/>
          <w:b/>
          <w:color w:val="auto"/>
          <w:sz w:val="24"/>
          <w:highlight w:val="none"/>
        </w:rPr>
        <w:t>权益工具</w:t>
      </w:r>
      <w:r>
        <w:rPr>
          <w:rFonts w:ascii="Arial" w:hAnsi="Arial" w:cs="Arial"/>
          <w:b/>
          <w:color w:val="auto"/>
          <w:sz w:val="24"/>
          <w:highlight w:val="none"/>
        </w:rPr>
        <w:t xml:space="preserve"> </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权益工具是能证明拥有本行在扣除所有负债后的资产中的剩余权益的合同。同时满足下列条件的，应当将发行的金融工具分类为权益工具：</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a、该金融工具。不包括交付现金或其他金融资产给其他方，或在潜在不利条件下与其他方交换 金融资产或金融负债的合同义务；</w:t>
      </w:r>
    </w:p>
    <w:p>
      <w:pPr>
        <w:pStyle w:val="6"/>
        <w:snapToGrid w:val="0"/>
        <w:spacing w:line="520" w:lineRule="exact"/>
        <w:ind w:firstLine="480" w:firstLineChars="200"/>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b、将来须用或可用自身权益工具结算该金融工具的，如该金融工具为非衍生工具，不包括交付可变数量的自身权益工具进行结算的合同义务；如为衍生工具，只能通过以固定数量的自身权益工具交换固定金额的现金或其他金融资产结算该金融工具。本行发行的权益工具以实际收到的对价扣除直接归属于权益性交易的交易费用后的余额确认。</w:t>
      </w:r>
      <w:r>
        <w:rPr>
          <w:rFonts w:hint="eastAsia" w:ascii="Arial" w:hAnsi="宋体"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5</w:t>
      </w:r>
      <w:r>
        <w:rPr>
          <w:rFonts w:ascii="Arial" w:hAnsi="Arial" w:cs="Arial"/>
          <w:b/>
          <w:color w:val="auto"/>
          <w:sz w:val="24"/>
          <w:highlight w:val="none"/>
        </w:rPr>
        <w:t xml:space="preserve"> </w:t>
      </w:r>
      <w:r>
        <w:rPr>
          <w:rFonts w:ascii="Arial" w:hAnsi="宋体" w:cs="Arial"/>
          <w:b/>
          <w:color w:val="auto"/>
          <w:sz w:val="24"/>
          <w:highlight w:val="none"/>
        </w:rPr>
        <w:t>财务担保合同和贷款承诺</w:t>
      </w:r>
      <w:r>
        <w:rPr>
          <w:rFonts w:ascii="Arial" w:hAnsi="Arial" w:cs="Arial"/>
          <w:b/>
          <w:color w:val="auto"/>
          <w:sz w:val="24"/>
          <w:highlight w:val="none"/>
        </w:rPr>
        <w:t xml:space="preserve"> </w:t>
      </w:r>
    </w:p>
    <w:p>
      <w:pPr>
        <w:pStyle w:val="6"/>
        <w:snapToGrid w:val="0"/>
        <w:spacing w:line="520" w:lineRule="exact"/>
        <w:ind w:firstLine="480" w:firstLineChars="200"/>
        <w:rPr>
          <w:rFonts w:hint="eastAsia" w:ascii="Arial" w:hAnsi="宋体"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财务担保合同要求发行人为合同持有人提供偿还保障，即在被担保人到期不能履行合同条款支付款项时，代为偿付合同持有人的损失。财务担保合同在担保提供日按公允价值进行初始确认。在初始确认之后，负债金额按初始确认金额扣减担保手续费摊销后的摊余价值与对本行履行担保责任所需的预期信用损失准备的最佳估计孰高列示。与该合同相关负债的增加计入当年合并利润表。本行提供的贷款承诺按照预期信用损失评估减值。本行并未承诺以任何低于市场利率的价格发放贷款，也不以支付现金或发行其他金融工具作为贷款承诺的净结算。本行将贷款承诺和财务担保合同的损失准备列报在预计负债中。但如果一项工具同时包含贷款和未使用的承诺，且本行不能把贷款部分与未使用的承诺部分产生的预期信用损失区分开，那么两者的损失准备一并列报在贷款的损失准备中，除非两者的损失准备合计超过了贷款账面余额，则将损失准备列报在预计负债中。</w:t>
      </w:r>
      <w:r>
        <w:rPr>
          <w:rFonts w:hint="eastAsia" w:ascii="Arial" w:hAnsi="宋体"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Arial" w:cs="Arial"/>
          <w:b/>
          <w:color w:val="auto"/>
          <w:sz w:val="24"/>
          <w:highlight w:val="none"/>
        </w:rPr>
      </w:pPr>
      <w:r>
        <w:rPr>
          <w:rFonts w:ascii="Arial" w:hAnsi="Arial" w:cs="Arial"/>
          <w:b/>
          <w:color w:val="auto"/>
          <w:sz w:val="24"/>
          <w:highlight w:val="none"/>
        </w:rPr>
        <w:t>4.1</w:t>
      </w:r>
      <w:r>
        <w:rPr>
          <w:rFonts w:hint="eastAsia" w:ascii="Arial" w:hAnsi="Arial" w:cs="Arial"/>
          <w:b/>
          <w:color w:val="auto"/>
          <w:sz w:val="24"/>
          <w:highlight w:val="none"/>
        </w:rPr>
        <w:t>6</w:t>
      </w:r>
      <w:r>
        <w:rPr>
          <w:rFonts w:ascii="Arial" w:hAnsi="Arial" w:cs="Arial"/>
          <w:b/>
          <w:color w:val="auto"/>
          <w:sz w:val="24"/>
          <w:highlight w:val="none"/>
        </w:rPr>
        <w:t xml:space="preserve"> </w:t>
      </w:r>
      <w:r>
        <w:rPr>
          <w:rFonts w:ascii="Arial" w:hAnsi="宋体" w:cs="Arial"/>
          <w:b/>
          <w:color w:val="auto"/>
          <w:sz w:val="24"/>
          <w:highlight w:val="none"/>
        </w:rPr>
        <w:t>收入确认</w:t>
      </w:r>
      <w:r>
        <w:rPr>
          <w:rFonts w:ascii="Arial" w:hAnsi="Arial" w:cs="Arial"/>
          <w:b/>
          <w:color w:val="auto"/>
          <w:sz w:val="24"/>
          <w:highlight w:val="none"/>
        </w:rPr>
        <w:t xml:space="preserve"> </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本行与客户之间的合同同时满足下列条件时，在客户取得相关商品控制权时确认收入：合同各方已批准该合同并承诺将履行各自义务；合同明确了合同各方与所转让商品或提供劳务相关的权利和义务；合同有明确的与所转让商品相关的支付条款；合同具有商业实质，即履行该合同将改变本行未来现金流量的风险、时间分布或金额；本行因向客户转让商品而有权取得的对价很可能收回。</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在合同开始日，本行识别合同中存在的各单项履约义务，并将交易价格按照各单项履约义务所承诺商品的单独售价的相对比例分摊至各单项履约义务。在确定交易价格时考虑了可变对价、合同中存在的重大融资成分、非现金对价、应付客户对价等因素的影响。</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对于合同中的每个单项履约义务，如果满足下列条件之一的，本行在相关履约时段内按照履约进度将分摊至该单项履约义务的交易价格确认为收入：客户在本行履约的同时即取得并消耗本行履约所带来的经济利益；客户能够控制本行履约过程中在建的商品；本行履约过程中所产出的商品具有不可替代用途，且本行在整个合同期间内有权就累计至今已完成的履约部分收取款项。履约进度根据所转让商品的性质采用投入法或产出法确定，当履约进度不能合理确定时，本行已经发生的成本预计能够得到补偿的，按照已经发生的成本金额确认收入，直到履约进度能够合理确定为止。</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如果不满足上述条件之一，则本行在客户取得相关商品控制权的时点将分摊至该单项履约义务的交易价格确认收入。在判断客户是否已取得商品控制权时，本行考虑下列迹象：企业就该商品享有现时收款权利，即客户就该商品负有现时付款义务；企业已将该商品的法定所有权转移给客户，即客户已拥有该商品的法定所有权；企业已将该商品实物转移给客户，即客户已实物占有该商品；企业已将该商品所有权上的主要风险和报酬转移给客户，即客户已取得该商品所有权上的主要风险和报酬；客户已接受该商品；其他表明客户已取得商品控制权的迹象。 </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6</w:t>
      </w:r>
      <w:r>
        <w:rPr>
          <w:rFonts w:ascii="Arial" w:hAnsi="宋体" w:cs="Arial"/>
          <w:b w:val="0"/>
          <w:bCs/>
          <w:color w:val="auto"/>
          <w:sz w:val="24"/>
          <w:highlight w:val="none"/>
        </w:rPr>
        <w:t>.1利息收入</w:t>
      </w:r>
    </w:p>
    <w:p>
      <w:pPr>
        <w:pStyle w:val="6"/>
        <w:snapToGrid w:val="0"/>
        <w:spacing w:line="520" w:lineRule="exact"/>
        <w:ind w:firstLine="480" w:firstLineChars="200"/>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金融工具的利息收入按实际利率法计算并计入当期损益。利息收入包括折价或溢价，或生息资产的初始账面价值与到期日金额之间的其他差异按实际利率法计算进行的摊销。实际利率法是指按金融资产或金融负债的实际利率计算其摊余成本及利息收入或利息支出的方法。实际利率是将金融工具在预期存续期间或适用的更短期间内的未来现金流量，折现为该金融工具当前账面价值所使用的利率。在计算实际利率时，本集团会在考虑金融工具如提前还款权、类似期权等的所有合同条款但不会考虑未来信用损失的基础上预计未来现金流量。计算项目包括属于实际利率组成部分的订约方之间所支付或收取的各项收费、交易费用及溢价或折价。已减值金融资产的利息收入，按确定减值损失时对未来现金流量进行折现采用的折现率作为利率进行计算。</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6</w:t>
      </w:r>
      <w:r>
        <w:rPr>
          <w:rFonts w:ascii="Arial" w:hAnsi="宋体" w:cs="Arial"/>
          <w:b w:val="0"/>
          <w:bCs/>
          <w:color w:val="auto"/>
          <w:sz w:val="24"/>
          <w:highlight w:val="none"/>
        </w:rPr>
        <w:t>.2手续费及佣金收入</w:t>
      </w:r>
    </w:p>
    <w:p>
      <w:pPr>
        <w:pStyle w:val="6"/>
        <w:snapToGrid w:val="0"/>
        <w:spacing w:line="520" w:lineRule="exact"/>
        <w:ind w:firstLine="480" w:firstLineChars="200"/>
        <w:rPr>
          <w:rFonts w:hint="eastAsia" w:ascii="Arial" w:hAnsi="Arial" w:eastAsia="仿宋_GB2312" w:cs="Arial"/>
          <w:color w:val="auto"/>
          <w:kern w:val="2"/>
          <w:sz w:val="24"/>
          <w:szCs w:val="24"/>
          <w:highlight w:val="none"/>
          <w:lang w:val="en-US" w:eastAsia="zh-CN" w:bidi="ar-SA"/>
        </w:rPr>
      </w:pPr>
      <w:r>
        <w:rPr>
          <w:rFonts w:hint="eastAsia" w:ascii="Arial" w:hAnsi="Arial" w:eastAsia="仿宋_GB2312" w:cs="Arial"/>
          <w:color w:val="auto"/>
          <w:kern w:val="2"/>
          <w:sz w:val="24"/>
          <w:szCs w:val="24"/>
          <w:highlight w:val="none"/>
          <w:lang w:val="en-US" w:eastAsia="zh-CN" w:bidi="ar-SA"/>
        </w:rPr>
        <w:t xml:space="preserve">手续费及佣金收入在提供相关服务时计入当期损益。本行将由于形成或取得金融资产而收取的初始费收入或承诺费收入进行递延，作为对实际利率的调整；如本行在贷款承诺期满时还没有发放贷款，有关收费将确认为手续费及佣金收入。 </w:t>
      </w:r>
    </w:p>
    <w:p>
      <w:pPr>
        <w:overflowPunct w:val="0"/>
        <w:adjustRightInd w:val="0"/>
        <w:snapToGrid w:val="0"/>
        <w:spacing w:line="520" w:lineRule="exact"/>
        <w:ind w:firstLine="482" w:firstLineChars="200"/>
        <w:outlineLvl w:val="1"/>
        <w:rPr>
          <w:rFonts w:ascii="Arial" w:hAnsi="宋体" w:cs="Arial"/>
          <w:b/>
          <w:color w:val="auto"/>
          <w:sz w:val="24"/>
          <w:highlight w:val="none"/>
        </w:rPr>
      </w:pPr>
      <w:r>
        <w:rPr>
          <w:rFonts w:ascii="Arial" w:hAnsi="宋体" w:cs="Arial"/>
          <w:b/>
          <w:color w:val="auto"/>
          <w:sz w:val="24"/>
          <w:highlight w:val="none"/>
        </w:rPr>
        <w:t>4.1</w:t>
      </w:r>
      <w:r>
        <w:rPr>
          <w:rFonts w:hint="eastAsia" w:ascii="Arial" w:hAnsi="宋体" w:cs="Arial"/>
          <w:b/>
          <w:color w:val="auto"/>
          <w:sz w:val="24"/>
          <w:highlight w:val="none"/>
        </w:rPr>
        <w:t>7</w:t>
      </w:r>
      <w:r>
        <w:rPr>
          <w:rFonts w:ascii="Arial" w:hAnsi="宋体" w:cs="Arial"/>
          <w:b/>
          <w:color w:val="auto"/>
          <w:sz w:val="24"/>
          <w:highlight w:val="none"/>
        </w:rPr>
        <w:t xml:space="preserve"> 所得税 </w:t>
      </w:r>
    </w:p>
    <w:p>
      <w:pPr>
        <w:pStyle w:val="6"/>
        <w:snapToGrid w:val="0"/>
        <w:spacing w:line="520" w:lineRule="exact"/>
        <w:ind w:firstLine="480" w:firstLineChars="200"/>
        <w:rPr>
          <w:rFonts w:ascii="Arial" w:hAnsi="Arial" w:cs="Arial"/>
          <w:color w:val="auto"/>
          <w:kern w:val="0"/>
          <w:sz w:val="24"/>
          <w:szCs w:val="24"/>
          <w:highlight w:val="none"/>
        </w:rPr>
      </w:pPr>
      <w:r>
        <w:rPr>
          <w:rFonts w:hint="eastAsia" w:ascii="Arial" w:hAnsi="Arial" w:eastAsia="仿宋_GB2312" w:cs="Arial"/>
          <w:color w:val="auto"/>
          <w:kern w:val="2"/>
          <w:sz w:val="24"/>
          <w:szCs w:val="24"/>
          <w:highlight w:val="none"/>
          <w:lang w:val="en-US" w:eastAsia="zh-CN" w:bidi="ar-SA"/>
        </w:rPr>
        <w:t>当期所得税包括根据当期应纳税所得额及资产负债表日的适用税率计算的预期应交所得税和对以前年度应交所得税的调整。本行就资产或负债的账面价值与其计税基础之间的暂时性差异确认递延所得税资产和递延所得税负债。对于能够结转以后年度的可抵扣亏损和税款抵减亦会产生递延所得税。递延所得税资产的确认以很可能取得用来抵扣可抵扣暂时性差异的应纳税所得额为限。本行除了将与直接计入其他综合收益或股东权益的交易或者事项有关的所得税影响计入其他综合收益或股东权益外，当期所得税费用和递延所得税变动计入当期损益。资产负债表日，本行根据递延所得税资产和负债的预期实现或结算方式，依据税法规定，按预期收回该资产或清偿该负债期间的适用税率计量该递延所得资产和递延所得税负债的账面价值。当本行有法定权利以当期所得税负债抵销当期所得税资产，并且递延所得税资产和递延所得税负债归属于同一纳税主体和同一税务机关时，本行将抵销 递延所得税资产和递延所得税负债。否则，递延所得税资产和负债及其变动额分别列示，不相互抵销。</w:t>
      </w:r>
      <w:r>
        <w:rPr>
          <w:rFonts w:ascii="Arial" w:hAnsi="Arial" w:cs="Arial"/>
          <w:color w:val="auto"/>
          <w:kern w:val="0"/>
          <w:sz w:val="24"/>
          <w:szCs w:val="24"/>
          <w:highlight w:val="none"/>
        </w:rPr>
        <w:t xml:space="preserve"> </w:t>
      </w:r>
    </w:p>
    <w:p>
      <w:pPr>
        <w:overflowPunct w:val="0"/>
        <w:adjustRightInd w:val="0"/>
        <w:snapToGrid w:val="0"/>
        <w:spacing w:line="520" w:lineRule="exact"/>
        <w:ind w:firstLine="482" w:firstLineChars="200"/>
        <w:outlineLvl w:val="1"/>
        <w:rPr>
          <w:rFonts w:ascii="Arial" w:hAnsi="宋体" w:cs="Arial"/>
          <w:b/>
          <w:color w:val="auto"/>
          <w:sz w:val="24"/>
          <w:highlight w:val="none"/>
        </w:rPr>
      </w:pPr>
      <w:r>
        <w:rPr>
          <w:rFonts w:ascii="Arial" w:hAnsi="宋体" w:cs="Arial"/>
          <w:b/>
          <w:color w:val="auto"/>
          <w:sz w:val="24"/>
          <w:highlight w:val="none"/>
        </w:rPr>
        <w:t>4.1</w:t>
      </w:r>
      <w:r>
        <w:rPr>
          <w:rFonts w:hint="eastAsia" w:ascii="Arial" w:hAnsi="宋体" w:cs="Arial"/>
          <w:b/>
          <w:color w:val="auto"/>
          <w:sz w:val="24"/>
          <w:highlight w:val="none"/>
        </w:rPr>
        <w:t>8</w:t>
      </w:r>
      <w:r>
        <w:rPr>
          <w:rFonts w:ascii="Arial" w:hAnsi="宋体" w:cs="Arial"/>
          <w:b/>
          <w:color w:val="auto"/>
          <w:sz w:val="24"/>
          <w:highlight w:val="none"/>
        </w:rPr>
        <w:t>重大会计判断和估计</w:t>
      </w:r>
    </w:p>
    <w:p>
      <w:pPr>
        <w:overflowPunct w:val="0"/>
        <w:adjustRightInd w:val="0"/>
        <w:snapToGrid w:val="0"/>
        <w:spacing w:line="520" w:lineRule="exact"/>
        <w:ind w:firstLine="480" w:firstLineChars="200"/>
        <w:rPr>
          <w:rFonts w:ascii="Arial" w:hAnsi="Arial" w:cs="Arial"/>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在运用会计政策过程中，由于经营活动内在的不确定性，</w:t>
      </w:r>
      <w:r>
        <w:rPr>
          <w:rFonts w:hint="eastAsia" w:ascii="Arial" w:hAnsi="宋体" w:cs="Arial"/>
          <w:color w:val="auto"/>
          <w:sz w:val="24"/>
          <w:highlight w:val="none"/>
        </w:rPr>
        <w:t>本行</w:t>
      </w:r>
      <w:r>
        <w:rPr>
          <w:rFonts w:ascii="Arial" w:hAnsi="宋体" w:cs="Arial"/>
          <w:color w:val="auto"/>
          <w:sz w:val="24"/>
          <w:highlight w:val="none"/>
        </w:rPr>
        <w:t>需要对无法准确计量的报表项目的账面价值进行判断、估计和假设。这些判断、估计和假设是基于</w:t>
      </w:r>
      <w:r>
        <w:rPr>
          <w:rFonts w:hint="eastAsia" w:ascii="Arial" w:hAnsi="宋体" w:cs="Arial"/>
          <w:color w:val="auto"/>
          <w:sz w:val="24"/>
          <w:highlight w:val="none"/>
        </w:rPr>
        <w:t>本行</w:t>
      </w:r>
      <w:r>
        <w:rPr>
          <w:rFonts w:ascii="Arial" w:hAnsi="宋体" w:cs="Arial"/>
          <w:color w:val="auto"/>
          <w:sz w:val="24"/>
          <w:highlight w:val="none"/>
        </w:rPr>
        <w:t>管理层过去的历史经验，并在考虑其他相关因素的基础上做出的。这些判断、估计和假设会影响收入、费用、资产和负债的报告金额以及资产负债表日或有负债的披露。然而，这些估计的不确定性所导致的实际结果可能与</w:t>
      </w:r>
      <w:r>
        <w:rPr>
          <w:rFonts w:hint="eastAsia" w:ascii="Arial" w:hAnsi="宋体" w:cs="Arial"/>
          <w:color w:val="auto"/>
          <w:sz w:val="24"/>
          <w:highlight w:val="none"/>
        </w:rPr>
        <w:t>本行</w:t>
      </w:r>
      <w:r>
        <w:rPr>
          <w:rFonts w:ascii="Arial" w:hAnsi="宋体" w:cs="Arial"/>
          <w:color w:val="auto"/>
          <w:sz w:val="24"/>
          <w:highlight w:val="none"/>
        </w:rPr>
        <w:t>管理层当前的估计存在差异，进而造成对未来受影响的资产或负债的账面金额进行重大调整。</w:t>
      </w:r>
    </w:p>
    <w:p>
      <w:pPr>
        <w:overflowPunct w:val="0"/>
        <w:adjustRightInd w:val="0"/>
        <w:snapToGrid w:val="0"/>
        <w:spacing w:line="520" w:lineRule="exact"/>
        <w:ind w:firstLine="480" w:firstLineChars="200"/>
        <w:rPr>
          <w:rFonts w:ascii="Arial" w:hAnsi="Arial" w:cs="Arial"/>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对前述判断、估计和假设在持续经营的基础上进行定期复核，会计估计的变更仅影响变更当期的，其影响数在变更当期予以确认；既影响变更当期又影响未来期间的，其影响数在变更当期和未来期间予以确认。</w:t>
      </w:r>
    </w:p>
    <w:p>
      <w:pPr>
        <w:overflowPunct w:val="0"/>
        <w:adjustRightInd w:val="0"/>
        <w:snapToGrid w:val="0"/>
        <w:spacing w:line="520" w:lineRule="exact"/>
        <w:ind w:firstLine="480" w:firstLineChars="200"/>
        <w:rPr>
          <w:rFonts w:ascii="Arial" w:hAnsi="Arial" w:cs="Arial"/>
          <w:color w:val="auto"/>
          <w:sz w:val="24"/>
          <w:highlight w:val="none"/>
        </w:rPr>
      </w:pPr>
      <w:r>
        <w:rPr>
          <w:rFonts w:ascii="Arial" w:hAnsi="宋体" w:cs="Arial"/>
          <w:color w:val="auto"/>
          <w:sz w:val="24"/>
          <w:highlight w:val="none"/>
        </w:rPr>
        <w:t>于资产负债表日，</w:t>
      </w:r>
      <w:r>
        <w:rPr>
          <w:rFonts w:hint="eastAsia" w:ascii="Arial" w:hAnsi="宋体" w:cs="Arial"/>
          <w:color w:val="auto"/>
          <w:sz w:val="24"/>
          <w:highlight w:val="none"/>
        </w:rPr>
        <w:t>本行</w:t>
      </w:r>
      <w:r>
        <w:rPr>
          <w:rFonts w:ascii="Arial" w:hAnsi="宋体" w:cs="Arial"/>
          <w:color w:val="auto"/>
          <w:sz w:val="24"/>
          <w:highlight w:val="none"/>
        </w:rPr>
        <w:t>需对财务报表项目金额进行判断、估计和假设的重要领域如下：</w:t>
      </w:r>
    </w:p>
    <w:p>
      <w:pPr>
        <w:overflowPunct w:val="0"/>
        <w:adjustRightInd w:val="0"/>
        <w:snapToGrid w:val="0"/>
        <w:spacing w:line="520" w:lineRule="exact"/>
        <w:ind w:firstLine="480" w:firstLineChars="200"/>
        <w:outlineLvl w:val="1"/>
        <w:rPr>
          <w:rFonts w:ascii="Arial" w:hAnsi="宋体" w:cs="Arial"/>
          <w:b w:val="0"/>
          <w:bCs/>
          <w:color w:val="auto"/>
          <w:sz w:val="24"/>
          <w:highlight w:val="none"/>
        </w:rPr>
      </w:pPr>
      <w:r>
        <w:rPr>
          <w:rFonts w:ascii="Arial" w:hAnsi="宋体" w:cs="Arial"/>
          <w:b w:val="0"/>
          <w:bCs/>
          <w:color w:val="auto"/>
          <w:sz w:val="24"/>
          <w:highlight w:val="none"/>
        </w:rPr>
        <w:t>4.1</w:t>
      </w:r>
      <w:r>
        <w:rPr>
          <w:rFonts w:hint="eastAsia" w:ascii="Arial" w:hAnsi="宋体" w:cs="Arial"/>
          <w:b w:val="0"/>
          <w:bCs/>
          <w:color w:val="auto"/>
          <w:sz w:val="24"/>
          <w:highlight w:val="none"/>
        </w:rPr>
        <w:t>8</w:t>
      </w:r>
      <w:r>
        <w:rPr>
          <w:rFonts w:ascii="Arial" w:hAnsi="宋体" w:cs="Arial"/>
          <w:b w:val="0"/>
          <w:bCs/>
          <w:color w:val="auto"/>
          <w:sz w:val="24"/>
          <w:highlight w:val="none"/>
        </w:rPr>
        <w:t>.1客户贷款和垫款减值损失</w:t>
      </w:r>
    </w:p>
    <w:p>
      <w:pPr>
        <w:overflowPunct w:val="0"/>
        <w:adjustRightInd w:val="0"/>
        <w:snapToGrid w:val="0"/>
        <w:spacing w:line="520" w:lineRule="exact"/>
        <w:ind w:firstLine="480" w:firstLineChars="200"/>
        <w:rPr>
          <w:rFonts w:ascii="Arial" w:hAnsi="Arial" w:cs="Arial"/>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定期审阅客户贷款和垫款以评估其是否出现减值情况，并在出现减值情况时评估减值损失的具体金额。减值的客观证据包括显示个别客户贷款和垫款预计未来现金流量出现大幅下降的可观察数据、债务人及发行人的还款状况出现负面变动的可观察数据，或国家或地区经济状况发生变化引起组合内资产违约等事项。个别方式评估的客户贷款和垫款减值损失金额为该客户贷款和垫款预计未来现金流量现值的净减少额。当运用组合方式评估客户贷款和垫款的减值损失时，减值损失金额是根据与客户贷款和垫款具有类似信用风险特征的资产的历史损失经验厘定，并根据反映当前经济状况的可观察数据进行调整。管理层定期审阅预计未来现金流量采用的方法和假设，以减少预计损失与实际损失之间的差额。</w:t>
      </w:r>
    </w:p>
    <w:p>
      <w:pPr>
        <w:overflowPunct w:val="0"/>
        <w:adjustRightInd w:val="0"/>
        <w:snapToGrid w:val="0"/>
        <w:spacing w:line="520" w:lineRule="exact"/>
        <w:ind w:firstLine="480" w:firstLineChars="200"/>
        <w:rPr>
          <w:rFonts w:ascii="Arial" w:hAnsi="Arial" w:cs="Arial"/>
          <w:b w:val="0"/>
          <w:bCs w:val="0"/>
          <w:color w:val="auto"/>
          <w:sz w:val="24"/>
          <w:highlight w:val="none"/>
        </w:rPr>
      </w:pPr>
      <w:r>
        <w:rPr>
          <w:rFonts w:ascii="Arial" w:hAnsi="Arial" w:cs="Arial"/>
          <w:b w:val="0"/>
          <w:bCs w:val="0"/>
          <w:color w:val="auto"/>
          <w:sz w:val="24"/>
          <w:highlight w:val="none"/>
        </w:rPr>
        <w:t>4.1</w:t>
      </w:r>
      <w:r>
        <w:rPr>
          <w:rFonts w:hint="eastAsia" w:ascii="Arial" w:hAnsi="Arial" w:cs="Arial"/>
          <w:b w:val="0"/>
          <w:bCs w:val="0"/>
          <w:color w:val="auto"/>
          <w:sz w:val="24"/>
          <w:highlight w:val="none"/>
        </w:rPr>
        <w:t>8</w:t>
      </w:r>
      <w:r>
        <w:rPr>
          <w:rFonts w:ascii="Arial" w:hAnsi="Arial" w:cs="Arial"/>
          <w:b w:val="0"/>
          <w:bCs w:val="0"/>
          <w:color w:val="auto"/>
          <w:sz w:val="24"/>
          <w:highlight w:val="none"/>
        </w:rPr>
        <w:t>.2</w:t>
      </w:r>
      <w:r>
        <w:rPr>
          <w:rFonts w:ascii="Arial" w:hAnsi="宋体" w:cs="Arial"/>
          <w:b w:val="0"/>
          <w:bCs w:val="0"/>
          <w:color w:val="auto"/>
          <w:sz w:val="24"/>
          <w:highlight w:val="none"/>
        </w:rPr>
        <w:t>折旧和摊销</w:t>
      </w:r>
    </w:p>
    <w:p>
      <w:pPr>
        <w:overflowPunct w:val="0"/>
        <w:adjustRightInd w:val="0"/>
        <w:snapToGrid w:val="0"/>
        <w:spacing w:line="520" w:lineRule="exact"/>
        <w:ind w:firstLine="480" w:firstLineChars="200"/>
        <w:rPr>
          <w:rFonts w:ascii="Arial" w:hAnsi="Arial" w:cs="Arial"/>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对固定资产和无形资产在考虑其残值后，在使用寿命内按直线法计提折旧和摊销。</w:t>
      </w:r>
      <w:r>
        <w:rPr>
          <w:rFonts w:hint="eastAsia" w:ascii="Arial" w:hAnsi="宋体" w:cs="Arial"/>
          <w:color w:val="auto"/>
          <w:sz w:val="24"/>
          <w:highlight w:val="none"/>
        </w:rPr>
        <w:t>本行</w:t>
      </w:r>
      <w:r>
        <w:rPr>
          <w:rFonts w:ascii="Arial" w:hAnsi="宋体" w:cs="Arial"/>
          <w:color w:val="auto"/>
          <w:sz w:val="24"/>
          <w:highlight w:val="none"/>
        </w:rPr>
        <w:t>定期复核使用寿命，以决定将计入每个报告期的折旧和摊销费用数额。使用寿命是</w:t>
      </w:r>
      <w:r>
        <w:rPr>
          <w:rFonts w:hint="eastAsia" w:ascii="Arial" w:hAnsi="宋体" w:cs="Arial"/>
          <w:color w:val="auto"/>
          <w:sz w:val="24"/>
          <w:highlight w:val="none"/>
        </w:rPr>
        <w:t>本行</w:t>
      </w:r>
      <w:r>
        <w:rPr>
          <w:rFonts w:ascii="Arial" w:hAnsi="宋体" w:cs="Arial"/>
          <w:color w:val="auto"/>
          <w:sz w:val="24"/>
          <w:highlight w:val="none"/>
        </w:rPr>
        <w:t>根据对同类资产的以往经验并结合预期的技术更新而确定的。如果以前的估计发生重大变化，则会在未来期间对折旧和摊销费用进行调整。</w:t>
      </w:r>
    </w:p>
    <w:p>
      <w:pPr>
        <w:overflowPunct w:val="0"/>
        <w:adjustRightInd w:val="0"/>
        <w:snapToGrid w:val="0"/>
        <w:spacing w:line="520" w:lineRule="exact"/>
        <w:ind w:firstLine="480" w:firstLineChars="200"/>
        <w:rPr>
          <w:rFonts w:ascii="Arial" w:hAnsi="Arial" w:cs="Arial"/>
          <w:b w:val="0"/>
          <w:bCs w:val="0"/>
          <w:color w:val="auto"/>
          <w:sz w:val="24"/>
          <w:highlight w:val="none"/>
        </w:rPr>
      </w:pPr>
      <w:r>
        <w:rPr>
          <w:rFonts w:ascii="Arial" w:hAnsi="Arial" w:cs="Arial"/>
          <w:b w:val="0"/>
          <w:bCs w:val="0"/>
          <w:color w:val="auto"/>
          <w:sz w:val="24"/>
          <w:highlight w:val="none"/>
        </w:rPr>
        <w:t>4.1</w:t>
      </w:r>
      <w:r>
        <w:rPr>
          <w:rFonts w:hint="eastAsia" w:ascii="Arial" w:hAnsi="Arial" w:cs="Arial"/>
          <w:b w:val="0"/>
          <w:bCs w:val="0"/>
          <w:color w:val="auto"/>
          <w:sz w:val="24"/>
          <w:highlight w:val="none"/>
        </w:rPr>
        <w:t>8</w:t>
      </w:r>
      <w:r>
        <w:rPr>
          <w:rFonts w:ascii="Arial" w:hAnsi="Arial" w:cs="Arial"/>
          <w:b w:val="0"/>
          <w:bCs w:val="0"/>
          <w:color w:val="auto"/>
          <w:sz w:val="24"/>
          <w:highlight w:val="none"/>
        </w:rPr>
        <w:t>.3</w:t>
      </w:r>
      <w:r>
        <w:rPr>
          <w:rFonts w:ascii="Arial" w:hAnsi="宋体" w:cs="Arial"/>
          <w:b w:val="0"/>
          <w:bCs w:val="0"/>
          <w:color w:val="auto"/>
          <w:sz w:val="24"/>
          <w:highlight w:val="none"/>
        </w:rPr>
        <w:t>递延所得税资产</w:t>
      </w:r>
    </w:p>
    <w:p>
      <w:pPr>
        <w:overflowPunct w:val="0"/>
        <w:adjustRightInd w:val="0"/>
        <w:snapToGrid w:val="0"/>
        <w:spacing w:line="520" w:lineRule="exact"/>
        <w:ind w:firstLine="480" w:firstLineChars="200"/>
        <w:rPr>
          <w:rFonts w:ascii="Arial" w:hAnsi="Arial" w:cs="Arial"/>
          <w:color w:val="auto"/>
          <w:sz w:val="24"/>
          <w:highlight w:val="none"/>
        </w:rPr>
      </w:pPr>
      <w:r>
        <w:rPr>
          <w:rFonts w:ascii="Arial" w:hAnsi="宋体" w:cs="Arial"/>
          <w:color w:val="auto"/>
          <w:sz w:val="24"/>
          <w:highlight w:val="none"/>
        </w:rPr>
        <w:t>在很有可能有足够的应纳税利润来抵扣亏损的限度内，</w:t>
      </w:r>
      <w:r>
        <w:rPr>
          <w:rFonts w:hint="eastAsia" w:ascii="Arial" w:hAnsi="宋体" w:cs="Arial"/>
          <w:color w:val="auto"/>
          <w:sz w:val="24"/>
          <w:highlight w:val="none"/>
        </w:rPr>
        <w:t>本行</w:t>
      </w:r>
      <w:r>
        <w:rPr>
          <w:rFonts w:ascii="Arial" w:hAnsi="宋体" w:cs="Arial"/>
          <w:color w:val="auto"/>
          <w:sz w:val="24"/>
          <w:highlight w:val="none"/>
        </w:rPr>
        <w:t>就所有未利用的税务亏损确认递延所得税资产。这需要</w:t>
      </w:r>
      <w:r>
        <w:rPr>
          <w:rFonts w:hint="eastAsia" w:ascii="Arial" w:hAnsi="宋体" w:cs="Arial"/>
          <w:color w:val="auto"/>
          <w:sz w:val="24"/>
          <w:highlight w:val="none"/>
        </w:rPr>
        <w:t>本行</w:t>
      </w:r>
      <w:r>
        <w:rPr>
          <w:rFonts w:ascii="Arial" w:hAnsi="宋体" w:cs="Arial"/>
          <w:color w:val="auto"/>
          <w:sz w:val="24"/>
          <w:highlight w:val="none"/>
        </w:rPr>
        <w:t>管理层运用大量的判断来估计未来应纳税利润发生的时间和金额，结合纳税筹划策略，以决定应确认的递延所得税资产的金额。</w:t>
      </w:r>
    </w:p>
    <w:p>
      <w:pPr>
        <w:overflowPunct w:val="0"/>
        <w:adjustRightInd w:val="0"/>
        <w:snapToGrid w:val="0"/>
        <w:spacing w:line="520" w:lineRule="exact"/>
        <w:ind w:firstLine="480" w:firstLineChars="200"/>
        <w:rPr>
          <w:rFonts w:ascii="Arial" w:hAnsi="Arial" w:cs="Arial"/>
          <w:b w:val="0"/>
          <w:bCs w:val="0"/>
          <w:color w:val="auto"/>
          <w:sz w:val="24"/>
          <w:highlight w:val="none"/>
        </w:rPr>
      </w:pPr>
      <w:r>
        <w:rPr>
          <w:rFonts w:ascii="Arial" w:hAnsi="Arial" w:cs="Arial"/>
          <w:b w:val="0"/>
          <w:bCs w:val="0"/>
          <w:color w:val="auto"/>
          <w:sz w:val="24"/>
          <w:highlight w:val="none"/>
        </w:rPr>
        <w:t>4.1</w:t>
      </w:r>
      <w:r>
        <w:rPr>
          <w:rFonts w:hint="eastAsia" w:ascii="Arial" w:hAnsi="Arial" w:cs="Arial"/>
          <w:b w:val="0"/>
          <w:bCs w:val="0"/>
          <w:color w:val="auto"/>
          <w:sz w:val="24"/>
          <w:highlight w:val="none"/>
        </w:rPr>
        <w:t>8</w:t>
      </w:r>
      <w:r>
        <w:rPr>
          <w:rFonts w:ascii="Arial" w:hAnsi="Arial" w:cs="Arial"/>
          <w:b w:val="0"/>
          <w:bCs w:val="0"/>
          <w:color w:val="auto"/>
          <w:sz w:val="24"/>
          <w:highlight w:val="none"/>
        </w:rPr>
        <w:t>.4</w:t>
      </w:r>
      <w:r>
        <w:rPr>
          <w:rFonts w:ascii="Arial" w:hAnsi="宋体" w:cs="Arial"/>
          <w:b w:val="0"/>
          <w:bCs w:val="0"/>
          <w:color w:val="auto"/>
          <w:sz w:val="24"/>
          <w:highlight w:val="none"/>
        </w:rPr>
        <w:t>所得税</w:t>
      </w:r>
    </w:p>
    <w:p>
      <w:pPr>
        <w:spacing w:line="520" w:lineRule="exact"/>
        <w:ind w:firstLine="480" w:firstLineChars="200"/>
        <w:rPr>
          <w:rFonts w:ascii="Arial Narrow" w:hAnsi="Arial Narrow"/>
          <w:color w:val="auto"/>
          <w:sz w:val="24"/>
          <w:highlight w:val="none"/>
        </w:rPr>
      </w:pPr>
      <w:r>
        <w:rPr>
          <w:rFonts w:hint="eastAsia" w:ascii="Arial" w:hAnsi="宋体" w:cs="Arial"/>
          <w:color w:val="auto"/>
          <w:sz w:val="24"/>
          <w:highlight w:val="none"/>
        </w:rPr>
        <w:t>本行</w:t>
      </w:r>
      <w:r>
        <w:rPr>
          <w:rFonts w:ascii="Arial" w:hAnsi="宋体" w:cs="Arial"/>
          <w:color w:val="auto"/>
          <w:sz w:val="24"/>
          <w:highlight w:val="none"/>
        </w:rPr>
        <w:t>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pPr>
        <w:spacing w:line="520" w:lineRule="exact"/>
        <w:ind w:firstLine="482" w:firstLineChars="200"/>
        <w:outlineLvl w:val="1"/>
        <w:rPr>
          <w:rFonts w:ascii="Arial Narrow" w:hAnsi="Arial Narrow"/>
          <w:b/>
          <w:bCs/>
          <w:color w:val="auto"/>
          <w:sz w:val="24"/>
          <w:highlight w:val="none"/>
        </w:rPr>
      </w:pPr>
      <w:r>
        <w:rPr>
          <w:rFonts w:ascii="Arial Narrow" w:hAnsi="Arial Narrow"/>
          <w:b/>
          <w:bCs/>
          <w:color w:val="auto"/>
          <w:sz w:val="24"/>
          <w:highlight w:val="none"/>
        </w:rPr>
        <w:t>4.19重要会计政策、会计估计的变更</w:t>
      </w:r>
      <w:r>
        <w:rPr>
          <w:rFonts w:hint="eastAsia" w:ascii="Arial Narrow" w:hAnsi="Arial Narrow"/>
          <w:b/>
          <w:bCs/>
          <w:color w:val="auto"/>
          <w:sz w:val="24"/>
          <w:highlight w:val="none"/>
        </w:rPr>
        <w:t>、</w:t>
      </w:r>
      <w:r>
        <w:rPr>
          <w:rFonts w:ascii="Arial Narrow" w:hAnsi="Arial Narrow"/>
          <w:b/>
          <w:bCs/>
          <w:color w:val="auto"/>
          <w:sz w:val="24"/>
          <w:highlight w:val="none"/>
        </w:rPr>
        <w:t>会计差错更正</w:t>
      </w:r>
      <w:r>
        <w:rPr>
          <w:rFonts w:hint="eastAsia" w:ascii="Arial Narrow" w:hAnsi="Arial Narrow"/>
          <w:b/>
          <w:bCs/>
          <w:color w:val="auto"/>
          <w:sz w:val="24"/>
          <w:highlight w:val="none"/>
        </w:rPr>
        <w:t>事</w:t>
      </w:r>
      <w:r>
        <w:rPr>
          <w:rFonts w:ascii="Arial Narrow" w:hAnsi="Arial Narrow"/>
          <w:b/>
          <w:bCs/>
          <w:color w:val="auto"/>
          <w:sz w:val="24"/>
          <w:highlight w:val="none"/>
        </w:rPr>
        <w:t>项</w:t>
      </w:r>
    </w:p>
    <w:p>
      <w:pPr>
        <w:spacing w:line="520" w:lineRule="exact"/>
        <w:ind w:firstLine="480" w:firstLineChars="200"/>
        <w:rPr>
          <w:rFonts w:ascii="Arial Narrow" w:hAnsi="Arial Narrow"/>
          <w:b/>
          <w:bCs/>
          <w:color w:val="auto"/>
          <w:sz w:val="24"/>
          <w:highlight w:val="none"/>
        </w:rPr>
      </w:pPr>
      <w:r>
        <w:rPr>
          <w:rFonts w:hint="eastAsia" w:ascii="Arial" w:hAnsi="Arial" w:cs="Arial"/>
          <w:color w:val="auto"/>
          <w:sz w:val="24"/>
          <w:highlight w:val="none"/>
        </w:rPr>
        <w:t>4.19.1</w:t>
      </w:r>
      <w:r>
        <w:rPr>
          <w:rFonts w:hint="eastAsia" w:ascii="Arial" w:hAnsi="宋体" w:cs="Arial"/>
          <w:color w:val="auto"/>
          <w:sz w:val="24"/>
          <w:highlight w:val="none"/>
        </w:rPr>
        <w:t>重要会计政策、会计估计的变更情况</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w:t>
      </w:r>
      <w:r>
        <w:rPr>
          <w:rFonts w:ascii="Arial Narrow" w:hAnsi="Arial Narrow"/>
          <w:color w:val="auto"/>
          <w:sz w:val="24"/>
          <w:highlight w:val="none"/>
        </w:rPr>
        <w:t>报告期内未发生重要政策、会计估计变更。</w:t>
      </w:r>
    </w:p>
    <w:p>
      <w:pPr>
        <w:spacing w:line="520" w:lineRule="exact"/>
        <w:ind w:firstLine="480" w:firstLineChars="200"/>
        <w:rPr>
          <w:rFonts w:hint="eastAsia" w:ascii="Arial Narrow" w:hAnsi="Arial Narrow"/>
          <w:b/>
          <w:bCs/>
          <w:color w:val="auto"/>
          <w:sz w:val="24"/>
          <w:highlight w:val="none"/>
        </w:rPr>
      </w:pPr>
      <w:r>
        <w:rPr>
          <w:rFonts w:hint="eastAsia" w:ascii="Arial" w:hAnsi="Arial" w:cs="Arial"/>
          <w:color w:val="auto"/>
          <w:sz w:val="24"/>
          <w:highlight w:val="none"/>
        </w:rPr>
        <w:t>4.19.2</w:t>
      </w:r>
      <w:r>
        <w:rPr>
          <w:rFonts w:hint="eastAsia" w:ascii="Arial" w:hAnsi="宋体" w:cs="Arial"/>
          <w:color w:val="auto"/>
          <w:sz w:val="24"/>
          <w:highlight w:val="none"/>
        </w:rPr>
        <w:t>会计差错更正事项</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本行2024年</w:t>
      </w:r>
      <w:r>
        <w:rPr>
          <w:rFonts w:ascii="Arial Narrow" w:hAnsi="Arial Narrow"/>
          <w:color w:val="auto"/>
          <w:sz w:val="24"/>
          <w:highlight w:val="none"/>
        </w:rPr>
        <w:t>度年初具体调整如下</w:t>
      </w:r>
      <w:r>
        <w:rPr>
          <w:rFonts w:hint="eastAsia" w:ascii="Arial Narrow" w:hAnsi="Arial Narrow"/>
          <w:color w:val="auto"/>
          <w:sz w:val="24"/>
          <w:highlight w:val="none"/>
        </w:rPr>
        <w:t>：</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年初</w:t>
      </w:r>
      <w:r>
        <w:rPr>
          <w:rFonts w:ascii="Arial Narrow" w:hAnsi="Arial Narrow"/>
          <w:color w:val="auto"/>
          <w:sz w:val="24"/>
          <w:highlight w:val="none"/>
        </w:rPr>
        <w:t>资产调增</w:t>
      </w:r>
      <w:r>
        <w:rPr>
          <w:rFonts w:hint="eastAsia" w:ascii="Arial Narrow" w:hAnsi="Arial Narrow"/>
          <w:color w:val="auto"/>
          <w:sz w:val="24"/>
          <w:highlight w:val="none"/>
        </w:rPr>
        <w:t xml:space="preserve"> 60,416,080.25</w:t>
      </w:r>
      <w:r>
        <w:rPr>
          <w:rFonts w:ascii="Arial Narrow" w:hAnsi="Arial Narrow"/>
          <w:color w:val="auto"/>
          <w:sz w:val="24"/>
          <w:highlight w:val="none"/>
        </w:rPr>
        <w:t>元</w:t>
      </w:r>
      <w:r>
        <w:rPr>
          <w:rFonts w:hint="eastAsia" w:ascii="Arial Narrow" w:hAnsi="Arial Narrow"/>
          <w:color w:val="auto"/>
          <w:sz w:val="24"/>
          <w:highlight w:val="none"/>
        </w:rPr>
        <w:t>，调减160,000,000.00元。具体为1、调增递延所得税资产60,416,080.25</w:t>
      </w:r>
      <w:r>
        <w:rPr>
          <w:rFonts w:ascii="Arial Narrow" w:hAnsi="Arial Narrow"/>
          <w:color w:val="auto"/>
          <w:sz w:val="24"/>
          <w:highlight w:val="none"/>
        </w:rPr>
        <w:t>元</w:t>
      </w:r>
      <w:r>
        <w:rPr>
          <w:rFonts w:hint="eastAsia" w:ascii="Arial Narrow" w:hAnsi="Arial Narrow"/>
          <w:color w:val="auto"/>
          <w:sz w:val="24"/>
          <w:highlight w:val="none"/>
        </w:rPr>
        <w:t>，补提信贷资产减值准备160,000,000.00元</w:t>
      </w:r>
      <w:r>
        <w:rPr>
          <w:rFonts w:ascii="Arial Narrow" w:hAnsi="Arial Narrow"/>
          <w:color w:val="auto"/>
          <w:sz w:val="24"/>
          <w:highlight w:val="none"/>
        </w:rPr>
        <w:t>。</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年初负债调增 14,897,345.75</w:t>
      </w:r>
      <w:r>
        <w:rPr>
          <w:rFonts w:ascii="Arial Narrow" w:hAnsi="Arial Narrow"/>
          <w:color w:val="auto"/>
          <w:sz w:val="24"/>
          <w:highlight w:val="none"/>
        </w:rPr>
        <w:t>元</w:t>
      </w:r>
      <w:r>
        <w:rPr>
          <w:rFonts w:hint="eastAsia" w:ascii="Arial Narrow" w:hAnsi="Arial Narrow"/>
          <w:color w:val="auto"/>
          <w:sz w:val="24"/>
          <w:highlight w:val="none"/>
        </w:rPr>
        <w:t>，调减31,729,273.15元。具体为1、所得税汇算清缴调减应交税费31,729,273.15元，调增递延所得税负债14,584,281.24元、其他负债313,064.51元。</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年初所有者权益调增92,145,353.40</w:t>
      </w:r>
      <w:r>
        <w:rPr>
          <w:rFonts w:ascii="Arial Narrow" w:hAnsi="Arial Narrow"/>
          <w:color w:val="auto"/>
          <w:sz w:val="24"/>
          <w:highlight w:val="none"/>
        </w:rPr>
        <w:t>元</w:t>
      </w:r>
      <w:r>
        <w:rPr>
          <w:rFonts w:hint="eastAsia" w:ascii="Arial Narrow" w:hAnsi="Arial Narrow"/>
          <w:color w:val="auto"/>
          <w:sz w:val="24"/>
          <w:highlight w:val="none"/>
        </w:rPr>
        <w:t>，</w:t>
      </w:r>
      <w:r>
        <w:rPr>
          <w:rFonts w:ascii="Arial Narrow" w:hAnsi="Arial Narrow"/>
          <w:color w:val="auto"/>
          <w:sz w:val="24"/>
          <w:highlight w:val="none"/>
        </w:rPr>
        <w:t>调减</w:t>
      </w:r>
      <w:r>
        <w:rPr>
          <w:rFonts w:hint="eastAsia" w:ascii="Arial Narrow" w:hAnsi="Arial Narrow"/>
          <w:color w:val="auto"/>
          <w:sz w:val="24"/>
          <w:highlight w:val="none"/>
        </w:rPr>
        <w:t>174,897,345.75</w:t>
      </w:r>
      <w:r>
        <w:rPr>
          <w:rFonts w:ascii="Arial Narrow" w:hAnsi="Arial Narrow"/>
          <w:color w:val="auto"/>
          <w:sz w:val="24"/>
          <w:highlight w:val="none"/>
        </w:rPr>
        <w:t>元</w:t>
      </w:r>
      <w:r>
        <w:rPr>
          <w:rFonts w:hint="eastAsia" w:ascii="Arial Narrow" w:hAnsi="Arial Narrow"/>
          <w:color w:val="auto"/>
          <w:sz w:val="24"/>
          <w:highlight w:val="none"/>
        </w:rPr>
        <w:t>。具体为</w:t>
      </w:r>
      <w:r>
        <w:rPr>
          <w:rFonts w:ascii="Arial Narrow" w:hAnsi="Arial Narrow"/>
          <w:color w:val="auto"/>
          <w:sz w:val="24"/>
          <w:highlight w:val="none"/>
        </w:rPr>
        <w:t>调增</w:t>
      </w:r>
      <w:r>
        <w:rPr>
          <w:rFonts w:hint="eastAsia" w:ascii="Arial Narrow" w:hAnsi="Arial Narrow"/>
          <w:color w:val="auto"/>
          <w:sz w:val="24"/>
          <w:highlight w:val="none"/>
        </w:rPr>
        <w:t>未分配利润92,145,353.40元，调减未分配利润174,897,345.75元。</w:t>
      </w:r>
    </w:p>
    <w:p>
      <w:pPr>
        <w:spacing w:line="520" w:lineRule="exact"/>
        <w:ind w:firstLine="480" w:firstLineChars="200"/>
        <w:rPr>
          <w:rFonts w:hint="eastAsia"/>
          <w:color w:val="auto"/>
          <w:highlight w:val="none"/>
        </w:rPr>
      </w:pPr>
      <w:r>
        <w:rPr>
          <w:rFonts w:hint="eastAsia" w:ascii="Arial Narrow" w:hAnsi="Arial Narrow"/>
          <w:color w:val="auto"/>
          <w:sz w:val="24"/>
          <w:highlight w:val="none"/>
        </w:rPr>
        <w:t>年初调整详见下表：</w:t>
      </w:r>
    </w:p>
    <w:tbl>
      <w:tblPr>
        <w:tblStyle w:val="12"/>
        <w:tblW w:w="9493" w:type="dxa"/>
        <w:tblInd w:w="113" w:type="dxa"/>
        <w:tblLayout w:type="autofit"/>
        <w:tblCellMar>
          <w:top w:w="0" w:type="dxa"/>
          <w:left w:w="108" w:type="dxa"/>
          <w:bottom w:w="0" w:type="dxa"/>
          <w:right w:w="108" w:type="dxa"/>
        </w:tblCellMar>
      </w:tblPr>
      <w:tblGrid>
        <w:gridCol w:w="3043"/>
        <w:gridCol w:w="1552"/>
        <w:gridCol w:w="1695"/>
        <w:gridCol w:w="1410"/>
        <w:gridCol w:w="1793"/>
      </w:tblGrid>
      <w:tr>
        <w:tblPrEx>
          <w:tblCellMar>
            <w:top w:w="0" w:type="dxa"/>
            <w:left w:w="108" w:type="dxa"/>
            <w:bottom w:w="0" w:type="dxa"/>
            <w:right w:w="108" w:type="dxa"/>
          </w:tblCellMar>
        </w:tblPrEx>
        <w:trPr>
          <w:trHeight w:val="258" w:hRule="atLeast"/>
          <w:tblHeader/>
        </w:trPr>
        <w:tc>
          <w:tcPr>
            <w:tcW w:w="304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调整事项说明</w:t>
            </w:r>
          </w:p>
        </w:tc>
        <w:tc>
          <w:tcPr>
            <w:tcW w:w="6450" w:type="dxa"/>
            <w:gridSpan w:val="4"/>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调整分录</w:t>
            </w:r>
          </w:p>
        </w:tc>
      </w:tr>
      <w:tr>
        <w:tblPrEx>
          <w:tblCellMar>
            <w:top w:w="0" w:type="dxa"/>
            <w:left w:w="108" w:type="dxa"/>
            <w:bottom w:w="0" w:type="dxa"/>
            <w:right w:w="108" w:type="dxa"/>
          </w:tblCellMar>
        </w:tblPrEx>
        <w:trPr>
          <w:trHeight w:val="258" w:hRule="atLeast"/>
          <w:tblHeader/>
        </w:trPr>
        <w:tc>
          <w:tcPr>
            <w:tcW w:w="304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auto"/>
                <w:kern w:val="0"/>
                <w:sz w:val="20"/>
                <w:szCs w:val="20"/>
                <w:highlight w:val="none"/>
              </w:rPr>
            </w:pPr>
          </w:p>
        </w:tc>
        <w:tc>
          <w:tcPr>
            <w:tcW w:w="3247"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借方科目</w:t>
            </w:r>
          </w:p>
        </w:tc>
        <w:tc>
          <w:tcPr>
            <w:tcW w:w="3203"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贷方科目</w:t>
            </w:r>
          </w:p>
        </w:tc>
      </w:tr>
      <w:tr>
        <w:tblPrEx>
          <w:tblCellMar>
            <w:top w:w="0" w:type="dxa"/>
            <w:left w:w="108" w:type="dxa"/>
            <w:bottom w:w="0" w:type="dxa"/>
            <w:right w:w="108" w:type="dxa"/>
          </w:tblCellMar>
        </w:tblPrEx>
        <w:trPr>
          <w:trHeight w:val="258" w:hRule="atLeast"/>
          <w:tblHeader/>
        </w:trPr>
        <w:tc>
          <w:tcPr>
            <w:tcW w:w="304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auto"/>
                <w:kern w:val="0"/>
                <w:sz w:val="20"/>
                <w:szCs w:val="20"/>
                <w:highlight w:val="none"/>
              </w:rPr>
            </w:pPr>
          </w:p>
        </w:tc>
        <w:tc>
          <w:tcPr>
            <w:tcW w:w="1552" w:type="dxa"/>
            <w:tcBorders>
              <w:top w:val="nil"/>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一级科目</w:t>
            </w:r>
          </w:p>
        </w:tc>
        <w:tc>
          <w:tcPr>
            <w:tcW w:w="1695" w:type="dxa"/>
            <w:tcBorders>
              <w:top w:val="nil"/>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xml:space="preserve"> 金额 </w:t>
            </w:r>
          </w:p>
        </w:tc>
        <w:tc>
          <w:tcPr>
            <w:tcW w:w="1410" w:type="dxa"/>
            <w:tcBorders>
              <w:top w:val="nil"/>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一级科目</w:t>
            </w:r>
          </w:p>
        </w:tc>
        <w:tc>
          <w:tcPr>
            <w:tcW w:w="1793" w:type="dxa"/>
            <w:tcBorders>
              <w:top w:val="nil"/>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xml:space="preserve"> 金额 </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2023年企业所得税汇算清缴</w:t>
            </w:r>
          </w:p>
        </w:tc>
        <w:tc>
          <w:tcPr>
            <w:tcW w:w="1552"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应交税费</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31,729,273.15</w:t>
            </w:r>
          </w:p>
        </w:tc>
        <w:tc>
          <w:tcPr>
            <w:tcW w:w="141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所得税费用</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31,729,273.15</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递延所得税资产确认</w:t>
            </w:r>
          </w:p>
        </w:tc>
        <w:tc>
          <w:tcPr>
            <w:tcW w:w="1552"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递延所得税资产</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60,416,080.25</w:t>
            </w:r>
          </w:p>
        </w:tc>
        <w:tc>
          <w:tcPr>
            <w:tcW w:w="141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未分配利润</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60,416,080.25</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补提信贷资产减值准备</w:t>
            </w:r>
          </w:p>
        </w:tc>
        <w:tc>
          <w:tcPr>
            <w:tcW w:w="155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未分配利润</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160,000,000.00</w:t>
            </w:r>
          </w:p>
        </w:tc>
        <w:tc>
          <w:tcPr>
            <w:tcW w:w="1410" w:type="dxa"/>
            <w:tcBorders>
              <w:top w:val="nil"/>
              <w:left w:val="nil"/>
              <w:bottom w:val="single" w:color="auto" w:sz="4" w:space="0"/>
              <w:right w:val="single" w:color="auto" w:sz="4" w:space="0"/>
            </w:tcBorders>
            <w:noWrap/>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发放贷款和垫款</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160,000,000.00</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根据省联社文件调整人力外包费</w:t>
            </w:r>
          </w:p>
        </w:tc>
        <w:tc>
          <w:tcPr>
            <w:tcW w:w="155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未分配利润</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313,064.51</w:t>
            </w:r>
          </w:p>
        </w:tc>
        <w:tc>
          <w:tcPr>
            <w:tcW w:w="1410" w:type="dxa"/>
            <w:tcBorders>
              <w:top w:val="nil"/>
              <w:left w:val="nil"/>
              <w:bottom w:val="single" w:color="auto" w:sz="4" w:space="0"/>
              <w:right w:val="single" w:color="auto" w:sz="4" w:space="0"/>
            </w:tcBorders>
            <w:noWrap/>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其他负债</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313,064.51</w:t>
            </w:r>
          </w:p>
        </w:tc>
      </w:tr>
      <w:tr>
        <w:tblPrEx>
          <w:tblCellMar>
            <w:top w:w="0" w:type="dxa"/>
            <w:left w:w="108" w:type="dxa"/>
            <w:bottom w:w="0" w:type="dxa"/>
            <w:right w:w="108" w:type="dxa"/>
          </w:tblCellMar>
        </w:tblPrEx>
        <w:trPr>
          <w:trHeight w:val="516" w:hRule="atLeast"/>
        </w:trPr>
        <w:tc>
          <w:tcPr>
            <w:tcW w:w="304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确认递延所得税负债</w:t>
            </w:r>
          </w:p>
        </w:tc>
        <w:tc>
          <w:tcPr>
            <w:tcW w:w="155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未分配利润</w:t>
            </w:r>
          </w:p>
        </w:tc>
        <w:tc>
          <w:tcPr>
            <w:tcW w:w="1695" w:type="dxa"/>
            <w:tcBorders>
              <w:top w:val="nil"/>
              <w:left w:val="nil"/>
              <w:bottom w:val="single" w:color="000000" w:sz="4" w:space="0"/>
              <w:right w:val="single" w:color="000000" w:sz="4" w:space="0"/>
            </w:tcBorders>
            <w:noWrap w:val="0"/>
            <w:vAlign w:val="center"/>
          </w:tcPr>
          <w:p>
            <w:pPr>
              <w:widowControl/>
              <w:jc w:val="righ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14,584,281.24</w:t>
            </w:r>
          </w:p>
        </w:tc>
        <w:tc>
          <w:tcPr>
            <w:tcW w:w="1410" w:type="dxa"/>
            <w:tcBorders>
              <w:top w:val="nil"/>
              <w:left w:val="nil"/>
              <w:bottom w:val="single" w:color="auto" w:sz="4" w:space="0"/>
              <w:right w:val="single" w:color="auto" w:sz="4" w:space="0"/>
            </w:tcBorders>
            <w:noWrap/>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递延所得税负债</w:t>
            </w:r>
          </w:p>
        </w:tc>
        <w:tc>
          <w:tcPr>
            <w:tcW w:w="1793" w:type="dxa"/>
            <w:tcBorders>
              <w:top w:val="nil"/>
              <w:left w:val="nil"/>
              <w:bottom w:val="single" w:color="auto" w:sz="4" w:space="0"/>
              <w:right w:val="single" w:color="auto" w:sz="4" w:space="0"/>
            </w:tcBorders>
            <w:noWrap/>
            <w:vAlign w:val="center"/>
          </w:tcPr>
          <w:p>
            <w:pPr>
              <w:widowControl/>
              <w:jc w:val="righ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14,584,281.24</w:t>
            </w:r>
          </w:p>
        </w:tc>
      </w:tr>
    </w:tbl>
    <w:p>
      <w:pPr>
        <w:spacing w:line="520" w:lineRule="exact"/>
        <w:ind w:firstLine="482" w:firstLineChars="200"/>
        <w:outlineLvl w:val="0"/>
        <w:rPr>
          <w:rFonts w:ascii="Arial Narrow" w:hAnsi="Arial Narrow"/>
          <w:b/>
          <w:color w:val="auto"/>
          <w:sz w:val="24"/>
          <w:highlight w:val="none"/>
        </w:rPr>
      </w:pPr>
      <w:r>
        <w:rPr>
          <w:rFonts w:hint="eastAsia" w:ascii="Arial Narrow" w:hAnsi="Arial Narrow"/>
          <w:b/>
          <w:color w:val="auto"/>
          <w:sz w:val="24"/>
          <w:highlight w:val="none"/>
        </w:rPr>
        <w:t>五、</w:t>
      </w:r>
      <w:r>
        <w:rPr>
          <w:rFonts w:ascii="Arial Narrow" w:hAnsi="Arial Narrow"/>
          <w:b/>
          <w:color w:val="auto"/>
          <w:sz w:val="24"/>
          <w:highlight w:val="none"/>
        </w:rPr>
        <w:t>税项</w:t>
      </w:r>
    </w:p>
    <w:p>
      <w:pPr>
        <w:spacing w:line="520" w:lineRule="exact"/>
        <w:ind w:firstLine="480" w:firstLineChars="200"/>
        <w:rPr>
          <w:rFonts w:ascii="Arial" w:hAnsi="Arial" w:cs="Arial"/>
          <w:b/>
          <w:color w:val="auto"/>
          <w:kern w:val="0"/>
          <w:sz w:val="24"/>
          <w:highlight w:val="none"/>
        </w:rPr>
      </w:pPr>
      <w:r>
        <w:rPr>
          <w:rFonts w:ascii="Arial Narrow" w:hAnsi="Arial Narrow"/>
          <w:color w:val="auto"/>
          <w:sz w:val="24"/>
          <w:highlight w:val="none"/>
        </w:rPr>
        <w:t>主要税种及税率</w:t>
      </w:r>
    </w:p>
    <w:tbl>
      <w:tblPr>
        <w:tblStyle w:val="12"/>
        <w:tblW w:w="9514"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7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jc w:val="center"/>
              <w:rPr>
                <w:rFonts w:ascii="宋体" w:hAnsi="宋体" w:cs="Arial"/>
                <w:b/>
                <w:snapToGrid w:val="0"/>
                <w:color w:val="auto"/>
                <w:sz w:val="20"/>
                <w:szCs w:val="20"/>
                <w:highlight w:val="none"/>
              </w:rPr>
            </w:pPr>
            <w:r>
              <w:rPr>
                <w:rFonts w:ascii="宋体" w:hAnsi="宋体" w:cs="Arial"/>
                <w:b/>
                <w:snapToGrid w:val="0"/>
                <w:color w:val="auto"/>
                <w:sz w:val="20"/>
                <w:szCs w:val="20"/>
                <w:highlight w:val="none"/>
              </w:rPr>
              <w:t>税费种</w:t>
            </w:r>
          </w:p>
        </w:tc>
        <w:tc>
          <w:tcPr>
            <w:tcW w:w="7653" w:type="dxa"/>
            <w:noWrap w:val="0"/>
            <w:vAlign w:val="center"/>
          </w:tcPr>
          <w:p>
            <w:pPr>
              <w:overflowPunct w:val="0"/>
              <w:adjustRightInd w:val="0"/>
              <w:snapToGrid w:val="0"/>
              <w:jc w:val="center"/>
              <w:rPr>
                <w:rFonts w:ascii="宋体" w:hAnsi="宋体" w:cs="Arial"/>
                <w:b/>
                <w:snapToGrid w:val="0"/>
                <w:color w:val="auto"/>
                <w:sz w:val="20"/>
                <w:szCs w:val="20"/>
                <w:highlight w:val="none"/>
              </w:rPr>
            </w:pPr>
            <w:r>
              <w:rPr>
                <w:rFonts w:ascii="宋体" w:hAnsi="宋体" w:cs="Arial"/>
                <w:b/>
                <w:snapToGrid w:val="0"/>
                <w:color w:val="auto"/>
                <w:sz w:val="20"/>
                <w:szCs w:val="20"/>
                <w:highlight w:val="none"/>
              </w:rPr>
              <w:t>具体税费率情况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增值税</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hint="eastAsia" w:ascii="宋体" w:hAnsi="宋体" w:cs="Arial"/>
                <w:snapToGrid w:val="0"/>
                <w:color w:val="auto"/>
                <w:sz w:val="20"/>
                <w:szCs w:val="20"/>
                <w:highlight w:val="none"/>
              </w:rPr>
              <w:t>本行</w:t>
            </w:r>
            <w:r>
              <w:rPr>
                <w:rFonts w:ascii="宋体" w:hAnsi="宋体" w:cs="Arial"/>
                <w:snapToGrid w:val="0"/>
                <w:color w:val="auto"/>
                <w:sz w:val="20"/>
                <w:szCs w:val="20"/>
                <w:highlight w:val="none"/>
              </w:rPr>
              <w:t>为一般纳税人，按应税收入的</w:t>
            </w:r>
            <w:r>
              <w:rPr>
                <w:rFonts w:hint="eastAsia" w:ascii="宋体" w:hAnsi="宋体" w:cs="Arial"/>
                <w:snapToGrid w:val="0"/>
                <w:color w:val="auto"/>
                <w:sz w:val="20"/>
                <w:szCs w:val="20"/>
                <w:highlight w:val="none"/>
              </w:rPr>
              <w:t>13%、9%、6%和</w:t>
            </w:r>
            <w:r>
              <w:rPr>
                <w:rFonts w:ascii="宋体" w:hAnsi="宋体" w:cs="Arial"/>
                <w:snapToGrid w:val="0"/>
                <w:color w:val="auto"/>
                <w:sz w:val="20"/>
                <w:szCs w:val="20"/>
                <w:highlight w:val="none"/>
              </w:rPr>
              <w:t>3%</w:t>
            </w:r>
            <w:r>
              <w:rPr>
                <w:rFonts w:hint="eastAsia" w:ascii="宋体" w:hAnsi="宋体" w:cs="Arial"/>
                <w:snapToGrid w:val="0"/>
                <w:color w:val="auto"/>
                <w:sz w:val="20"/>
                <w:szCs w:val="20"/>
                <w:highlight w:val="none"/>
              </w:rPr>
              <w:t>、5%</w:t>
            </w:r>
            <w:r>
              <w:rPr>
                <w:rFonts w:ascii="宋体" w:hAnsi="宋体" w:cs="Arial"/>
                <w:snapToGrid w:val="0"/>
                <w:color w:val="auto"/>
                <w:sz w:val="20"/>
                <w:szCs w:val="20"/>
                <w:highlight w:val="none"/>
              </w:rPr>
              <w:t>简易征收增值税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城市维护建设税</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按实际缴纳的流转税的</w:t>
            </w:r>
            <w:r>
              <w:rPr>
                <w:rFonts w:hint="eastAsia" w:ascii="宋体" w:hAnsi="宋体" w:cs="Arial"/>
                <w:snapToGrid w:val="0"/>
                <w:color w:val="auto"/>
                <w:sz w:val="20"/>
                <w:szCs w:val="20"/>
                <w:highlight w:val="none"/>
              </w:rPr>
              <w:t>7</w:t>
            </w:r>
            <w:r>
              <w:rPr>
                <w:rFonts w:ascii="宋体" w:hAnsi="宋体" w:cs="Arial"/>
                <w:snapToGrid w:val="0"/>
                <w:color w:val="auto"/>
                <w:sz w:val="20"/>
                <w:szCs w:val="20"/>
                <w:highlight w:val="none"/>
              </w:rPr>
              <w:t>%计缴。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教育费附加</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按实际缴纳的流转税的3%计缴。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地方教育费附加</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按实际缴纳的流转税的2%计缴。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房产税</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按自用部分房产以房产原值的70%、按1.2%计缴。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1"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企业所得税</w:t>
            </w:r>
          </w:p>
        </w:tc>
        <w:tc>
          <w:tcPr>
            <w:tcW w:w="7653" w:type="dxa"/>
            <w:noWrap w:val="0"/>
            <w:vAlign w:val="center"/>
          </w:tcPr>
          <w:p>
            <w:pPr>
              <w:overflowPunct w:val="0"/>
              <w:adjustRightInd w:val="0"/>
              <w:snapToGrid w:val="0"/>
              <w:rPr>
                <w:rFonts w:ascii="宋体" w:hAnsi="宋体" w:cs="Arial"/>
                <w:snapToGrid w:val="0"/>
                <w:color w:val="auto"/>
                <w:sz w:val="20"/>
                <w:szCs w:val="20"/>
                <w:highlight w:val="none"/>
              </w:rPr>
            </w:pPr>
            <w:r>
              <w:rPr>
                <w:rFonts w:ascii="宋体" w:hAnsi="宋体" w:cs="Arial"/>
                <w:snapToGrid w:val="0"/>
                <w:color w:val="auto"/>
                <w:sz w:val="20"/>
                <w:szCs w:val="20"/>
                <w:highlight w:val="none"/>
              </w:rPr>
              <w:t>按应纳税所得额的</w:t>
            </w:r>
            <w:r>
              <w:rPr>
                <w:rFonts w:hint="eastAsia" w:ascii="宋体" w:hAnsi="宋体" w:cs="Arial"/>
                <w:snapToGrid w:val="0"/>
                <w:color w:val="auto"/>
                <w:sz w:val="20"/>
                <w:szCs w:val="20"/>
                <w:highlight w:val="none"/>
              </w:rPr>
              <w:t>15</w:t>
            </w:r>
            <w:r>
              <w:rPr>
                <w:rFonts w:ascii="宋体" w:hAnsi="宋体" w:cs="Arial"/>
                <w:snapToGrid w:val="0"/>
                <w:color w:val="auto"/>
                <w:sz w:val="20"/>
                <w:szCs w:val="20"/>
                <w:highlight w:val="none"/>
              </w:rPr>
              <w:t>%。</w:t>
            </w:r>
          </w:p>
        </w:tc>
      </w:tr>
    </w:tbl>
    <w:p>
      <w:pPr>
        <w:spacing w:line="520" w:lineRule="exact"/>
        <w:ind w:firstLine="482" w:firstLineChars="200"/>
        <w:outlineLvl w:val="0"/>
        <w:rPr>
          <w:rFonts w:ascii="Arial Narrow" w:hAnsi="Arial Narrow"/>
          <w:b/>
          <w:color w:val="auto"/>
          <w:sz w:val="24"/>
          <w:highlight w:val="none"/>
        </w:rPr>
      </w:pPr>
      <w:r>
        <w:rPr>
          <w:rFonts w:hint="eastAsia" w:ascii="Arial Narrow" w:hAnsi="Arial Narrow"/>
          <w:b/>
          <w:color w:val="auto"/>
          <w:sz w:val="24"/>
          <w:highlight w:val="none"/>
        </w:rPr>
        <w:t>六、</w:t>
      </w:r>
      <w:r>
        <w:rPr>
          <w:rFonts w:ascii="Arial Narrow" w:hAnsi="Arial Narrow"/>
          <w:b/>
          <w:color w:val="auto"/>
          <w:sz w:val="24"/>
          <w:highlight w:val="none"/>
        </w:rPr>
        <w:t>税收优惠</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 xml:space="preserve">6.1 </w:t>
      </w:r>
      <w:r>
        <w:rPr>
          <w:rFonts w:ascii="Arial Narrow" w:hAnsi="Arial Narrow"/>
          <w:color w:val="auto"/>
          <w:sz w:val="24"/>
          <w:highlight w:val="none"/>
        </w:rPr>
        <w:t>根据财税【201</w:t>
      </w:r>
      <w:r>
        <w:rPr>
          <w:rFonts w:hint="eastAsia" w:ascii="Arial Narrow" w:hAnsi="Arial Narrow"/>
          <w:color w:val="auto"/>
          <w:sz w:val="24"/>
          <w:highlight w:val="none"/>
        </w:rPr>
        <w:t>8</w:t>
      </w:r>
      <w:r>
        <w:rPr>
          <w:rFonts w:ascii="Arial Narrow" w:hAnsi="Arial Narrow"/>
          <w:color w:val="auto"/>
          <w:sz w:val="24"/>
          <w:highlight w:val="none"/>
        </w:rPr>
        <w:t>】</w:t>
      </w:r>
      <w:r>
        <w:rPr>
          <w:rFonts w:hint="eastAsia" w:ascii="Arial Narrow" w:hAnsi="Arial Narrow"/>
          <w:color w:val="auto"/>
          <w:sz w:val="24"/>
          <w:highlight w:val="none"/>
        </w:rPr>
        <w:t>91</w:t>
      </w:r>
      <w:r>
        <w:rPr>
          <w:rFonts w:ascii="Arial Narrow" w:hAnsi="Arial Narrow"/>
          <w:color w:val="auto"/>
          <w:sz w:val="24"/>
          <w:highlight w:val="none"/>
        </w:rPr>
        <w:t>号《</w:t>
      </w:r>
      <w:r>
        <w:rPr>
          <w:rFonts w:hint="eastAsia" w:ascii="Arial Narrow" w:hAnsi="Arial Narrow"/>
          <w:color w:val="auto"/>
          <w:sz w:val="24"/>
          <w:highlight w:val="none"/>
        </w:rPr>
        <w:t>国家税务总局关于金融机构小微企业贷款利息收入免征增值税政策的通知</w:t>
      </w:r>
      <w:r>
        <w:rPr>
          <w:rFonts w:ascii="Arial Narrow" w:hAnsi="Arial Narrow"/>
          <w:color w:val="auto"/>
          <w:sz w:val="24"/>
          <w:highlight w:val="none"/>
        </w:rPr>
        <w:t>》</w:t>
      </w:r>
      <w:r>
        <w:rPr>
          <w:rFonts w:hint="eastAsia" w:ascii="Arial Narrow" w:hAnsi="Arial Narrow"/>
          <w:color w:val="auto"/>
          <w:sz w:val="24"/>
          <w:highlight w:val="none"/>
        </w:rPr>
        <w:t>自2018年9月1日至2020年12月31日</w:t>
      </w:r>
      <w:r>
        <w:rPr>
          <w:rFonts w:ascii="Arial Narrow" w:hAnsi="Arial Narrow"/>
          <w:color w:val="auto"/>
          <w:sz w:val="24"/>
          <w:highlight w:val="none"/>
        </w:rPr>
        <w:t>，</w:t>
      </w:r>
      <w:r>
        <w:rPr>
          <w:rFonts w:hint="eastAsia" w:ascii="Arial Narrow" w:hAnsi="Arial Narrow"/>
          <w:color w:val="auto"/>
          <w:sz w:val="24"/>
          <w:highlight w:val="none"/>
        </w:rPr>
        <w:t>对金融机构向小型企业、微型企业和个体工商户发放小额贷款取得的利息收入，免征增值税。金融机构可以选择以下两种方法之一适用免税：</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(一) 对金融机构向小型企业、微型企业和个体工商户发放的，利率水平不高于人民银行同期贷款基准利率150%(含本数)的单笔小额贷款取得的利息收入，免征增值税；高于人民银行同期贷款基准利率150%的单笔小额贷款取得的利息收入，按照现行政策规定缴纳增值税。</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(二) 对金融机构向小型企业、微型企业和个体工商户发放单笔小额贷款取得的利息收入中，不高于该笔贷款按照人民银行同期贷款基准利率150%(含本数)计算的利息收入部分，免征增值税；超过部分按照现行政策规定缴纳增值税。金融机构可按会计年度在以上两种方法之间选定其一作为该年的免税适用方法，一经选定,该会计年度内不得变更。</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金融机构向小型企业、微型企业及个体工商户发放单户授信小于100万元(含本数)，或者没有授信额度，单户贷款合同金额且贷款余额在100万元(含本数)以下的贷款取得的利息收入，可继续按照《财政部税务总局关于支持小微企业融资有关税收政策的通知》(财税〔2017〕77号)的规定免征增值税。</w:t>
      </w:r>
    </w:p>
    <w:p>
      <w:pPr>
        <w:spacing w:line="52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根据《财政部 税务总局公告2022年第6号—关于延长部分税收优惠政策执行期限的公告》，</w:t>
      </w:r>
      <w:r>
        <w:rPr>
          <w:rFonts w:ascii="Arial Narrow" w:hAnsi="Arial Narrow"/>
          <w:color w:val="auto"/>
          <w:sz w:val="24"/>
          <w:highlight w:val="none"/>
        </w:rPr>
        <w:t>财税【201</w:t>
      </w:r>
      <w:r>
        <w:rPr>
          <w:rFonts w:hint="eastAsia" w:ascii="Arial Narrow" w:hAnsi="Arial Narrow"/>
          <w:color w:val="auto"/>
          <w:sz w:val="24"/>
          <w:highlight w:val="none"/>
        </w:rPr>
        <w:t>8</w:t>
      </w:r>
      <w:r>
        <w:rPr>
          <w:rFonts w:ascii="Arial Narrow" w:hAnsi="Arial Narrow"/>
          <w:color w:val="auto"/>
          <w:sz w:val="24"/>
          <w:highlight w:val="none"/>
        </w:rPr>
        <w:t>】</w:t>
      </w:r>
      <w:r>
        <w:rPr>
          <w:rFonts w:hint="eastAsia" w:ascii="Arial Narrow" w:hAnsi="Arial Narrow"/>
          <w:color w:val="auto"/>
          <w:sz w:val="24"/>
          <w:highlight w:val="none"/>
        </w:rPr>
        <w:t>91</w:t>
      </w:r>
      <w:r>
        <w:rPr>
          <w:rFonts w:ascii="Arial Narrow" w:hAnsi="Arial Narrow"/>
          <w:color w:val="auto"/>
          <w:sz w:val="24"/>
          <w:highlight w:val="none"/>
        </w:rPr>
        <w:t>号</w:t>
      </w:r>
      <w:r>
        <w:rPr>
          <w:rFonts w:hint="eastAsia" w:ascii="Arial Narrow" w:hAnsi="Arial Narrow"/>
          <w:color w:val="auto"/>
          <w:sz w:val="24"/>
          <w:highlight w:val="none"/>
        </w:rPr>
        <w:t>文件规定的税收优惠政策凡已经到期的，执行期限延长至2023年12月31日。</w:t>
      </w:r>
    </w:p>
    <w:p>
      <w:pPr>
        <w:spacing w:line="520" w:lineRule="exact"/>
        <w:ind w:firstLine="480" w:firstLineChars="200"/>
        <w:rPr>
          <w:rFonts w:hint="eastAsia" w:ascii="宋体" w:hAnsi="宋体"/>
          <w:b/>
          <w:color w:val="auto"/>
          <w:sz w:val="24"/>
          <w:highlight w:val="none"/>
        </w:rPr>
      </w:pPr>
      <w:r>
        <w:rPr>
          <w:rFonts w:hint="eastAsia" w:ascii="Arial Narrow" w:hAnsi="Arial Narrow"/>
          <w:color w:val="auto"/>
          <w:sz w:val="24"/>
          <w:highlight w:val="none"/>
        </w:rPr>
        <w:t>6</w:t>
      </w:r>
      <w:r>
        <w:rPr>
          <w:rFonts w:ascii="Arial Narrow" w:hAnsi="Arial Narrow"/>
          <w:color w:val="auto"/>
          <w:sz w:val="24"/>
          <w:highlight w:val="none"/>
        </w:rPr>
        <w:t>.</w:t>
      </w:r>
      <w:r>
        <w:rPr>
          <w:rFonts w:hint="eastAsia" w:ascii="Arial Narrow" w:hAnsi="Arial Narrow"/>
          <w:color w:val="auto"/>
          <w:sz w:val="24"/>
          <w:highlight w:val="none"/>
        </w:rPr>
        <w:t>2 根据财政部 税务总局 国家发展改革委《关于延续西部大开发企业所得税政策的公告》（财政部 税务总局 国家发展改革委公告2020年第23号）规定，“一、自2022年1月1日至2030年12月31日，对设在西部地区的鼓励类产业企业减按15%的税率征收企业所得税。本条所称鼓励类产业企业是指以《西部地区鼓励类产业目录》中规定的产业项目为主营业务，且其主营业务收入占企业收入总额60%以上的企业。”</w:t>
      </w:r>
    </w:p>
    <w:p>
      <w:pPr>
        <w:spacing w:line="520" w:lineRule="exact"/>
        <w:ind w:firstLine="482" w:firstLineChars="200"/>
        <w:outlineLvl w:val="0"/>
        <w:rPr>
          <w:rFonts w:ascii="宋体" w:hAnsi="宋体"/>
          <w:b/>
          <w:color w:val="auto"/>
          <w:sz w:val="24"/>
          <w:highlight w:val="none"/>
        </w:rPr>
      </w:pPr>
      <w:r>
        <w:rPr>
          <w:rFonts w:ascii="宋体" w:hAnsi="宋体"/>
          <w:b/>
          <w:color w:val="auto"/>
          <w:sz w:val="24"/>
          <w:highlight w:val="none"/>
        </w:rPr>
        <w:t>七、</w:t>
      </w:r>
      <w:r>
        <w:rPr>
          <w:rFonts w:hint="eastAsia" w:ascii="宋体" w:hAnsi="宋体"/>
          <w:b/>
          <w:color w:val="auto"/>
          <w:sz w:val="24"/>
          <w:highlight w:val="none"/>
        </w:rPr>
        <w:t>财务</w:t>
      </w:r>
      <w:r>
        <w:rPr>
          <w:rFonts w:ascii="宋体" w:hAnsi="宋体"/>
          <w:b/>
          <w:color w:val="auto"/>
          <w:sz w:val="24"/>
          <w:highlight w:val="none"/>
        </w:rPr>
        <w:t>报表主要项目注释</w:t>
      </w:r>
    </w:p>
    <w:p>
      <w:pPr>
        <w:spacing w:line="520" w:lineRule="exact"/>
        <w:ind w:firstLine="480" w:firstLineChars="200"/>
        <w:rPr>
          <w:rFonts w:hint="eastAsia" w:ascii="Arial Narrow" w:hAnsi="Arial Narrow" w:eastAsia="宋体"/>
          <w:color w:val="auto"/>
          <w:sz w:val="24"/>
          <w:highlight w:val="none"/>
          <w:lang w:eastAsia="zh-CN"/>
        </w:rPr>
      </w:pPr>
      <w:r>
        <w:rPr>
          <w:rFonts w:ascii="Arial Narrow" w:hAnsi="Arial Narrow"/>
          <w:color w:val="auto"/>
          <w:sz w:val="24"/>
          <w:highlight w:val="none"/>
        </w:rPr>
        <w:t>下列所披露的财务报表数据,“年初”系指</w:t>
      </w:r>
      <w:r>
        <w:rPr>
          <w:rFonts w:hint="eastAsia" w:ascii="Arial Narrow" w:hAnsi="Arial Narrow"/>
          <w:color w:val="auto"/>
          <w:sz w:val="24"/>
          <w:highlight w:val="none"/>
        </w:rPr>
        <w:t>2024年</w:t>
      </w:r>
      <w:r>
        <w:rPr>
          <w:rFonts w:ascii="Arial Narrow" w:hAnsi="Arial Narrow"/>
          <w:color w:val="auto"/>
          <w:sz w:val="24"/>
          <w:highlight w:val="none"/>
        </w:rPr>
        <w:t>1月1日,“年末”系指</w:t>
      </w:r>
      <w:r>
        <w:rPr>
          <w:rFonts w:hint="eastAsia" w:ascii="Arial Narrow" w:hAnsi="Arial Narrow"/>
          <w:color w:val="auto"/>
          <w:sz w:val="24"/>
          <w:highlight w:val="none"/>
        </w:rPr>
        <w:t>2024年</w:t>
      </w:r>
      <w:r>
        <w:rPr>
          <w:rFonts w:ascii="Arial Narrow" w:hAnsi="Arial Narrow"/>
          <w:color w:val="auto"/>
          <w:sz w:val="24"/>
          <w:highlight w:val="none"/>
        </w:rPr>
        <w:t>12月31日,“本年”系指</w:t>
      </w:r>
      <w:r>
        <w:rPr>
          <w:rFonts w:hint="eastAsia" w:ascii="Arial Narrow" w:hAnsi="Arial Narrow"/>
          <w:color w:val="auto"/>
          <w:sz w:val="24"/>
          <w:highlight w:val="none"/>
        </w:rPr>
        <w:t>2024年</w:t>
      </w:r>
      <w:r>
        <w:rPr>
          <w:rFonts w:ascii="Arial Narrow" w:hAnsi="Arial Narrow"/>
          <w:color w:val="auto"/>
          <w:sz w:val="24"/>
          <w:highlight w:val="none"/>
        </w:rPr>
        <w:t>度,“上年”系指20</w:t>
      </w:r>
      <w:r>
        <w:rPr>
          <w:rFonts w:hint="eastAsia" w:ascii="Arial Narrow" w:hAnsi="Arial Narrow"/>
          <w:color w:val="auto"/>
          <w:sz w:val="24"/>
          <w:highlight w:val="none"/>
        </w:rPr>
        <w:t>24</w:t>
      </w:r>
      <w:r>
        <w:rPr>
          <w:rFonts w:ascii="Arial Narrow" w:hAnsi="Arial Narrow"/>
          <w:color w:val="auto"/>
          <w:sz w:val="24"/>
          <w:highlight w:val="none"/>
        </w:rPr>
        <w:t>年度。（除另有注明外,所有金额均以人民币元为货币单位）</w:t>
      </w:r>
    </w:p>
    <w:p>
      <w:pPr>
        <w:spacing w:line="520" w:lineRule="exact"/>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7.1现金及存放中央银行款项</w:t>
      </w:r>
    </w:p>
    <w:tbl>
      <w:tblPr>
        <w:tblStyle w:val="12"/>
        <w:tblW w:w="9536" w:type="dxa"/>
        <w:tblInd w:w="90" w:type="dxa"/>
        <w:tblLayout w:type="fixed"/>
        <w:tblCellMar>
          <w:top w:w="0" w:type="dxa"/>
          <w:left w:w="108" w:type="dxa"/>
          <w:bottom w:w="0" w:type="dxa"/>
          <w:right w:w="108" w:type="dxa"/>
        </w:tblCellMar>
      </w:tblPr>
      <w:tblGrid>
        <w:gridCol w:w="2995"/>
        <w:gridCol w:w="3118"/>
        <w:gridCol w:w="3423"/>
      </w:tblGrid>
      <w:tr>
        <w:tblPrEx>
          <w:tblCellMar>
            <w:top w:w="0" w:type="dxa"/>
            <w:left w:w="108" w:type="dxa"/>
            <w:bottom w:w="0" w:type="dxa"/>
            <w:right w:w="108" w:type="dxa"/>
          </w:tblCellMar>
        </w:tblPrEx>
        <w:trPr>
          <w:trHeight w:val="311" w:hRule="atLeast"/>
          <w:tblHeader/>
        </w:trPr>
        <w:tc>
          <w:tcPr>
            <w:tcW w:w="2995"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项  目</w:t>
            </w:r>
          </w:p>
        </w:tc>
        <w:tc>
          <w:tcPr>
            <w:tcW w:w="3118"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42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w:t>
            </w:r>
            <w:r>
              <w:rPr>
                <w:rFonts w:ascii="宋体" w:hAnsi="宋体" w:cs="宋体"/>
                <w:b/>
                <w:bCs/>
                <w:color w:val="auto"/>
                <w:kern w:val="0"/>
                <w:sz w:val="20"/>
                <w:szCs w:val="20"/>
                <w:highlight w:val="none"/>
              </w:rPr>
              <w:t>额</w:t>
            </w:r>
          </w:p>
        </w:tc>
      </w:tr>
      <w:tr>
        <w:tblPrEx>
          <w:tblCellMar>
            <w:top w:w="0" w:type="dxa"/>
            <w:left w:w="108" w:type="dxa"/>
            <w:bottom w:w="0" w:type="dxa"/>
            <w:right w:w="108" w:type="dxa"/>
          </w:tblCellMar>
        </w:tblPrEx>
        <w:trPr>
          <w:trHeight w:val="340" w:hRule="atLeast"/>
        </w:trPr>
        <w:tc>
          <w:tcPr>
            <w:tcW w:w="2995" w:type="dxa"/>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color w:val="auto"/>
                <w:kern w:val="0"/>
                <w:sz w:val="20"/>
                <w:szCs w:val="20"/>
                <w:highlight w:val="none"/>
              </w:rPr>
            </w:pPr>
            <w:r>
              <w:rPr>
                <w:rFonts w:ascii="宋体" w:hAnsi="宋体" w:cs="宋体"/>
                <w:color w:val="auto"/>
                <w:kern w:val="0"/>
                <w:sz w:val="20"/>
                <w:szCs w:val="20"/>
                <w:highlight w:val="none"/>
              </w:rPr>
              <w:t>现金</w:t>
            </w:r>
          </w:p>
        </w:tc>
        <w:tc>
          <w:tcPr>
            <w:tcW w:w="3118"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 xml:space="preserve"> 87,336,109.26 </w:t>
            </w:r>
          </w:p>
        </w:tc>
        <w:tc>
          <w:tcPr>
            <w:tcW w:w="342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89,572,871.83</w:t>
            </w:r>
          </w:p>
        </w:tc>
      </w:tr>
      <w:tr>
        <w:tblPrEx>
          <w:tblCellMar>
            <w:top w:w="0" w:type="dxa"/>
            <w:left w:w="108" w:type="dxa"/>
            <w:bottom w:w="0" w:type="dxa"/>
            <w:right w:w="108" w:type="dxa"/>
          </w:tblCellMar>
        </w:tblPrEx>
        <w:trPr>
          <w:trHeight w:val="340" w:hRule="atLeast"/>
        </w:trPr>
        <w:tc>
          <w:tcPr>
            <w:tcW w:w="2995" w:type="dxa"/>
            <w:tcBorders>
              <w:top w:val="nil"/>
              <w:left w:val="single" w:color="auto" w:sz="8" w:space="0"/>
              <w:bottom w:val="single" w:color="auto" w:sz="8" w:space="0"/>
              <w:right w:val="single" w:color="auto" w:sz="8" w:space="0"/>
            </w:tcBorders>
            <w:noWrap w:val="0"/>
            <w:vAlign w:val="center"/>
          </w:tcPr>
          <w:p>
            <w:pPr>
              <w:rPr>
                <w:rFonts w:ascii="宋体" w:hAnsi="宋体" w:cs="宋体"/>
                <w:color w:val="auto"/>
                <w:sz w:val="20"/>
                <w:szCs w:val="20"/>
                <w:highlight w:val="none"/>
              </w:rPr>
            </w:pPr>
            <w:r>
              <w:rPr>
                <w:rFonts w:hint="eastAsia" w:ascii="宋体" w:hAnsi="宋体" w:cs="宋体"/>
                <w:color w:val="auto"/>
                <w:sz w:val="20"/>
                <w:szCs w:val="20"/>
                <w:highlight w:val="none"/>
              </w:rPr>
              <w:t>存款准备金</w:t>
            </w:r>
          </w:p>
        </w:tc>
        <w:tc>
          <w:tcPr>
            <w:tcW w:w="3118"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 xml:space="preserve">670,514,768.77 </w:t>
            </w:r>
          </w:p>
        </w:tc>
        <w:tc>
          <w:tcPr>
            <w:tcW w:w="342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775,558,591.49</w:t>
            </w:r>
          </w:p>
        </w:tc>
      </w:tr>
      <w:tr>
        <w:tblPrEx>
          <w:tblCellMar>
            <w:top w:w="0" w:type="dxa"/>
            <w:left w:w="108" w:type="dxa"/>
            <w:bottom w:w="0" w:type="dxa"/>
            <w:right w:w="108" w:type="dxa"/>
          </w:tblCellMar>
        </w:tblPrEx>
        <w:trPr>
          <w:trHeight w:val="340" w:hRule="atLeast"/>
        </w:trPr>
        <w:tc>
          <w:tcPr>
            <w:tcW w:w="2995" w:type="dxa"/>
            <w:tcBorders>
              <w:top w:val="nil"/>
              <w:left w:val="single" w:color="auto" w:sz="8" w:space="0"/>
              <w:bottom w:val="single" w:color="auto" w:sz="8" w:space="0"/>
              <w:right w:val="single" w:color="auto" w:sz="8" w:space="0"/>
            </w:tcBorders>
            <w:noWrap w:val="0"/>
            <w:vAlign w:val="center"/>
          </w:tcPr>
          <w:p>
            <w:pPr>
              <w:rPr>
                <w:rFonts w:hint="eastAsia" w:ascii="宋体" w:hAnsi="宋体" w:cs="宋体"/>
                <w:color w:val="auto"/>
                <w:sz w:val="20"/>
                <w:szCs w:val="20"/>
                <w:highlight w:val="none"/>
              </w:rPr>
            </w:pPr>
            <w:r>
              <w:rPr>
                <w:rFonts w:hint="eastAsia" w:ascii="宋体" w:hAnsi="宋体" w:cs="宋体"/>
                <w:color w:val="auto"/>
                <w:sz w:val="20"/>
                <w:szCs w:val="20"/>
                <w:highlight w:val="none"/>
              </w:rPr>
              <w:t>缴存财政性存款</w:t>
            </w:r>
          </w:p>
        </w:tc>
        <w:tc>
          <w:tcPr>
            <w:tcW w:w="3118"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 xml:space="preserve">4,769,000.00 </w:t>
            </w:r>
          </w:p>
        </w:tc>
        <w:tc>
          <w:tcPr>
            <w:tcW w:w="342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8,103,000.00</w:t>
            </w:r>
          </w:p>
        </w:tc>
      </w:tr>
      <w:tr>
        <w:tblPrEx>
          <w:tblCellMar>
            <w:top w:w="0" w:type="dxa"/>
            <w:left w:w="108" w:type="dxa"/>
            <w:bottom w:w="0" w:type="dxa"/>
            <w:right w:w="108" w:type="dxa"/>
          </w:tblCellMar>
        </w:tblPrEx>
        <w:trPr>
          <w:trHeight w:val="340" w:hRule="atLeast"/>
        </w:trPr>
        <w:tc>
          <w:tcPr>
            <w:tcW w:w="2995"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合计</w:t>
            </w:r>
          </w:p>
        </w:tc>
        <w:tc>
          <w:tcPr>
            <w:tcW w:w="3118" w:type="dxa"/>
            <w:tcBorders>
              <w:top w:val="nil"/>
              <w:left w:val="nil"/>
              <w:bottom w:val="single" w:color="auto" w:sz="8" w:space="0"/>
              <w:right w:val="single" w:color="auto" w:sz="8" w:space="0"/>
            </w:tcBorders>
            <w:noWrap w:val="0"/>
            <w:vAlign w:val="bottom"/>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762,619,878.03</w:t>
            </w:r>
          </w:p>
        </w:tc>
        <w:tc>
          <w:tcPr>
            <w:tcW w:w="342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873,234,463.32</w:t>
            </w:r>
          </w:p>
        </w:tc>
      </w:tr>
    </w:tbl>
    <w:p>
      <w:pPr>
        <w:spacing w:line="520" w:lineRule="exact"/>
        <w:ind w:firstLine="480" w:firstLineChars="200"/>
        <w:rPr>
          <w:rFonts w:hint="eastAsia" w:ascii="Arial Narrow" w:hAnsi="Arial Narrow"/>
          <w:color w:val="auto"/>
          <w:sz w:val="24"/>
          <w:highlight w:val="none"/>
        </w:rPr>
      </w:pPr>
      <w:r>
        <w:rPr>
          <w:rFonts w:ascii="Arial Narrow" w:hAnsi="Arial Narrow"/>
          <w:color w:val="auto"/>
          <w:sz w:val="24"/>
          <w:highlight w:val="none"/>
        </w:rPr>
        <w:t>注</w:t>
      </w:r>
      <w:r>
        <w:rPr>
          <w:rFonts w:hint="eastAsia" w:ascii="Arial Narrow" w:hAnsi="Arial Narrow"/>
          <w:color w:val="auto"/>
          <w:sz w:val="24"/>
          <w:highlight w:val="none"/>
        </w:rPr>
        <w:t>：2024年</w:t>
      </w:r>
      <w:r>
        <w:rPr>
          <w:rFonts w:ascii="Arial Narrow" w:hAnsi="Arial Narrow"/>
          <w:color w:val="auto"/>
          <w:sz w:val="24"/>
          <w:highlight w:val="none"/>
        </w:rPr>
        <w:t>12月31日</w:t>
      </w:r>
      <w:r>
        <w:rPr>
          <w:rFonts w:hint="eastAsia" w:ascii="Arial Narrow" w:hAnsi="Arial Narrow"/>
          <w:color w:val="auto"/>
          <w:sz w:val="24"/>
          <w:highlight w:val="none"/>
        </w:rPr>
        <w:t>本行</w:t>
      </w:r>
      <w:r>
        <w:rPr>
          <w:rFonts w:ascii="Arial Narrow" w:hAnsi="Arial Narrow"/>
          <w:color w:val="auto"/>
          <w:sz w:val="24"/>
          <w:highlight w:val="none"/>
        </w:rPr>
        <w:t>适用的人民币存款准备金缴存比率为</w:t>
      </w:r>
      <w:r>
        <w:rPr>
          <w:rFonts w:hint="eastAsia" w:ascii="Arial Narrow" w:hAnsi="Arial Narrow"/>
          <w:color w:val="auto"/>
          <w:sz w:val="24"/>
          <w:highlight w:val="none"/>
        </w:rPr>
        <w:t>5</w:t>
      </w:r>
      <w:r>
        <w:rPr>
          <w:rFonts w:ascii="Arial Narrow" w:hAnsi="Arial Narrow"/>
          <w:color w:val="auto"/>
          <w:sz w:val="24"/>
          <w:highlight w:val="none"/>
        </w:rPr>
        <w:t>%</w:t>
      </w:r>
      <w:r>
        <w:rPr>
          <w:rFonts w:hint="eastAsia" w:ascii="Arial Narrow" w:hAnsi="Arial Narrow"/>
          <w:color w:val="auto"/>
          <w:sz w:val="24"/>
          <w:highlight w:val="none"/>
        </w:rPr>
        <w:t>，本行</w:t>
      </w:r>
      <w:r>
        <w:rPr>
          <w:rFonts w:ascii="Arial Narrow" w:hAnsi="Arial Narrow"/>
          <w:color w:val="auto"/>
          <w:sz w:val="24"/>
          <w:highlight w:val="none"/>
        </w:rPr>
        <w:t>按规定向中国人民银行已足额缴存一般存款准备金。</w:t>
      </w:r>
    </w:p>
    <w:p>
      <w:pPr>
        <w:spacing w:line="520" w:lineRule="exact"/>
        <w:outlineLvl w:val="1"/>
        <w:rPr>
          <w:rFonts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7.2存放同业款项</w:t>
      </w:r>
    </w:p>
    <w:tbl>
      <w:tblPr>
        <w:tblStyle w:val="12"/>
        <w:tblW w:w="9534" w:type="dxa"/>
        <w:tblInd w:w="102" w:type="dxa"/>
        <w:tblLayout w:type="fixed"/>
        <w:tblCellMar>
          <w:top w:w="0" w:type="dxa"/>
          <w:left w:w="108" w:type="dxa"/>
          <w:bottom w:w="0" w:type="dxa"/>
          <w:right w:w="108" w:type="dxa"/>
        </w:tblCellMar>
      </w:tblPr>
      <w:tblGrid>
        <w:gridCol w:w="3354"/>
        <w:gridCol w:w="2748"/>
        <w:gridCol w:w="3432"/>
      </w:tblGrid>
      <w:tr>
        <w:tblPrEx>
          <w:tblCellMar>
            <w:top w:w="0" w:type="dxa"/>
            <w:left w:w="108" w:type="dxa"/>
            <w:bottom w:w="0" w:type="dxa"/>
            <w:right w:w="108" w:type="dxa"/>
          </w:tblCellMar>
        </w:tblPrEx>
        <w:trPr>
          <w:trHeight w:val="310" w:hRule="atLeast"/>
          <w:tblHeader/>
        </w:trPr>
        <w:tc>
          <w:tcPr>
            <w:tcW w:w="335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2748"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432"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10" w:hRule="atLeast"/>
        </w:trPr>
        <w:tc>
          <w:tcPr>
            <w:tcW w:w="3354" w:type="dxa"/>
            <w:tcBorders>
              <w:top w:val="nil"/>
              <w:left w:val="single" w:color="auto" w:sz="8" w:space="0"/>
              <w:bottom w:val="single" w:color="auto" w:sz="8" w:space="0"/>
              <w:right w:val="single" w:color="auto" w:sz="8" w:space="0"/>
            </w:tcBorders>
            <w:noWrap w:val="0"/>
            <w:vAlign w:val="center"/>
          </w:tcPr>
          <w:p>
            <w:pPr>
              <w:widowControl/>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存放同业款项</w:t>
            </w:r>
          </w:p>
        </w:tc>
        <w:tc>
          <w:tcPr>
            <w:tcW w:w="2748"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31,011,456.89 </w:t>
            </w:r>
          </w:p>
        </w:tc>
        <w:tc>
          <w:tcPr>
            <w:tcW w:w="3432" w:type="dxa"/>
            <w:tcBorders>
              <w:top w:val="nil"/>
              <w:left w:val="nil"/>
              <w:bottom w:val="single" w:color="auto" w:sz="8" w:space="0"/>
              <w:right w:val="single" w:color="auto" w:sz="8" w:space="0"/>
            </w:tcBorders>
            <w:noWrap w:val="0"/>
            <w:vAlign w:val="center"/>
          </w:tcPr>
          <w:p>
            <w:pPr>
              <w:widowControl/>
              <w:jc w:val="right"/>
              <w:textAlignment w:val="bottom"/>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0.00</w:t>
            </w:r>
          </w:p>
        </w:tc>
      </w:tr>
      <w:tr>
        <w:tblPrEx>
          <w:tblCellMar>
            <w:top w:w="0" w:type="dxa"/>
            <w:left w:w="108" w:type="dxa"/>
            <w:bottom w:w="0" w:type="dxa"/>
            <w:right w:w="108" w:type="dxa"/>
          </w:tblCellMar>
        </w:tblPrEx>
        <w:trPr>
          <w:trHeight w:val="310" w:hRule="atLeast"/>
        </w:trPr>
        <w:tc>
          <w:tcPr>
            <w:tcW w:w="335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存放省联社清算资金</w:t>
            </w:r>
          </w:p>
        </w:tc>
        <w:tc>
          <w:tcPr>
            <w:tcW w:w="2748"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299,570,616.13 </w:t>
            </w:r>
          </w:p>
        </w:tc>
        <w:tc>
          <w:tcPr>
            <w:tcW w:w="3432"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ascii="宋体" w:hAnsi="宋体" w:cs="宋体"/>
                <w:color w:val="auto"/>
                <w:sz w:val="20"/>
                <w:szCs w:val="20"/>
                <w:highlight w:val="none"/>
              </w:rPr>
              <w:t>874,832,485.74</w:t>
            </w:r>
          </w:p>
        </w:tc>
      </w:tr>
      <w:tr>
        <w:tblPrEx>
          <w:tblCellMar>
            <w:top w:w="0" w:type="dxa"/>
            <w:left w:w="108" w:type="dxa"/>
            <w:bottom w:w="0" w:type="dxa"/>
            <w:right w:w="108" w:type="dxa"/>
          </w:tblCellMar>
        </w:tblPrEx>
        <w:trPr>
          <w:trHeight w:val="310" w:hRule="atLeast"/>
        </w:trPr>
        <w:tc>
          <w:tcPr>
            <w:tcW w:w="3354"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存放同业坏账准备</w:t>
            </w:r>
          </w:p>
        </w:tc>
        <w:tc>
          <w:tcPr>
            <w:tcW w:w="2748"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14,219,278.51 </w:t>
            </w:r>
          </w:p>
        </w:tc>
        <w:tc>
          <w:tcPr>
            <w:tcW w:w="3432" w:type="dxa"/>
            <w:tcBorders>
              <w:top w:val="nil"/>
              <w:left w:val="nil"/>
              <w:bottom w:val="single" w:color="auto" w:sz="8" w:space="0"/>
              <w:right w:val="single" w:color="auto" w:sz="8" w:space="0"/>
            </w:tcBorders>
            <w:noWrap w:val="0"/>
            <w:vAlign w:val="bottom"/>
          </w:tcPr>
          <w:p>
            <w:pPr>
              <w:jc w:val="right"/>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0.00</w:t>
            </w:r>
          </w:p>
        </w:tc>
      </w:tr>
      <w:tr>
        <w:tblPrEx>
          <w:tblCellMar>
            <w:top w:w="0" w:type="dxa"/>
            <w:left w:w="108" w:type="dxa"/>
            <w:bottom w:w="0" w:type="dxa"/>
            <w:right w:w="108" w:type="dxa"/>
          </w:tblCellMar>
        </w:tblPrEx>
        <w:trPr>
          <w:trHeight w:val="310" w:hRule="atLeast"/>
        </w:trPr>
        <w:tc>
          <w:tcPr>
            <w:tcW w:w="3354" w:type="dxa"/>
            <w:tcBorders>
              <w:top w:val="nil"/>
              <w:left w:val="single" w:color="auto" w:sz="8" w:space="0"/>
              <w:bottom w:val="single" w:color="auto" w:sz="8" w:space="0"/>
              <w:right w:val="single" w:color="auto" w:sz="8" w:space="0"/>
            </w:tcBorders>
            <w:noWrap w:val="0"/>
            <w:vAlign w:val="center"/>
          </w:tcPr>
          <w:p>
            <w:pPr>
              <w:widowControl/>
              <w:jc w:val="center"/>
              <w:textAlignment w:val="center"/>
              <w:rPr>
                <w:rFonts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合计</w:t>
            </w:r>
          </w:p>
        </w:tc>
        <w:tc>
          <w:tcPr>
            <w:tcW w:w="2748"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316,362,794.51 </w:t>
            </w:r>
          </w:p>
        </w:tc>
        <w:tc>
          <w:tcPr>
            <w:tcW w:w="3432"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874,832,485.74</w:t>
            </w:r>
          </w:p>
        </w:tc>
      </w:tr>
    </w:tbl>
    <w:p>
      <w:pPr>
        <w:spacing w:line="520" w:lineRule="exact"/>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7.3发放</w:t>
      </w:r>
      <w:r>
        <w:rPr>
          <w:rFonts w:ascii="Arial Narrow Regular" w:hAnsi="Arial Narrow Regular" w:cs="Arial Narrow Regular"/>
          <w:color w:val="auto"/>
          <w:sz w:val="24"/>
          <w:highlight w:val="none"/>
        </w:rPr>
        <w:t>贷款及垫款</w:t>
      </w:r>
    </w:p>
    <w:p>
      <w:pPr>
        <w:spacing w:line="520" w:lineRule="exact"/>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7.3.1</w:t>
      </w:r>
      <w:r>
        <w:rPr>
          <w:rFonts w:ascii="Arial Narrow Regular" w:hAnsi="Arial Narrow Regular" w:cs="Arial Narrow Regular"/>
          <w:color w:val="auto"/>
          <w:sz w:val="24"/>
          <w:highlight w:val="none"/>
        </w:rPr>
        <w:t>按个人和企业分布情况</w:t>
      </w:r>
    </w:p>
    <w:tbl>
      <w:tblPr>
        <w:tblStyle w:val="12"/>
        <w:tblW w:w="9521" w:type="dxa"/>
        <w:tblInd w:w="125" w:type="dxa"/>
        <w:tblLayout w:type="fixed"/>
        <w:tblCellMar>
          <w:top w:w="0" w:type="dxa"/>
          <w:left w:w="108" w:type="dxa"/>
          <w:bottom w:w="0" w:type="dxa"/>
          <w:right w:w="108" w:type="dxa"/>
        </w:tblCellMar>
      </w:tblPr>
      <w:tblGrid>
        <w:gridCol w:w="3331"/>
        <w:gridCol w:w="2707"/>
        <w:gridCol w:w="3483"/>
      </w:tblGrid>
      <w:tr>
        <w:tblPrEx>
          <w:tblCellMar>
            <w:top w:w="0" w:type="dxa"/>
            <w:left w:w="108" w:type="dxa"/>
            <w:bottom w:w="0" w:type="dxa"/>
            <w:right w:w="108" w:type="dxa"/>
          </w:tblCellMar>
        </w:tblPrEx>
        <w:trPr>
          <w:trHeight w:val="225" w:hRule="atLeast"/>
          <w:tblHeader/>
        </w:trPr>
        <w:tc>
          <w:tcPr>
            <w:tcW w:w="3331" w:type="dxa"/>
            <w:tcBorders>
              <w:top w:val="single" w:color="auto" w:sz="8" w:space="0"/>
              <w:left w:val="single" w:color="auto" w:sz="8" w:space="0"/>
              <w:bottom w:val="single" w:color="auto" w:sz="8" w:space="0"/>
              <w:right w:val="single" w:color="auto" w:sz="8" w:space="0"/>
            </w:tcBorders>
            <w:noWrap w:val="0"/>
            <w:vAlign w:val="top"/>
          </w:tcPr>
          <w:p>
            <w:pPr>
              <w:widowControl/>
              <w:jc w:val="center"/>
              <w:textAlignment w:val="top"/>
              <w:rPr>
                <w:rFonts w:ascii="宋体" w:hAnsi="宋体" w:cs="宋体"/>
                <w:b/>
                <w:bCs/>
                <w:color w:val="auto"/>
                <w:kern w:val="0"/>
                <w:sz w:val="20"/>
                <w:szCs w:val="20"/>
                <w:highlight w:val="none"/>
              </w:rPr>
            </w:pPr>
            <w:r>
              <w:rPr>
                <w:rFonts w:hint="eastAsia" w:ascii="宋体" w:hAnsi="宋体" w:cs="宋体"/>
                <w:b/>
                <w:bCs/>
                <w:color w:val="auto"/>
                <w:kern w:val="0"/>
                <w:szCs w:val="21"/>
                <w:highlight w:val="none"/>
                <w:lang w:bidi="ar"/>
              </w:rPr>
              <w:t>项  目</w:t>
            </w:r>
          </w:p>
        </w:tc>
        <w:tc>
          <w:tcPr>
            <w:tcW w:w="2707" w:type="dxa"/>
            <w:tcBorders>
              <w:top w:val="single" w:color="auto" w:sz="8" w:space="0"/>
              <w:left w:val="nil"/>
              <w:bottom w:val="single" w:color="auto" w:sz="8" w:space="0"/>
              <w:right w:val="single" w:color="auto" w:sz="8" w:space="0"/>
            </w:tcBorders>
            <w:noWrap w:val="0"/>
            <w:vAlign w:val="top"/>
          </w:tcPr>
          <w:p>
            <w:pPr>
              <w:widowControl/>
              <w:jc w:val="center"/>
              <w:textAlignment w:val="top"/>
              <w:rPr>
                <w:rFonts w:hint="eastAsia" w:ascii="宋体" w:hAnsi="宋体" w:cs="宋体"/>
                <w:b/>
                <w:color w:val="auto"/>
                <w:kern w:val="0"/>
                <w:sz w:val="20"/>
                <w:szCs w:val="20"/>
                <w:highlight w:val="none"/>
              </w:rPr>
            </w:pPr>
            <w:r>
              <w:rPr>
                <w:rFonts w:hint="eastAsia" w:ascii="宋体" w:hAnsi="宋体" w:cs="宋体"/>
                <w:b/>
                <w:bCs/>
                <w:color w:val="auto"/>
                <w:kern w:val="0"/>
                <w:szCs w:val="21"/>
                <w:highlight w:val="none"/>
                <w:lang w:bidi="ar"/>
              </w:rPr>
              <w:t>年初余额</w:t>
            </w:r>
          </w:p>
        </w:tc>
        <w:tc>
          <w:tcPr>
            <w:tcW w:w="3483" w:type="dxa"/>
            <w:tcBorders>
              <w:top w:val="single" w:color="auto" w:sz="8" w:space="0"/>
              <w:left w:val="nil"/>
              <w:bottom w:val="single" w:color="auto" w:sz="8" w:space="0"/>
              <w:right w:val="single" w:color="auto" w:sz="8" w:space="0"/>
            </w:tcBorders>
            <w:noWrap w:val="0"/>
            <w:vAlign w:val="top"/>
          </w:tcPr>
          <w:p>
            <w:pPr>
              <w:widowControl/>
              <w:jc w:val="center"/>
              <w:textAlignment w:val="top"/>
              <w:rPr>
                <w:rFonts w:ascii="宋体" w:hAnsi="宋体" w:cs="宋体"/>
                <w:b/>
                <w:bCs/>
                <w:color w:val="auto"/>
                <w:kern w:val="0"/>
                <w:sz w:val="20"/>
                <w:szCs w:val="20"/>
                <w:highlight w:val="none"/>
              </w:rPr>
            </w:pPr>
            <w:r>
              <w:rPr>
                <w:rFonts w:hint="eastAsia" w:ascii="宋体" w:hAnsi="宋体" w:cs="宋体"/>
                <w:b/>
                <w:bCs/>
                <w:color w:val="auto"/>
                <w:kern w:val="0"/>
                <w:szCs w:val="21"/>
                <w:highlight w:val="none"/>
                <w:lang w:bidi="ar"/>
              </w:rPr>
              <w:t>年末余额</w:t>
            </w:r>
          </w:p>
        </w:tc>
      </w:tr>
      <w:tr>
        <w:tblPrEx>
          <w:tblCellMar>
            <w:top w:w="0" w:type="dxa"/>
            <w:left w:w="108" w:type="dxa"/>
            <w:bottom w:w="0" w:type="dxa"/>
            <w:right w:w="108" w:type="dxa"/>
          </w:tblCellMar>
        </w:tblPrEx>
        <w:trPr>
          <w:trHeight w:val="340" w:hRule="atLeast"/>
        </w:trPr>
        <w:tc>
          <w:tcPr>
            <w:tcW w:w="3331" w:type="dxa"/>
            <w:tcBorders>
              <w:top w:val="nil"/>
              <w:left w:val="single" w:color="auto" w:sz="8" w:space="0"/>
              <w:bottom w:val="single" w:color="auto" w:sz="8" w:space="0"/>
              <w:right w:val="single" w:color="auto" w:sz="8" w:space="0"/>
            </w:tcBorders>
            <w:noWrap w:val="0"/>
            <w:vAlign w:val="center"/>
          </w:tcPr>
          <w:p>
            <w:pPr>
              <w:widowControl/>
              <w:textAlignment w:val="center"/>
              <w:rPr>
                <w:rFonts w:ascii="宋体" w:hAnsi="宋体" w:cs="宋体"/>
                <w:color w:val="auto"/>
                <w:kern w:val="0"/>
                <w:sz w:val="20"/>
                <w:szCs w:val="20"/>
                <w:highlight w:val="none"/>
              </w:rPr>
            </w:pPr>
            <w:r>
              <w:rPr>
                <w:rFonts w:hint="eastAsia" w:ascii="宋体" w:hAnsi="宋体" w:cs="宋体"/>
                <w:color w:val="auto"/>
                <w:kern w:val="0"/>
                <w:szCs w:val="21"/>
                <w:highlight w:val="none"/>
                <w:lang w:bidi="ar"/>
              </w:rPr>
              <w:t>个人贷款和垫款</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8,176,618,461.68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olor w:val="auto"/>
                <w:kern w:val="0"/>
                <w:sz w:val="20"/>
                <w:szCs w:val="20"/>
                <w:highlight w:val="none"/>
                <w:lang w:bidi="ar"/>
              </w:rPr>
              <w:t xml:space="preserve"> 8,270,126,009.43 </w:t>
            </w:r>
          </w:p>
        </w:tc>
      </w:tr>
      <w:tr>
        <w:tblPrEx>
          <w:tblCellMar>
            <w:top w:w="0" w:type="dxa"/>
            <w:left w:w="108" w:type="dxa"/>
            <w:bottom w:w="0" w:type="dxa"/>
            <w:right w:w="108" w:type="dxa"/>
          </w:tblCellMar>
        </w:tblPrEx>
        <w:trPr>
          <w:trHeight w:val="340" w:hRule="atLeast"/>
        </w:trPr>
        <w:tc>
          <w:tcPr>
            <w:tcW w:w="3331" w:type="dxa"/>
            <w:tcBorders>
              <w:top w:val="nil"/>
              <w:left w:val="single" w:color="auto" w:sz="8" w:space="0"/>
              <w:bottom w:val="single" w:color="auto" w:sz="8" w:space="0"/>
              <w:right w:val="single" w:color="auto" w:sz="8" w:space="0"/>
            </w:tcBorders>
            <w:noWrap w:val="0"/>
            <w:vAlign w:val="center"/>
          </w:tcPr>
          <w:p>
            <w:pPr>
              <w:widowControl/>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企业贷款和垫款</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3,661,613,063.3</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olor w:val="auto"/>
                <w:kern w:val="0"/>
                <w:sz w:val="20"/>
                <w:szCs w:val="20"/>
                <w:highlight w:val="none"/>
                <w:lang w:bidi="ar"/>
              </w:rPr>
              <w:t xml:space="preserve"> 3,291,505,803.01 </w:t>
            </w:r>
          </w:p>
        </w:tc>
      </w:tr>
      <w:tr>
        <w:trPr>
          <w:trHeight w:val="340" w:hRule="atLeast"/>
        </w:trPr>
        <w:tc>
          <w:tcPr>
            <w:tcW w:w="3331" w:type="dxa"/>
            <w:tcBorders>
              <w:top w:val="nil"/>
              <w:left w:val="single" w:color="auto" w:sz="8" w:space="0"/>
              <w:bottom w:val="single" w:color="auto" w:sz="8" w:space="0"/>
              <w:right w:val="single" w:color="auto" w:sz="8" w:space="0"/>
            </w:tcBorders>
            <w:noWrap w:val="0"/>
            <w:vAlign w:val="center"/>
          </w:tcPr>
          <w:p>
            <w:pPr>
              <w:widowControl/>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信用卡透支</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1,060,116.20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olor w:val="auto"/>
                <w:kern w:val="0"/>
                <w:sz w:val="20"/>
                <w:szCs w:val="20"/>
                <w:highlight w:val="none"/>
                <w:lang w:bidi="ar"/>
              </w:rPr>
              <w:t xml:space="preserve"> 1,045,353.59 </w:t>
            </w:r>
          </w:p>
        </w:tc>
      </w:tr>
      <w:tr>
        <w:trPr>
          <w:trHeight w:val="90" w:hRule="atLeast"/>
        </w:trPr>
        <w:tc>
          <w:tcPr>
            <w:tcW w:w="3331" w:type="dxa"/>
            <w:tcBorders>
              <w:top w:val="nil"/>
              <w:left w:val="single" w:color="auto" w:sz="8" w:space="0"/>
              <w:bottom w:val="single" w:color="auto" w:sz="8" w:space="0"/>
              <w:right w:val="single" w:color="auto" w:sz="8" w:space="0"/>
            </w:tcBorders>
            <w:noWrap w:val="0"/>
            <w:vAlign w:val="center"/>
          </w:tcPr>
          <w:p>
            <w:pPr>
              <w:widowControl/>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贴现资产</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59,070,115.28 </w:t>
            </w:r>
          </w:p>
        </w:tc>
        <w:tc>
          <w:tcPr>
            <w:tcW w:w="3483" w:type="dxa"/>
            <w:tcBorders>
              <w:top w:val="nil"/>
              <w:left w:val="nil"/>
              <w:bottom w:val="single" w:color="auto" w:sz="8" w:space="0"/>
              <w:right w:val="single" w:color="auto" w:sz="8" w:space="0"/>
            </w:tcBorders>
            <w:noWrap w:val="0"/>
            <w:vAlign w:val="top"/>
          </w:tcPr>
          <w:p>
            <w:pPr>
              <w:widowControl/>
              <w:jc w:val="right"/>
              <w:textAlignment w:val="top"/>
              <w:rPr>
                <w:rFonts w:ascii="宋体" w:hAnsi="宋体"/>
                <w:color w:val="auto"/>
                <w:kern w:val="0"/>
                <w:sz w:val="20"/>
                <w:szCs w:val="20"/>
                <w:highlight w:val="none"/>
                <w:lang w:bidi="ar"/>
              </w:rPr>
            </w:pPr>
            <w:r>
              <w:rPr>
                <w:rFonts w:hint="eastAsia" w:ascii="宋体" w:hAnsi="宋体"/>
                <w:color w:val="auto"/>
                <w:kern w:val="0"/>
                <w:sz w:val="20"/>
                <w:szCs w:val="20"/>
                <w:highlight w:val="none"/>
                <w:lang w:bidi="ar"/>
              </w:rPr>
              <w:t xml:space="preserve"> 54,452,800.70 </w:t>
            </w:r>
          </w:p>
        </w:tc>
      </w:tr>
      <w:tr>
        <w:tblPrEx>
          <w:tblCellMar>
            <w:top w:w="0" w:type="dxa"/>
            <w:left w:w="108" w:type="dxa"/>
            <w:bottom w:w="0" w:type="dxa"/>
            <w:right w:w="108" w:type="dxa"/>
          </w:tblCellMar>
        </w:tblPrEx>
        <w:trPr>
          <w:trHeight w:val="340" w:hRule="atLeast"/>
        </w:trPr>
        <w:tc>
          <w:tcPr>
            <w:tcW w:w="3331" w:type="dxa"/>
            <w:tcBorders>
              <w:top w:val="nil"/>
              <w:left w:val="single" w:color="auto" w:sz="8" w:space="0"/>
              <w:bottom w:val="single" w:color="auto" w:sz="8" w:space="0"/>
              <w:right w:val="single" w:color="auto" w:sz="8" w:space="0"/>
            </w:tcBorders>
            <w:noWrap w:val="0"/>
            <w:vAlign w:val="center"/>
          </w:tcPr>
          <w:p>
            <w:pPr>
              <w:widowControl/>
              <w:jc w:val="center"/>
              <w:textAlignment w:val="center"/>
              <w:rPr>
                <w:rFonts w:ascii="宋体" w:hAnsi="宋体"/>
                <w:b/>
                <w:color w:val="auto"/>
                <w:sz w:val="20"/>
                <w:szCs w:val="20"/>
                <w:highlight w:val="none"/>
              </w:rPr>
            </w:pPr>
            <w:r>
              <w:rPr>
                <w:rFonts w:hint="eastAsia" w:ascii="宋体" w:hAnsi="宋体" w:cs="宋体"/>
                <w:b/>
                <w:bCs/>
                <w:color w:val="auto"/>
                <w:kern w:val="0"/>
                <w:sz w:val="20"/>
                <w:szCs w:val="20"/>
                <w:highlight w:val="none"/>
              </w:rPr>
              <w:t>贷款合计</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11,898,361,756.46</w:t>
            </w:r>
          </w:p>
        </w:tc>
        <w:tc>
          <w:tcPr>
            <w:tcW w:w="348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11,617,129,966.73</w:t>
            </w:r>
          </w:p>
        </w:tc>
      </w:tr>
      <w:tr>
        <w:trPr>
          <w:trHeight w:val="340" w:hRule="atLeast"/>
        </w:trPr>
        <w:tc>
          <w:tcPr>
            <w:tcW w:w="333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信贷资产损失准备</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977,176,632.46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ascii="宋体" w:hAnsi="宋体"/>
                <w:color w:val="auto"/>
                <w:kern w:val="0"/>
                <w:sz w:val="20"/>
                <w:szCs w:val="20"/>
                <w:highlight w:val="none"/>
                <w:lang w:bidi="ar"/>
              </w:rPr>
              <w:t>795,726,900.02</w:t>
            </w:r>
          </w:p>
        </w:tc>
      </w:tr>
      <w:tr>
        <w:tblPrEx>
          <w:tblCellMar>
            <w:top w:w="0" w:type="dxa"/>
            <w:left w:w="108" w:type="dxa"/>
            <w:bottom w:w="0" w:type="dxa"/>
            <w:right w:w="108" w:type="dxa"/>
          </w:tblCellMar>
        </w:tblPrEx>
        <w:trPr>
          <w:trHeight w:val="340" w:hRule="atLeast"/>
        </w:trPr>
        <w:tc>
          <w:tcPr>
            <w:tcW w:w="3331" w:type="dxa"/>
            <w:tcBorders>
              <w:top w:val="nil"/>
              <w:left w:val="single" w:color="auto" w:sz="8" w:space="0"/>
              <w:bottom w:val="single" w:color="auto" w:sz="8" w:space="0"/>
              <w:right w:val="single" w:color="auto" w:sz="8" w:space="0"/>
            </w:tcBorders>
            <w:noWrap w:val="0"/>
            <w:vAlign w:val="bottom"/>
          </w:tcPr>
          <w:p>
            <w:pPr>
              <w:widowControl/>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加：</w:t>
            </w:r>
            <w:r>
              <w:rPr>
                <w:rFonts w:hint="eastAsia" w:ascii="宋体" w:hAnsi="宋体" w:cs="宋体"/>
                <w:color w:val="auto"/>
                <w:kern w:val="0"/>
                <w:sz w:val="20"/>
                <w:szCs w:val="20"/>
                <w:highlight w:val="none"/>
                <w:lang w:bidi="ar"/>
              </w:rPr>
              <w:t>贷款应计利息</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hint="eastAsia" w:ascii="宋体" w:hAnsi="宋体" w:cs="宋体"/>
                <w:color w:val="auto"/>
                <w:kern w:val="0"/>
                <w:sz w:val="20"/>
                <w:szCs w:val="20"/>
                <w:highlight w:val="none"/>
                <w:lang w:bidi="ar"/>
              </w:rPr>
              <w:t xml:space="preserve"> 55,424,522.24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ascii="宋体" w:hAnsi="宋体"/>
                <w:color w:val="auto"/>
                <w:sz w:val="20"/>
                <w:szCs w:val="20"/>
                <w:highlight w:val="none"/>
              </w:rPr>
              <w:t>40,947,736.46</w:t>
            </w:r>
          </w:p>
        </w:tc>
      </w:tr>
      <w:tr>
        <w:trPr>
          <w:trHeight w:val="340" w:hRule="atLeast"/>
        </w:trPr>
        <w:tc>
          <w:tcPr>
            <w:tcW w:w="3331" w:type="dxa"/>
            <w:tcBorders>
              <w:top w:val="nil"/>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净值</w:t>
            </w:r>
          </w:p>
        </w:tc>
        <w:tc>
          <w:tcPr>
            <w:tcW w:w="270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hint="eastAsia" w:ascii="宋体" w:hAnsi="宋体" w:cs="宋体"/>
                <w:b/>
                <w:bCs/>
                <w:color w:val="auto"/>
                <w:kern w:val="0"/>
                <w:sz w:val="20"/>
                <w:szCs w:val="20"/>
                <w:highlight w:val="none"/>
                <w:lang w:bidi="ar"/>
              </w:rPr>
              <w:t xml:space="preserve"> 10,976,609,646.24  </w:t>
            </w:r>
          </w:p>
        </w:tc>
        <w:tc>
          <w:tcPr>
            <w:tcW w:w="348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ascii="宋体" w:hAnsi="宋体"/>
                <w:b/>
                <w:bCs/>
                <w:color w:val="auto"/>
                <w:sz w:val="20"/>
                <w:szCs w:val="20"/>
                <w:highlight w:val="none"/>
              </w:rPr>
              <w:t>10,862,350,803.17</w:t>
            </w:r>
          </w:p>
        </w:tc>
      </w:tr>
    </w:tbl>
    <w:p>
      <w:pPr>
        <w:spacing w:line="520" w:lineRule="exact"/>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7.3.2</w:t>
      </w:r>
      <w:r>
        <w:rPr>
          <w:rFonts w:ascii="Arial Narrow Regular" w:hAnsi="Arial Narrow Regular" w:cs="Arial Narrow Regular"/>
          <w:color w:val="auto"/>
          <w:sz w:val="24"/>
          <w:highlight w:val="none"/>
        </w:rPr>
        <w:t>按行业分布情况</w:t>
      </w:r>
    </w:p>
    <w:tbl>
      <w:tblPr>
        <w:tblStyle w:val="12"/>
        <w:tblW w:w="5582" w:type="pct"/>
        <w:tblInd w:w="119" w:type="dxa"/>
        <w:tblLayout w:type="autofit"/>
        <w:tblCellMar>
          <w:top w:w="0" w:type="dxa"/>
          <w:left w:w="108" w:type="dxa"/>
          <w:bottom w:w="0" w:type="dxa"/>
          <w:right w:w="108" w:type="dxa"/>
        </w:tblCellMar>
      </w:tblPr>
      <w:tblGrid>
        <w:gridCol w:w="3343"/>
        <w:gridCol w:w="2720"/>
        <w:gridCol w:w="3451"/>
      </w:tblGrid>
      <w:tr>
        <w:tblPrEx>
          <w:tblCellMar>
            <w:top w:w="0" w:type="dxa"/>
            <w:left w:w="108" w:type="dxa"/>
            <w:bottom w:w="0" w:type="dxa"/>
            <w:right w:w="108" w:type="dxa"/>
          </w:tblCellMar>
        </w:tblPrEx>
        <w:trPr>
          <w:trHeight w:val="340" w:hRule="atLeast"/>
          <w:tblHeader/>
        </w:trPr>
        <w:tc>
          <w:tcPr>
            <w:tcW w:w="1756" w:type="pct"/>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行业分布</w:t>
            </w:r>
          </w:p>
        </w:tc>
        <w:tc>
          <w:tcPr>
            <w:tcW w:w="1429" w:type="pct"/>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rPr>
              <w:t>年末</w:t>
            </w:r>
            <w:r>
              <w:rPr>
                <w:rFonts w:ascii="宋体" w:hAnsi="宋体" w:cs="宋体"/>
                <w:b/>
                <w:bCs/>
                <w:color w:val="auto"/>
                <w:kern w:val="0"/>
                <w:sz w:val="20"/>
                <w:szCs w:val="20"/>
                <w:highlight w:val="none"/>
              </w:rPr>
              <w:t>余额</w:t>
            </w:r>
            <w:r>
              <w:rPr>
                <w:rFonts w:hint="eastAsia" w:ascii="宋体" w:hAnsi="宋体" w:cs="宋体"/>
                <w:b/>
                <w:bCs/>
                <w:color w:val="auto"/>
                <w:kern w:val="0"/>
                <w:sz w:val="20"/>
                <w:szCs w:val="20"/>
                <w:highlight w:val="none"/>
                <w:lang w:val="en-US" w:eastAsia="zh-CN"/>
              </w:rPr>
              <w:t>(万元）</w:t>
            </w:r>
          </w:p>
        </w:tc>
        <w:tc>
          <w:tcPr>
            <w:tcW w:w="1813" w:type="pct"/>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比例</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农、林、牧、渔业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105,500.57</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9.08%</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采矿业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4,324.41</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0.37%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制造业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62,944.22</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5.42%</w:t>
            </w:r>
          </w:p>
        </w:tc>
      </w:tr>
      <w:tr>
        <w:tblPrEx>
          <w:tblCellMar>
            <w:top w:w="0" w:type="dxa"/>
            <w:left w:w="108" w:type="dxa"/>
            <w:bottom w:w="0" w:type="dxa"/>
            <w:right w:w="108" w:type="dxa"/>
          </w:tblCellMar>
        </w:tblPrEx>
        <w:trPr>
          <w:trHeight w:val="9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电力、热力、燃气及水生产和供应业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default" w:ascii="宋体" w:hAnsi="宋体"/>
                <w:color w:val="auto"/>
                <w:kern w:val="0"/>
                <w:sz w:val="20"/>
                <w:szCs w:val="20"/>
                <w:highlight w:val="none"/>
                <w:lang w:val="en-US" w:bidi="ar"/>
              </w:rPr>
            </w:pPr>
            <w:r>
              <w:rPr>
                <w:rFonts w:hint="eastAsia" w:ascii="宋体" w:hAnsi="宋体" w:eastAsia="宋体" w:cs="宋体"/>
                <w:i w:val="0"/>
                <w:iCs w:val="0"/>
                <w:color w:val="auto"/>
                <w:kern w:val="0"/>
                <w:sz w:val="20"/>
                <w:szCs w:val="20"/>
                <w:highlight w:val="none"/>
                <w:u w:val="none"/>
                <w:lang w:val="en-US" w:eastAsia="zh-CN" w:bidi="ar"/>
              </w:rPr>
              <w:t>175.70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0.02%</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建筑业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119,330.28</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10.27%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批发和零售业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429,452.10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36.97%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交通运输、仓储和邮政业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24,693.52</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2.13%</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住宿和餐饮业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42,912.07</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3.69%</w:t>
            </w:r>
          </w:p>
        </w:tc>
      </w:tr>
      <w:tr>
        <w:tblPrEx>
          <w:tblCellMar>
            <w:top w:w="0" w:type="dxa"/>
            <w:left w:w="108" w:type="dxa"/>
            <w:bottom w:w="0" w:type="dxa"/>
            <w:right w:w="108" w:type="dxa"/>
          </w:tblCellMar>
        </w:tblPrEx>
        <w:trPr>
          <w:trHeight w:val="9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信息传输、软件和信息技术服务业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2,616.73</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0.23%</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电信、广播电视和卫星传输服务</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109.98</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0.01%</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互联网和相关服务</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1,994.40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0.17%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金融业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   </w:t>
            </w:r>
          </w:p>
        </w:tc>
        <w:tc>
          <w:tcPr>
            <w:tcW w:w="1813" w:type="pct"/>
            <w:tcBorders>
              <w:top w:val="nil"/>
              <w:left w:val="nil"/>
              <w:bottom w:val="single" w:color="auto" w:sz="8" w:space="0"/>
              <w:right w:val="single" w:color="auto" w:sz="8" w:space="0"/>
            </w:tcBorders>
            <w:noWrap w:val="0"/>
            <w:vAlign w:val="top"/>
          </w:tcPr>
          <w:p>
            <w:pPr>
              <w:jc w:val="right"/>
              <w:rPr>
                <w:rFonts w:hint="eastAsia" w:ascii="宋体" w:hAnsi="宋体"/>
                <w:color w:val="auto"/>
                <w:kern w:val="0"/>
                <w:sz w:val="20"/>
                <w:szCs w:val="20"/>
                <w:highlight w:val="none"/>
                <w:lang w:bidi="ar"/>
              </w:rPr>
            </w:pP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房地产业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4,926.13</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0.42%</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租赁和商务服务业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57,738.93</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4.97%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科学研究和技术服务业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263.64</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0.02%</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水利、环境和公共设施管理业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16,192.90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1.39%</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居民服务、修理和其他服务业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16,865.58</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1.45%</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教育</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15,885.04</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1.37%</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卫生和社会工作</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7,866.29</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0.68%</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文化、体育和娱乐业</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9,114.29</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0.78%</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公共管理、社会保障和社会组织</w:t>
            </w:r>
          </w:p>
        </w:tc>
        <w:tc>
          <w:tcPr>
            <w:tcW w:w="1429" w:type="pct"/>
            <w:tcBorders>
              <w:top w:val="nil"/>
              <w:left w:val="nil"/>
              <w:bottom w:val="single" w:color="auto" w:sz="8" w:space="0"/>
              <w:right w:val="single" w:color="auto" w:sz="8" w:space="0"/>
            </w:tcBorders>
            <w:noWrap w:val="0"/>
            <w:vAlign w:val="center"/>
          </w:tcPr>
          <w:p>
            <w:pPr>
              <w:jc w:val="center"/>
              <w:rPr>
                <w:rFonts w:hint="eastAsia" w:ascii="宋体" w:hAnsi="宋体"/>
                <w:color w:val="auto"/>
                <w:kern w:val="0"/>
                <w:sz w:val="20"/>
                <w:szCs w:val="20"/>
                <w:highlight w:val="none"/>
                <w:lang w:bidi="ar"/>
              </w:rPr>
            </w:pP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公共管理、社会保障和社会组织</w:t>
            </w:r>
          </w:p>
        </w:tc>
        <w:tc>
          <w:tcPr>
            <w:tcW w:w="1429" w:type="pct"/>
            <w:tcBorders>
              <w:top w:val="nil"/>
              <w:left w:val="nil"/>
              <w:bottom w:val="single" w:color="auto" w:sz="8" w:space="0"/>
              <w:right w:val="single" w:color="auto" w:sz="8" w:space="0"/>
            </w:tcBorders>
            <w:noWrap w:val="0"/>
            <w:vAlign w:val="center"/>
          </w:tcPr>
          <w:p>
            <w:pPr>
              <w:jc w:val="center"/>
              <w:rPr>
                <w:rFonts w:hint="eastAsia" w:ascii="宋体" w:hAnsi="宋体"/>
                <w:color w:val="auto"/>
                <w:kern w:val="0"/>
                <w:sz w:val="20"/>
                <w:szCs w:val="20"/>
                <w:highlight w:val="none"/>
                <w:lang w:bidi="ar"/>
              </w:rPr>
            </w:pP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hint="eastAsia" w:ascii="宋体" w:hAnsi="宋体"/>
                <w:color w:val="auto"/>
                <w:kern w:val="0"/>
                <w:sz w:val="20"/>
                <w:szCs w:val="20"/>
                <w:highlight w:val="none"/>
                <w:lang w:bidi="ar"/>
              </w:rPr>
            </w:pP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个人贷款(不含个人经营性贷款)</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240,910.60</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20.74%</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信用卡</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104.54</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0.01%</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汽车</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3,343.86</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0.29%</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ind w:firstLine="200" w:firstLineChars="10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住房按揭贷款</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118,254.02</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10.18%</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其他</w:t>
            </w:r>
          </w:p>
        </w:tc>
        <w:tc>
          <w:tcPr>
            <w:tcW w:w="1429"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119,208.18</w:t>
            </w:r>
          </w:p>
        </w:tc>
        <w:tc>
          <w:tcPr>
            <w:tcW w:w="1813" w:type="pct"/>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top"/>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10.26%</w:t>
            </w:r>
          </w:p>
        </w:tc>
      </w:tr>
      <w:tr>
        <w:tblPrEx>
          <w:tblCellMar>
            <w:top w:w="0" w:type="dxa"/>
            <w:left w:w="108" w:type="dxa"/>
            <w:bottom w:w="0" w:type="dxa"/>
            <w:right w:w="108" w:type="dxa"/>
          </w:tblCellMar>
        </w:tblPrEx>
        <w:trPr>
          <w:trHeight w:val="340" w:hRule="atLeast"/>
        </w:trPr>
        <w:tc>
          <w:tcPr>
            <w:tcW w:w="1756" w:type="pct"/>
            <w:tcBorders>
              <w:top w:val="nil"/>
              <w:left w:val="single" w:color="auto" w:sz="8" w:space="0"/>
              <w:bottom w:val="single" w:color="auto" w:sz="8" w:space="0"/>
              <w:right w:val="single" w:color="auto" w:sz="8" w:space="0"/>
            </w:tcBorders>
            <w:noWrap w:val="0"/>
            <w:vAlign w:val="center"/>
          </w:tcPr>
          <w:p>
            <w:pPr>
              <w:keepNext w:val="0"/>
              <w:keepLines w:val="0"/>
              <w:widowControl/>
              <w:suppressLineNumbers w:val="0"/>
              <w:jc w:val="left"/>
              <w:textAlignment w:val="center"/>
              <w:rPr>
                <w:rFonts w:hint="eastAsia" w:ascii="宋体" w:hAnsi="宋体" w:cs="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买断式转贴现</w:t>
            </w:r>
          </w:p>
        </w:tc>
        <w:tc>
          <w:tcPr>
            <w:tcW w:w="1429" w:type="pct"/>
            <w:tcBorders>
              <w:top w:val="nil"/>
              <w:left w:val="nil"/>
              <w:bottom w:val="single" w:color="auto" w:sz="8" w:space="0"/>
              <w:right w:val="single" w:color="auto" w:sz="8" w:space="0"/>
            </w:tcBorders>
            <w:noWrap w:val="0"/>
            <w:vAlign w:val="center"/>
          </w:tcPr>
          <w:p>
            <w:pPr>
              <w:jc w:val="center"/>
              <w:rPr>
                <w:rFonts w:hint="default" w:ascii="宋体" w:hAnsi="宋体" w:eastAsia="宋体" w:cs="宋体"/>
                <w:i w:val="0"/>
                <w:iCs w:val="0"/>
                <w:color w:val="auto"/>
                <w:kern w:val="0"/>
                <w:sz w:val="20"/>
                <w:szCs w:val="20"/>
                <w:highlight w:val="none"/>
                <w:u w:val="none"/>
                <w:lang w:val="en-US" w:eastAsia="zh-CN" w:bidi="ar"/>
              </w:rPr>
            </w:pPr>
          </w:p>
        </w:tc>
        <w:tc>
          <w:tcPr>
            <w:tcW w:w="1813" w:type="pct"/>
            <w:tcBorders>
              <w:top w:val="nil"/>
              <w:left w:val="nil"/>
              <w:bottom w:val="single" w:color="auto" w:sz="8" w:space="0"/>
              <w:right w:val="single" w:color="auto" w:sz="8" w:space="0"/>
            </w:tcBorders>
            <w:noWrap w:val="0"/>
            <w:vAlign w:val="top"/>
          </w:tcPr>
          <w:p>
            <w:pPr>
              <w:jc w:val="right"/>
              <w:rPr>
                <w:rFonts w:ascii="宋体" w:hAnsi="宋体"/>
                <w:color w:val="auto"/>
                <w:kern w:val="0"/>
                <w:sz w:val="20"/>
                <w:szCs w:val="20"/>
                <w:highlight w:val="none"/>
                <w:lang w:bidi="ar"/>
              </w:rPr>
            </w:pPr>
          </w:p>
        </w:tc>
      </w:tr>
      <w:tr>
        <w:tblPrEx>
          <w:tblCellMar>
            <w:top w:w="0" w:type="dxa"/>
            <w:left w:w="108" w:type="dxa"/>
            <w:bottom w:w="0" w:type="dxa"/>
            <w:right w:w="108" w:type="dxa"/>
          </w:tblCellMar>
        </w:tblPrEx>
        <w:trPr>
          <w:trHeight w:val="90" w:hRule="atLeast"/>
        </w:trPr>
        <w:tc>
          <w:tcPr>
            <w:tcW w:w="1756" w:type="pct"/>
            <w:tcBorders>
              <w:top w:val="nil"/>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贷款合计</w:t>
            </w:r>
          </w:p>
        </w:tc>
        <w:tc>
          <w:tcPr>
            <w:tcW w:w="1429" w:type="pct"/>
            <w:tcBorders>
              <w:top w:val="nil"/>
              <w:left w:val="nil"/>
              <w:bottom w:val="single" w:color="auto" w:sz="8" w:space="0"/>
              <w:right w:val="single" w:color="auto" w:sz="8" w:space="0"/>
            </w:tcBorders>
            <w:noWrap w:val="0"/>
            <w:vAlign w:val="center"/>
          </w:tcPr>
          <w:p>
            <w:pPr>
              <w:widowControl/>
              <w:jc w:val="center"/>
              <w:textAlignment w:val="center"/>
              <w:rPr>
                <w:rFonts w:hint="eastAsia" w:ascii="宋体" w:hAnsi="宋体"/>
                <w:b/>
                <w:color w:val="auto"/>
                <w:kern w:val="0"/>
                <w:sz w:val="20"/>
                <w:szCs w:val="20"/>
                <w:highlight w:val="none"/>
                <w:lang w:bidi="ar"/>
              </w:rPr>
            </w:pPr>
            <w:r>
              <w:rPr>
                <w:rFonts w:hint="eastAsia" w:ascii="宋体" w:hAnsi="宋体"/>
                <w:b/>
                <w:color w:val="auto"/>
                <w:kern w:val="0"/>
                <w:sz w:val="20"/>
                <w:szCs w:val="20"/>
                <w:highlight w:val="none"/>
                <w:lang w:bidi="ar"/>
              </w:rPr>
              <w:t xml:space="preserve">1,161,713.00 </w:t>
            </w:r>
          </w:p>
        </w:tc>
        <w:tc>
          <w:tcPr>
            <w:tcW w:w="1813" w:type="pct"/>
            <w:tcBorders>
              <w:top w:val="nil"/>
              <w:left w:val="nil"/>
              <w:bottom w:val="single" w:color="auto" w:sz="8" w:space="0"/>
              <w:right w:val="single" w:color="auto" w:sz="8" w:space="0"/>
            </w:tcBorders>
            <w:noWrap w:val="0"/>
            <w:vAlign w:val="center"/>
          </w:tcPr>
          <w:p>
            <w:pPr>
              <w:jc w:val="right"/>
              <w:rPr>
                <w:rFonts w:hint="eastAsia" w:ascii="宋体" w:hAnsi="宋体"/>
                <w:b/>
                <w:color w:val="auto"/>
                <w:kern w:val="0"/>
                <w:sz w:val="20"/>
                <w:szCs w:val="20"/>
                <w:highlight w:val="none"/>
                <w:lang w:bidi="ar"/>
              </w:rPr>
            </w:pPr>
          </w:p>
        </w:tc>
      </w:tr>
    </w:tbl>
    <w:p>
      <w:pPr>
        <w:spacing w:line="520" w:lineRule="exact"/>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7.3.3</w:t>
      </w:r>
      <w:r>
        <w:rPr>
          <w:rFonts w:ascii="Arial Narrow Regular" w:hAnsi="Arial Narrow Regular" w:cs="Arial Narrow Regular"/>
          <w:color w:val="auto"/>
          <w:sz w:val="24"/>
          <w:highlight w:val="none"/>
        </w:rPr>
        <w:t>按担保方式</w:t>
      </w:r>
      <w:r>
        <w:rPr>
          <w:rFonts w:hint="eastAsia" w:ascii="Arial Narrow Regular" w:hAnsi="Arial Narrow Regular" w:cs="Arial Narrow Regular"/>
          <w:color w:val="auto"/>
          <w:sz w:val="24"/>
          <w:highlight w:val="none"/>
        </w:rPr>
        <w:t>分类</w:t>
      </w:r>
    </w:p>
    <w:tbl>
      <w:tblPr>
        <w:tblStyle w:val="12"/>
        <w:tblW w:w="9501" w:type="dxa"/>
        <w:tblInd w:w="125" w:type="dxa"/>
        <w:tblLayout w:type="fixed"/>
        <w:tblCellMar>
          <w:top w:w="0" w:type="dxa"/>
          <w:left w:w="108" w:type="dxa"/>
          <w:bottom w:w="0" w:type="dxa"/>
          <w:right w:w="108" w:type="dxa"/>
        </w:tblCellMar>
      </w:tblPr>
      <w:tblGrid>
        <w:gridCol w:w="3311"/>
        <w:gridCol w:w="2727"/>
        <w:gridCol w:w="3463"/>
      </w:tblGrid>
      <w:tr>
        <w:tblPrEx>
          <w:tblCellMar>
            <w:top w:w="0" w:type="dxa"/>
            <w:left w:w="108" w:type="dxa"/>
            <w:bottom w:w="0" w:type="dxa"/>
            <w:right w:w="108" w:type="dxa"/>
          </w:tblCellMar>
        </w:tblPrEx>
        <w:trPr>
          <w:trHeight w:val="340" w:hRule="atLeast"/>
          <w:tblHeader/>
        </w:trPr>
        <w:tc>
          <w:tcPr>
            <w:tcW w:w="3311" w:type="dxa"/>
            <w:tcBorders>
              <w:top w:val="single" w:color="auto" w:sz="8" w:space="0"/>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bidi="ar"/>
              </w:rPr>
              <w:t>项  目</w:t>
            </w:r>
          </w:p>
        </w:tc>
        <w:tc>
          <w:tcPr>
            <w:tcW w:w="2727" w:type="dxa"/>
            <w:tcBorders>
              <w:top w:val="single" w:color="auto" w:sz="8" w:space="0"/>
              <w:left w:val="nil"/>
              <w:bottom w:val="single" w:color="auto" w:sz="8" w:space="0"/>
              <w:right w:val="single" w:color="auto" w:sz="8" w:space="0"/>
            </w:tcBorders>
            <w:noWrap w:val="0"/>
            <w:vAlign w:val="bottom"/>
          </w:tcPr>
          <w:p>
            <w:pPr>
              <w:widowControl/>
              <w:jc w:val="center"/>
              <w:textAlignment w:val="bottom"/>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bidi="ar"/>
              </w:rPr>
              <w:t>年初余额</w:t>
            </w:r>
          </w:p>
        </w:tc>
        <w:tc>
          <w:tcPr>
            <w:tcW w:w="3463" w:type="dxa"/>
            <w:tcBorders>
              <w:top w:val="single" w:color="auto" w:sz="8" w:space="0"/>
              <w:left w:val="nil"/>
              <w:bottom w:val="single" w:color="auto" w:sz="8" w:space="0"/>
              <w:right w:val="single" w:color="auto" w:sz="8" w:space="0"/>
            </w:tcBorders>
            <w:noWrap w:val="0"/>
            <w:vAlign w:val="bottom"/>
          </w:tcPr>
          <w:p>
            <w:pPr>
              <w:widowControl/>
              <w:jc w:val="center"/>
              <w:textAlignment w:val="bottom"/>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bidi="ar"/>
              </w:rPr>
              <w:t>年末余额</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信用贷款</w:t>
            </w:r>
          </w:p>
        </w:tc>
        <w:tc>
          <w:tcPr>
            <w:tcW w:w="2727" w:type="dxa"/>
            <w:tcBorders>
              <w:top w:val="nil"/>
              <w:left w:val="nil"/>
              <w:bottom w:val="single" w:color="auto" w:sz="8" w:space="0"/>
              <w:right w:val="single" w:color="auto" w:sz="8" w:space="0"/>
            </w:tcBorders>
            <w:noWrap w:val="0"/>
            <w:vAlign w:val="top"/>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6,442,904,539.68</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6,710,226,591.27 </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保证贷款</w:t>
            </w:r>
          </w:p>
        </w:tc>
        <w:tc>
          <w:tcPr>
            <w:tcW w:w="2727" w:type="dxa"/>
            <w:tcBorders>
              <w:top w:val="nil"/>
              <w:left w:val="nil"/>
              <w:bottom w:val="single" w:color="auto" w:sz="8" w:space="0"/>
              <w:right w:val="single" w:color="auto" w:sz="8" w:space="0"/>
            </w:tcBorders>
            <w:noWrap w:val="0"/>
            <w:vAlign w:val="top"/>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1,795,028,686.37</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1,743,198,997.61 </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抵押贷款</w:t>
            </w:r>
          </w:p>
        </w:tc>
        <w:tc>
          <w:tcPr>
            <w:tcW w:w="2727" w:type="dxa"/>
            <w:tcBorders>
              <w:top w:val="nil"/>
              <w:left w:val="nil"/>
              <w:bottom w:val="single" w:color="auto" w:sz="8" w:space="0"/>
              <w:right w:val="single" w:color="auto" w:sz="8" w:space="0"/>
            </w:tcBorders>
            <w:noWrap w:val="0"/>
            <w:vAlign w:val="top"/>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3,103,705,534.90</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2,638,241,823.67 </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质押贷款</w:t>
            </w:r>
          </w:p>
        </w:tc>
        <w:tc>
          <w:tcPr>
            <w:tcW w:w="2727" w:type="dxa"/>
            <w:tcBorders>
              <w:top w:val="nil"/>
              <w:left w:val="nil"/>
              <w:bottom w:val="single" w:color="auto" w:sz="8" w:space="0"/>
              <w:right w:val="single" w:color="auto" w:sz="8" w:space="0"/>
            </w:tcBorders>
            <w:noWrap w:val="0"/>
            <w:vAlign w:val="top"/>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497,652,880.23</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471,009,753.48 </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center"/>
          </w:tcPr>
          <w:p>
            <w:pPr>
              <w:widowControl/>
              <w:textAlignment w:val="center"/>
              <w:rPr>
                <w:rFonts w:ascii="宋体" w:hAnsi="宋体"/>
                <w:color w:val="auto"/>
                <w:sz w:val="20"/>
                <w:szCs w:val="20"/>
                <w:highlight w:val="none"/>
              </w:rPr>
            </w:pPr>
            <w:r>
              <w:rPr>
                <w:rFonts w:hint="eastAsia" w:ascii="宋体" w:hAnsi="宋体" w:cs="宋体"/>
                <w:color w:val="auto"/>
                <w:kern w:val="0"/>
                <w:szCs w:val="21"/>
                <w:highlight w:val="none"/>
                <w:lang w:bidi="ar"/>
              </w:rPr>
              <w:t>贴现资产</w:t>
            </w:r>
          </w:p>
        </w:tc>
        <w:tc>
          <w:tcPr>
            <w:tcW w:w="2727"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59,070,115.28</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 54,452,800.70 </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贷款合计</w:t>
            </w:r>
          </w:p>
        </w:tc>
        <w:tc>
          <w:tcPr>
            <w:tcW w:w="272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11,898,361,756.46</w:t>
            </w:r>
          </w:p>
        </w:tc>
        <w:tc>
          <w:tcPr>
            <w:tcW w:w="346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 xml:space="preserve"> 11,617,129,966.73</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贷款损失准备</w:t>
            </w:r>
          </w:p>
        </w:tc>
        <w:tc>
          <w:tcPr>
            <w:tcW w:w="272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977,176,632.46  </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795,726,900.02 </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加：</w:t>
            </w:r>
            <w:r>
              <w:rPr>
                <w:rFonts w:hint="eastAsia" w:ascii="宋体" w:hAnsi="宋体" w:cs="宋体"/>
                <w:color w:val="auto"/>
                <w:kern w:val="0"/>
                <w:sz w:val="20"/>
                <w:szCs w:val="20"/>
                <w:highlight w:val="none"/>
                <w:lang w:bidi="ar"/>
              </w:rPr>
              <w:t>贷款应计利息</w:t>
            </w:r>
          </w:p>
        </w:tc>
        <w:tc>
          <w:tcPr>
            <w:tcW w:w="272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hint="eastAsia" w:ascii="宋体" w:hAnsi="宋体" w:eastAsia="宋体" w:cs="宋体"/>
                <w:color w:val="auto"/>
                <w:kern w:val="0"/>
                <w:sz w:val="20"/>
                <w:szCs w:val="20"/>
                <w:highlight w:val="none"/>
                <w:lang w:bidi="ar"/>
              </w:rPr>
              <w:t xml:space="preserve"> 55,424,522.24 </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ascii="宋体" w:hAnsi="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 xml:space="preserve"> 40,947,736.46 </w:t>
            </w:r>
          </w:p>
        </w:tc>
      </w:tr>
      <w:tr>
        <w:tblPrEx>
          <w:tblCellMar>
            <w:top w:w="0" w:type="dxa"/>
            <w:left w:w="108" w:type="dxa"/>
            <w:bottom w:w="0" w:type="dxa"/>
            <w:right w:w="108" w:type="dxa"/>
          </w:tblCellMar>
        </w:tblPrEx>
        <w:trPr>
          <w:trHeight w:val="340" w:hRule="atLeast"/>
        </w:trPr>
        <w:tc>
          <w:tcPr>
            <w:tcW w:w="3311" w:type="dxa"/>
            <w:tcBorders>
              <w:top w:val="nil"/>
              <w:left w:val="single" w:color="auto" w:sz="8" w:space="0"/>
              <w:bottom w:val="single" w:color="auto" w:sz="8" w:space="0"/>
              <w:right w:val="single" w:color="auto" w:sz="8" w:space="0"/>
            </w:tcBorders>
            <w:noWrap w:val="0"/>
            <w:vAlign w:val="bottom"/>
          </w:tcPr>
          <w:p>
            <w:pPr>
              <w:widowControl/>
              <w:jc w:val="center"/>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净值</w:t>
            </w:r>
          </w:p>
        </w:tc>
        <w:tc>
          <w:tcPr>
            <w:tcW w:w="272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 xml:space="preserve">10,976,609,646.24  </w:t>
            </w:r>
          </w:p>
        </w:tc>
        <w:tc>
          <w:tcPr>
            <w:tcW w:w="3463"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b/>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w:t>
            </w:r>
            <w:r>
              <w:rPr>
                <w:rFonts w:hint="eastAsia" w:ascii="宋体" w:hAnsi="宋体" w:eastAsia="宋体" w:cs="宋体"/>
                <w:b/>
                <w:color w:val="auto"/>
                <w:kern w:val="0"/>
                <w:sz w:val="20"/>
                <w:szCs w:val="20"/>
                <w:highlight w:val="none"/>
                <w:lang w:val="en-US" w:eastAsia="zh-CN" w:bidi="ar"/>
              </w:rPr>
              <w:t xml:space="preserve">10,862,350,803.17 </w:t>
            </w:r>
          </w:p>
        </w:tc>
      </w:tr>
    </w:tbl>
    <w:p>
      <w:pPr>
        <w:spacing w:line="520" w:lineRule="exact"/>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7.3.4贷款五级分类</w:t>
      </w:r>
    </w:p>
    <w:tbl>
      <w:tblPr>
        <w:tblStyle w:val="12"/>
        <w:tblW w:w="9457" w:type="dxa"/>
        <w:tblInd w:w="159" w:type="dxa"/>
        <w:tblLayout w:type="fixed"/>
        <w:tblCellMar>
          <w:top w:w="0" w:type="dxa"/>
          <w:left w:w="108" w:type="dxa"/>
          <w:bottom w:w="0" w:type="dxa"/>
          <w:right w:w="108" w:type="dxa"/>
        </w:tblCellMar>
      </w:tblPr>
      <w:tblGrid>
        <w:gridCol w:w="2445"/>
        <w:gridCol w:w="2235"/>
        <w:gridCol w:w="1204"/>
        <w:gridCol w:w="2087"/>
        <w:gridCol w:w="1486"/>
      </w:tblGrid>
      <w:tr>
        <w:tblPrEx>
          <w:tblCellMar>
            <w:top w:w="0" w:type="dxa"/>
            <w:left w:w="108" w:type="dxa"/>
            <w:bottom w:w="0" w:type="dxa"/>
            <w:right w:w="108" w:type="dxa"/>
          </w:tblCellMar>
        </w:tblPrEx>
        <w:trPr>
          <w:trHeight w:val="340" w:hRule="atLeast"/>
          <w:tblHeader/>
        </w:trPr>
        <w:tc>
          <w:tcPr>
            <w:tcW w:w="2445"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五级分类</w:t>
            </w:r>
          </w:p>
        </w:tc>
        <w:tc>
          <w:tcPr>
            <w:tcW w:w="2235"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1204"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比例</w:t>
            </w:r>
          </w:p>
        </w:tc>
        <w:tc>
          <w:tcPr>
            <w:tcW w:w="208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年</w:t>
            </w:r>
            <w:r>
              <w:rPr>
                <w:rFonts w:hint="eastAsia" w:ascii="宋体" w:hAnsi="宋体" w:cs="宋体"/>
                <w:b/>
                <w:bCs/>
                <w:color w:val="auto"/>
                <w:kern w:val="0"/>
                <w:sz w:val="20"/>
                <w:szCs w:val="20"/>
                <w:highlight w:val="none"/>
              </w:rPr>
              <w:t>末</w:t>
            </w:r>
            <w:r>
              <w:rPr>
                <w:rFonts w:ascii="宋体" w:hAnsi="宋体" w:cs="宋体"/>
                <w:b/>
                <w:bCs/>
                <w:color w:val="auto"/>
                <w:kern w:val="0"/>
                <w:sz w:val="20"/>
                <w:szCs w:val="20"/>
                <w:highlight w:val="none"/>
              </w:rPr>
              <w:t>余额</w:t>
            </w:r>
          </w:p>
        </w:tc>
        <w:tc>
          <w:tcPr>
            <w:tcW w:w="1486"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比例</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正常</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10,811,019,921.61</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90.86%</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10,658,144,970.63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91.75%</w:t>
            </w:r>
          </w:p>
        </w:tc>
      </w:tr>
      <w:tr>
        <w:tblPrEx>
          <w:tblCellMar>
            <w:top w:w="0" w:type="dxa"/>
            <w:left w:w="108" w:type="dxa"/>
            <w:bottom w:w="0" w:type="dxa"/>
            <w:right w:w="108" w:type="dxa"/>
          </w:tblCellMar>
        </w:tblPrEx>
        <w:trPr>
          <w:trHeight w:val="9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关注</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596,883,371.47</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5.02%</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 481,976,640.27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4.15%</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次级</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269,576,801.90</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2.27%</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 317,677,567.62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2.73%</w:t>
            </w:r>
          </w:p>
        </w:tc>
      </w:tr>
      <w:tr>
        <w:tblPrEx>
          <w:tblCellMar>
            <w:top w:w="0" w:type="dxa"/>
            <w:left w:w="108" w:type="dxa"/>
            <w:bottom w:w="0" w:type="dxa"/>
            <w:right w:w="108" w:type="dxa"/>
          </w:tblCellMar>
        </w:tblPrEx>
        <w:trPr>
          <w:trHeight w:val="355"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可疑</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219,660,142.39</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1.85%</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 156,224,647.82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1.34%</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损失</w:t>
            </w:r>
          </w:p>
        </w:tc>
        <w:tc>
          <w:tcPr>
            <w:tcW w:w="2235"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161,402.89</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0.00%</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 xml:space="preserve"> 2,060,786.80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0.02%</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rPr>
                <w:rFonts w:ascii="宋体" w:hAnsi="宋体"/>
                <w:color w:val="auto"/>
                <w:sz w:val="20"/>
                <w:szCs w:val="20"/>
                <w:highlight w:val="none"/>
              </w:rPr>
            </w:pPr>
            <w:r>
              <w:rPr>
                <w:rFonts w:hint="eastAsia" w:ascii="宋体" w:hAnsi="宋体"/>
                <w:color w:val="auto"/>
                <w:sz w:val="20"/>
                <w:szCs w:val="20"/>
                <w:highlight w:val="none"/>
              </w:rPr>
              <w:t>信用卡透支</w:t>
            </w:r>
          </w:p>
        </w:tc>
        <w:tc>
          <w:tcPr>
            <w:tcW w:w="2235"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kern w:val="0"/>
                <w:sz w:val="20"/>
                <w:szCs w:val="20"/>
                <w:highlight w:val="none"/>
                <w:lang w:bidi="ar"/>
              </w:rPr>
            </w:pPr>
            <w:r>
              <w:rPr>
                <w:rFonts w:hint="eastAsia" w:ascii="宋体" w:hAnsi="宋体" w:cs="宋体"/>
                <w:color w:val="auto"/>
                <w:kern w:val="0"/>
                <w:sz w:val="20"/>
                <w:szCs w:val="20"/>
                <w:highlight w:val="none"/>
                <w:lang w:bidi="ar"/>
              </w:rPr>
              <w:t>1,060,116.20</w:t>
            </w:r>
          </w:p>
        </w:tc>
        <w:tc>
          <w:tcPr>
            <w:tcW w:w="1204" w:type="dxa"/>
            <w:tcBorders>
              <w:top w:val="nil"/>
              <w:left w:val="nil"/>
              <w:bottom w:val="single" w:color="auto" w:sz="8" w:space="0"/>
              <w:right w:val="single" w:color="auto" w:sz="8" w:space="0"/>
            </w:tcBorders>
            <w:noWrap w:val="0"/>
            <w:vAlign w:val="center"/>
          </w:tcPr>
          <w:p>
            <w:pPr>
              <w:widowControl/>
              <w:jc w:val="right"/>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0.01%</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1,045,353.59 </w:t>
            </w:r>
          </w:p>
        </w:tc>
        <w:tc>
          <w:tcPr>
            <w:tcW w:w="1486"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ascii="宋体" w:hAnsi="宋体"/>
                <w:color w:val="auto"/>
                <w:kern w:val="0"/>
                <w:sz w:val="20"/>
                <w:szCs w:val="20"/>
                <w:highlight w:val="none"/>
                <w:lang w:bidi="ar"/>
              </w:rPr>
            </w:pPr>
            <w:r>
              <w:rPr>
                <w:rFonts w:hint="eastAsia" w:ascii="宋体" w:hAnsi="宋体" w:eastAsia="宋体" w:cs="宋体"/>
                <w:i w:val="0"/>
                <w:iCs w:val="0"/>
                <w:color w:val="auto"/>
                <w:kern w:val="0"/>
                <w:sz w:val="22"/>
                <w:szCs w:val="22"/>
                <w:highlight w:val="none"/>
                <w:u w:val="none"/>
                <w:lang w:val="en-US" w:eastAsia="zh-CN" w:bidi="ar"/>
              </w:rPr>
              <w:t>0.01%</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jc w:val="center"/>
              <w:rPr>
                <w:rFonts w:ascii="宋体" w:hAnsi="宋体"/>
                <w:b/>
                <w:color w:val="auto"/>
                <w:sz w:val="20"/>
                <w:szCs w:val="20"/>
                <w:highlight w:val="none"/>
              </w:rPr>
            </w:pPr>
            <w:r>
              <w:rPr>
                <w:rFonts w:hint="eastAsia" w:ascii="宋体" w:hAnsi="宋体"/>
                <w:b/>
                <w:color w:val="auto"/>
                <w:sz w:val="20"/>
                <w:szCs w:val="20"/>
                <w:highlight w:val="none"/>
              </w:rPr>
              <w:t>贷款合计</w:t>
            </w:r>
          </w:p>
        </w:tc>
        <w:tc>
          <w:tcPr>
            <w:tcW w:w="2235"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11,898,361,756.46</w:t>
            </w:r>
          </w:p>
        </w:tc>
        <w:tc>
          <w:tcPr>
            <w:tcW w:w="1204"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100.00%</w:t>
            </w:r>
          </w:p>
        </w:tc>
        <w:tc>
          <w:tcPr>
            <w:tcW w:w="208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 xml:space="preserve">11,617,129,966.73 </w:t>
            </w:r>
          </w:p>
        </w:tc>
        <w:tc>
          <w:tcPr>
            <w:tcW w:w="148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100.00%</w:t>
            </w: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贷款损失准备</w:t>
            </w:r>
          </w:p>
        </w:tc>
        <w:tc>
          <w:tcPr>
            <w:tcW w:w="2235" w:type="dxa"/>
            <w:tcBorders>
              <w:top w:val="nil"/>
              <w:left w:val="nil"/>
              <w:bottom w:val="single" w:color="auto" w:sz="8" w:space="0"/>
              <w:right w:val="single" w:color="auto" w:sz="8" w:space="0"/>
            </w:tcBorders>
            <w:noWrap w:val="0"/>
            <w:vAlign w:val="center"/>
          </w:tcPr>
          <w:p>
            <w:pPr>
              <w:widowControl/>
              <w:spacing w:beforeLines="0" w:afterLines="0"/>
              <w:jc w:val="right"/>
              <w:textAlignment w:val="center"/>
              <w:rPr>
                <w:rFonts w:ascii="宋体" w:hAnsi="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977,176,632.46  </w:t>
            </w:r>
          </w:p>
        </w:tc>
        <w:tc>
          <w:tcPr>
            <w:tcW w:w="1204" w:type="dxa"/>
            <w:tcBorders>
              <w:top w:val="nil"/>
              <w:left w:val="nil"/>
              <w:bottom w:val="single" w:color="auto" w:sz="8" w:space="0"/>
              <w:right w:val="single" w:color="auto" w:sz="8" w:space="0"/>
            </w:tcBorders>
            <w:noWrap w:val="0"/>
            <w:vAlign w:val="center"/>
          </w:tcPr>
          <w:p>
            <w:pPr>
              <w:jc w:val="right"/>
              <w:rPr>
                <w:rFonts w:ascii="宋体" w:hAnsi="宋体"/>
                <w:color w:val="auto"/>
                <w:kern w:val="0"/>
                <w:sz w:val="20"/>
                <w:szCs w:val="20"/>
                <w:highlight w:val="none"/>
                <w:lang w:bidi="ar"/>
              </w:rPr>
            </w:pPr>
          </w:p>
        </w:tc>
        <w:tc>
          <w:tcPr>
            <w:tcW w:w="2087"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ascii="宋体" w:hAnsi="宋体"/>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795,726,900.02 </w:t>
            </w:r>
          </w:p>
        </w:tc>
        <w:tc>
          <w:tcPr>
            <w:tcW w:w="1486" w:type="dxa"/>
            <w:tcBorders>
              <w:top w:val="nil"/>
              <w:left w:val="nil"/>
              <w:bottom w:val="single" w:color="auto" w:sz="8" w:space="0"/>
              <w:right w:val="single" w:color="auto" w:sz="8" w:space="0"/>
            </w:tcBorders>
            <w:noWrap w:val="0"/>
            <w:vAlign w:val="center"/>
          </w:tcPr>
          <w:p>
            <w:pPr>
              <w:jc w:val="right"/>
              <w:rPr>
                <w:rFonts w:ascii="宋体" w:hAnsi="宋体"/>
                <w:color w:val="auto"/>
                <w:kern w:val="0"/>
                <w:sz w:val="20"/>
                <w:szCs w:val="20"/>
                <w:highlight w:val="none"/>
                <w:lang w:bidi="ar"/>
              </w:rPr>
            </w:pP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widowControl/>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lang w:val="en-US" w:eastAsia="zh-CN" w:bidi="ar"/>
              </w:rPr>
              <w:t>加：</w:t>
            </w:r>
            <w:r>
              <w:rPr>
                <w:rFonts w:hint="eastAsia" w:ascii="宋体" w:hAnsi="宋体" w:cs="宋体"/>
                <w:color w:val="auto"/>
                <w:kern w:val="0"/>
                <w:sz w:val="20"/>
                <w:szCs w:val="20"/>
                <w:highlight w:val="none"/>
                <w:lang w:bidi="ar"/>
              </w:rPr>
              <w:t>贷款应计利息</w:t>
            </w:r>
          </w:p>
        </w:tc>
        <w:tc>
          <w:tcPr>
            <w:tcW w:w="2235" w:type="dxa"/>
            <w:tcBorders>
              <w:top w:val="nil"/>
              <w:left w:val="nil"/>
              <w:bottom w:val="single" w:color="auto" w:sz="8" w:space="0"/>
              <w:right w:val="single" w:color="auto" w:sz="8" w:space="0"/>
            </w:tcBorders>
            <w:noWrap w:val="0"/>
            <w:vAlign w:val="center"/>
          </w:tcPr>
          <w:p>
            <w:pPr>
              <w:widowControl/>
              <w:spacing w:beforeLines="0" w:afterLines="0"/>
              <w:jc w:val="right"/>
              <w:textAlignment w:val="center"/>
              <w:rPr>
                <w:rFonts w:ascii="宋体" w:hAnsi="宋体"/>
                <w:color w:val="auto"/>
                <w:sz w:val="20"/>
                <w:szCs w:val="20"/>
                <w:highlight w:val="none"/>
              </w:rPr>
            </w:pPr>
            <w:r>
              <w:rPr>
                <w:rFonts w:hint="eastAsia" w:ascii="宋体" w:hAnsi="宋体" w:eastAsia="宋体" w:cs="宋体"/>
                <w:color w:val="auto"/>
                <w:kern w:val="0"/>
                <w:sz w:val="20"/>
                <w:szCs w:val="20"/>
                <w:highlight w:val="none"/>
                <w:lang w:bidi="ar"/>
              </w:rPr>
              <w:t xml:space="preserve"> 55,424,522.24 </w:t>
            </w:r>
          </w:p>
        </w:tc>
        <w:tc>
          <w:tcPr>
            <w:tcW w:w="1204" w:type="dxa"/>
            <w:tcBorders>
              <w:top w:val="nil"/>
              <w:left w:val="nil"/>
              <w:bottom w:val="single" w:color="auto" w:sz="8" w:space="0"/>
              <w:right w:val="single" w:color="auto" w:sz="8" w:space="0"/>
            </w:tcBorders>
            <w:noWrap w:val="0"/>
            <w:vAlign w:val="center"/>
          </w:tcPr>
          <w:p>
            <w:pPr>
              <w:jc w:val="center"/>
              <w:rPr>
                <w:rFonts w:hint="eastAsia" w:ascii="宋体" w:hAnsi="宋体"/>
                <w:b/>
                <w:color w:val="auto"/>
                <w:kern w:val="0"/>
                <w:sz w:val="20"/>
                <w:szCs w:val="20"/>
                <w:highlight w:val="none"/>
                <w:lang w:bidi="ar"/>
              </w:rPr>
            </w:pPr>
          </w:p>
        </w:tc>
        <w:tc>
          <w:tcPr>
            <w:tcW w:w="2087"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ascii="宋体" w:hAnsi="宋体"/>
                <w:b/>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40,947,736.46 </w:t>
            </w:r>
          </w:p>
        </w:tc>
        <w:tc>
          <w:tcPr>
            <w:tcW w:w="1486" w:type="dxa"/>
            <w:tcBorders>
              <w:top w:val="nil"/>
              <w:left w:val="nil"/>
              <w:bottom w:val="single" w:color="auto" w:sz="8" w:space="0"/>
              <w:right w:val="single" w:color="auto" w:sz="8" w:space="0"/>
            </w:tcBorders>
            <w:noWrap w:val="0"/>
            <w:vAlign w:val="center"/>
          </w:tcPr>
          <w:p>
            <w:pPr>
              <w:jc w:val="center"/>
              <w:rPr>
                <w:rFonts w:hint="eastAsia" w:ascii="宋体" w:hAnsi="宋体"/>
                <w:b/>
                <w:color w:val="auto"/>
                <w:kern w:val="0"/>
                <w:sz w:val="20"/>
                <w:szCs w:val="20"/>
                <w:highlight w:val="none"/>
                <w:lang w:bidi="ar"/>
              </w:rPr>
            </w:pPr>
          </w:p>
        </w:tc>
      </w:tr>
      <w:tr>
        <w:tblPrEx>
          <w:tblCellMar>
            <w:top w:w="0" w:type="dxa"/>
            <w:left w:w="108" w:type="dxa"/>
            <w:bottom w:w="0" w:type="dxa"/>
            <w:right w:w="108" w:type="dxa"/>
          </w:tblCellMar>
        </w:tblPrEx>
        <w:trPr>
          <w:trHeight w:val="340" w:hRule="atLeast"/>
        </w:trPr>
        <w:tc>
          <w:tcPr>
            <w:tcW w:w="2445" w:type="dxa"/>
            <w:tcBorders>
              <w:top w:val="nil"/>
              <w:left w:val="single" w:color="auto" w:sz="8" w:space="0"/>
              <w:bottom w:val="single" w:color="auto" w:sz="8" w:space="0"/>
              <w:right w:val="single" w:color="auto" w:sz="8" w:space="0"/>
            </w:tcBorders>
            <w:noWrap w:val="0"/>
            <w:vAlign w:val="center"/>
          </w:tcPr>
          <w:p>
            <w:pPr>
              <w:widowControl/>
              <w:ind w:firstLine="1205" w:firstLineChars="600"/>
              <w:jc w:val="both"/>
              <w:textAlignment w:val="bottom"/>
              <w:rPr>
                <w:rFonts w:ascii="宋体" w:hAnsi="宋体"/>
                <w:b/>
                <w:color w:val="auto"/>
                <w:sz w:val="20"/>
                <w:szCs w:val="20"/>
                <w:highlight w:val="none"/>
              </w:rPr>
            </w:pPr>
            <w:r>
              <w:rPr>
                <w:rFonts w:hint="eastAsia" w:ascii="宋体" w:hAnsi="宋体" w:cs="宋体"/>
                <w:b/>
                <w:bCs/>
                <w:color w:val="auto"/>
                <w:kern w:val="0"/>
                <w:sz w:val="20"/>
                <w:szCs w:val="20"/>
                <w:highlight w:val="none"/>
                <w:lang w:bidi="ar"/>
              </w:rPr>
              <w:t>净值</w:t>
            </w:r>
          </w:p>
        </w:tc>
        <w:tc>
          <w:tcPr>
            <w:tcW w:w="2235" w:type="dxa"/>
            <w:tcBorders>
              <w:top w:val="nil"/>
              <w:left w:val="nil"/>
              <w:bottom w:val="single" w:color="auto" w:sz="8" w:space="0"/>
              <w:right w:val="single" w:color="auto" w:sz="8" w:space="0"/>
            </w:tcBorders>
            <w:noWrap w:val="0"/>
            <w:vAlign w:val="center"/>
          </w:tcPr>
          <w:p>
            <w:pPr>
              <w:widowControl/>
              <w:spacing w:beforeLines="0" w:afterLines="0"/>
              <w:jc w:val="right"/>
              <w:textAlignment w:val="center"/>
              <w:rPr>
                <w:rFonts w:hint="eastAsia" w:ascii="宋体" w:hAnsi="宋体"/>
                <w:b/>
                <w:color w:val="auto"/>
                <w:kern w:val="0"/>
                <w:sz w:val="20"/>
                <w:szCs w:val="20"/>
                <w:highlight w:val="none"/>
                <w:lang w:bidi="ar"/>
              </w:rPr>
            </w:pPr>
            <w:r>
              <w:rPr>
                <w:rFonts w:hint="eastAsia" w:ascii="宋体" w:hAnsi="宋体" w:eastAsia="宋体" w:cs="宋体"/>
                <w:b/>
                <w:color w:val="auto"/>
                <w:kern w:val="0"/>
                <w:sz w:val="20"/>
                <w:szCs w:val="20"/>
                <w:highlight w:val="none"/>
                <w:lang w:bidi="ar"/>
              </w:rPr>
              <w:t xml:space="preserve">10,976,609,646.24  </w:t>
            </w:r>
          </w:p>
        </w:tc>
        <w:tc>
          <w:tcPr>
            <w:tcW w:w="1204"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b/>
                <w:color w:val="auto"/>
                <w:kern w:val="0"/>
                <w:sz w:val="20"/>
                <w:szCs w:val="20"/>
                <w:highlight w:val="none"/>
                <w:lang w:bidi="ar"/>
              </w:rPr>
            </w:pPr>
          </w:p>
        </w:tc>
        <w:tc>
          <w:tcPr>
            <w:tcW w:w="2087"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b/>
                <w:color w:val="auto"/>
                <w:kern w:val="0"/>
                <w:sz w:val="20"/>
                <w:szCs w:val="20"/>
                <w:highlight w:val="none"/>
                <w:lang w:bidi="ar"/>
              </w:rPr>
            </w:pPr>
            <w:r>
              <w:rPr>
                <w:rFonts w:hint="eastAsia" w:ascii="宋体" w:hAnsi="宋体" w:eastAsia="宋体" w:cs="宋体"/>
                <w:i w:val="0"/>
                <w:iCs w:val="0"/>
                <w:color w:val="auto"/>
                <w:kern w:val="0"/>
                <w:sz w:val="20"/>
                <w:szCs w:val="20"/>
                <w:highlight w:val="none"/>
                <w:u w:val="none"/>
                <w:lang w:val="en-US" w:eastAsia="zh-CN" w:bidi="ar"/>
              </w:rPr>
              <w:t xml:space="preserve"> </w:t>
            </w:r>
            <w:r>
              <w:rPr>
                <w:rFonts w:hint="eastAsia" w:ascii="宋体" w:hAnsi="宋体" w:eastAsia="宋体" w:cs="宋体"/>
                <w:b/>
                <w:color w:val="auto"/>
                <w:kern w:val="0"/>
                <w:sz w:val="20"/>
                <w:szCs w:val="20"/>
                <w:highlight w:val="none"/>
                <w:lang w:val="en-US" w:eastAsia="zh-CN" w:bidi="ar"/>
              </w:rPr>
              <w:t xml:space="preserve">10,862,350,803.17 </w:t>
            </w:r>
          </w:p>
        </w:tc>
        <w:tc>
          <w:tcPr>
            <w:tcW w:w="148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b/>
                <w:color w:val="auto"/>
                <w:kern w:val="0"/>
                <w:sz w:val="20"/>
                <w:szCs w:val="20"/>
                <w:highlight w:val="none"/>
                <w:lang w:bidi="ar"/>
              </w:rPr>
            </w:pPr>
          </w:p>
        </w:tc>
      </w:tr>
    </w:tbl>
    <w:p>
      <w:pPr>
        <w:spacing w:line="520" w:lineRule="exact"/>
        <w:ind w:firstLine="480" w:firstLineChars="200"/>
        <w:rPr>
          <w:rFonts w:hint="eastAsia"/>
          <w:color w:val="auto"/>
          <w:highlight w:val="none"/>
        </w:rPr>
      </w:pPr>
      <w:r>
        <w:rPr>
          <w:rFonts w:hint="eastAsia" w:ascii="Arial Narrow" w:hAnsi="Arial Narrow"/>
          <w:color w:val="auto"/>
          <w:sz w:val="24"/>
          <w:highlight w:val="none"/>
        </w:rPr>
        <w:t>注：2023年贷款不良率为4.12%，2024年贷款不良率</w:t>
      </w:r>
      <w:r>
        <w:rPr>
          <w:rFonts w:hint="eastAsia" w:ascii="Arial Narrow" w:hAnsi="Arial Narrow"/>
          <w:color w:val="auto"/>
          <w:sz w:val="24"/>
          <w:highlight w:val="none"/>
          <w:lang w:val="en-US" w:eastAsia="zh-CN"/>
        </w:rPr>
        <w:t>4.10%</w:t>
      </w:r>
      <w:r>
        <w:rPr>
          <w:rFonts w:hint="eastAsia" w:ascii="Arial Narrow" w:hAnsi="Arial Narrow"/>
          <w:color w:val="auto"/>
          <w:sz w:val="24"/>
          <w:highlight w:val="none"/>
        </w:rPr>
        <w:t>，较年初下降</w:t>
      </w:r>
      <w:r>
        <w:rPr>
          <w:rFonts w:hint="eastAsia" w:ascii="Arial Narrow" w:hAnsi="Arial Narrow"/>
          <w:color w:val="auto"/>
          <w:sz w:val="24"/>
          <w:highlight w:val="none"/>
          <w:lang w:val="en-US" w:eastAsia="zh-CN"/>
        </w:rPr>
        <w:t>0.02</w:t>
      </w:r>
      <w:r>
        <w:rPr>
          <w:rFonts w:hint="eastAsia" w:ascii="Arial Narrow" w:hAnsi="Arial Narrow"/>
          <w:color w:val="auto"/>
          <w:sz w:val="24"/>
          <w:highlight w:val="none"/>
        </w:rPr>
        <w:t>个百分点。2024年末拨备覆盖率167.04%。</w:t>
      </w:r>
    </w:p>
    <w:p>
      <w:pPr>
        <w:spacing w:line="360" w:lineRule="auto"/>
        <w:jc w:val="left"/>
        <w:outlineLvl w:val="1"/>
        <w:rPr>
          <w:rFonts w:hint="eastAsia" w:ascii="Arial Narrow" w:hAnsi="Arial Narrow"/>
          <w:color w:val="auto"/>
          <w:sz w:val="24"/>
          <w:highlight w:val="none"/>
        </w:rPr>
      </w:pPr>
      <w:r>
        <w:rPr>
          <w:rFonts w:hint="eastAsia" w:ascii="Arial Narrow Regular" w:hAnsi="Arial Narrow Regular" w:cs="Arial Narrow Regular"/>
          <w:color w:val="auto"/>
          <w:sz w:val="24"/>
          <w:highlight w:val="none"/>
        </w:rPr>
        <w:t xml:space="preserve">7.4贷款损失准备      </w:t>
      </w:r>
      <w:r>
        <w:rPr>
          <w:rFonts w:hint="eastAsia" w:ascii="Arial Narrow" w:hAnsi="Arial Narrow"/>
          <w:color w:val="auto"/>
          <w:sz w:val="24"/>
          <w:highlight w:val="none"/>
        </w:rPr>
        <w:t xml:space="preserve">                                         单位：万元</w:t>
      </w:r>
    </w:p>
    <w:tbl>
      <w:tblPr>
        <w:tblStyle w:val="12"/>
        <w:tblW w:w="9480" w:type="dxa"/>
        <w:tblInd w:w="13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880"/>
        <w:gridCol w:w="56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3880" w:type="dxa"/>
            <w:noWrap w:val="0"/>
            <w:vAlign w:val="bottom"/>
          </w:tcPr>
          <w:p>
            <w:pPr>
              <w:widowControl/>
              <w:jc w:val="center"/>
              <w:textAlignment w:val="bottom"/>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项目</w:t>
            </w:r>
          </w:p>
        </w:tc>
        <w:tc>
          <w:tcPr>
            <w:tcW w:w="5600" w:type="dxa"/>
            <w:noWrap w:val="0"/>
            <w:vAlign w:val="bottom"/>
          </w:tcPr>
          <w:p>
            <w:pPr>
              <w:widowControl/>
              <w:jc w:val="center"/>
              <w:textAlignment w:val="bottom"/>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贷款损失准备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3880" w:type="dxa"/>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年初数</w:t>
            </w:r>
          </w:p>
        </w:tc>
        <w:tc>
          <w:tcPr>
            <w:tcW w:w="5600" w:type="dxa"/>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97,717.66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880" w:type="dxa"/>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加：本期转回</w:t>
            </w:r>
          </w:p>
        </w:tc>
        <w:tc>
          <w:tcPr>
            <w:tcW w:w="5600" w:type="dxa"/>
            <w:noWrap w:val="0"/>
            <w:vAlign w:val="bottom"/>
          </w:tcPr>
          <w:p>
            <w:pPr>
              <w:widowControl/>
              <w:jc w:val="right"/>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rPr>
              <w:t xml:space="preserve"> 6,425.55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3880" w:type="dxa"/>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减：本期冲销</w:t>
            </w:r>
          </w:p>
        </w:tc>
        <w:tc>
          <w:tcPr>
            <w:tcW w:w="5600" w:type="dxa"/>
            <w:noWrap w:val="0"/>
            <w:vAlign w:val="bottom"/>
          </w:tcPr>
          <w:p>
            <w:pPr>
              <w:widowControl/>
              <w:jc w:val="right"/>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rPr>
              <w:t>43</w:t>
            </w:r>
            <w:r>
              <w:rPr>
                <w:rFonts w:hint="eastAsia" w:ascii="宋体" w:hAnsi="宋体" w:cs="宋体"/>
                <w:color w:val="auto"/>
                <w:kern w:val="0"/>
                <w:sz w:val="20"/>
                <w:szCs w:val="20"/>
                <w:highlight w:val="none"/>
                <w:lang w:val="en-US" w:eastAsia="zh-CN"/>
              </w:rPr>
              <w:t>,</w:t>
            </w:r>
            <w:r>
              <w:rPr>
                <w:rFonts w:hint="eastAsia" w:ascii="宋体" w:hAnsi="宋体" w:cs="宋体"/>
                <w:color w:val="auto"/>
                <w:kern w:val="0"/>
                <w:sz w:val="20"/>
                <w:szCs w:val="20"/>
                <w:highlight w:val="none"/>
              </w:rPr>
              <w:t xml:space="preserve">654.92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3880" w:type="dxa"/>
            <w:noWrap w:val="0"/>
            <w:vAlign w:val="bottom"/>
          </w:tcPr>
          <w:p>
            <w:pPr>
              <w:widowControl/>
              <w:textAlignment w:val="bottom"/>
              <w:rPr>
                <w:rFonts w:ascii="宋体" w:hAnsi="宋体"/>
                <w:color w:val="auto"/>
                <w:sz w:val="20"/>
                <w:szCs w:val="20"/>
                <w:highlight w:val="none"/>
              </w:rPr>
            </w:pPr>
            <w:r>
              <w:rPr>
                <w:rFonts w:hint="eastAsia" w:ascii="宋体" w:hAnsi="宋体" w:cs="宋体"/>
                <w:color w:val="auto"/>
                <w:kern w:val="0"/>
                <w:sz w:val="20"/>
                <w:szCs w:val="20"/>
                <w:highlight w:val="none"/>
                <w:lang w:bidi="ar"/>
              </w:rPr>
              <w:t>加：本期计提</w:t>
            </w:r>
          </w:p>
        </w:tc>
        <w:tc>
          <w:tcPr>
            <w:tcW w:w="5600" w:type="dxa"/>
            <w:noWrap w:val="0"/>
            <w:vAlign w:val="bottom"/>
          </w:tcPr>
          <w:p>
            <w:pPr>
              <w:widowControl/>
              <w:jc w:val="right"/>
              <w:textAlignment w:val="bottom"/>
              <w:rPr>
                <w:rFonts w:hint="eastAsia" w:ascii="宋体" w:hAnsi="宋体"/>
                <w:color w:val="auto"/>
                <w:sz w:val="20"/>
                <w:szCs w:val="20"/>
                <w:highlight w:val="none"/>
              </w:rPr>
            </w:pPr>
            <w:r>
              <w:rPr>
                <w:rFonts w:hint="eastAsia" w:ascii="宋体" w:hAnsi="宋体" w:cs="宋体"/>
                <w:color w:val="auto"/>
                <w:kern w:val="0"/>
                <w:sz w:val="20"/>
                <w:szCs w:val="20"/>
                <w:highlight w:val="none"/>
                <w:lang w:val="en-US" w:eastAsia="zh-CN"/>
              </w:rPr>
              <w:t xml:space="preserve"> 19,084.41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3880" w:type="dxa"/>
            <w:noWrap w:val="0"/>
            <w:vAlign w:val="bottom"/>
          </w:tcPr>
          <w:p>
            <w:pPr>
              <w:widowControl/>
              <w:jc w:val="left"/>
              <w:textAlignment w:val="bottom"/>
              <w:rPr>
                <w:rFonts w:ascii="宋体" w:hAnsi="宋体" w:cs="宋体"/>
                <w:b/>
                <w:bCs/>
                <w:color w:val="auto"/>
                <w:kern w:val="0"/>
                <w:sz w:val="20"/>
                <w:szCs w:val="20"/>
                <w:highlight w:val="none"/>
              </w:rPr>
            </w:pPr>
            <w:r>
              <w:rPr>
                <w:rFonts w:hint="eastAsia" w:ascii="宋体" w:hAnsi="宋体" w:cs="宋体"/>
                <w:color w:val="auto"/>
                <w:kern w:val="0"/>
                <w:sz w:val="20"/>
                <w:szCs w:val="20"/>
                <w:highlight w:val="none"/>
                <w:lang w:bidi="ar"/>
              </w:rPr>
              <w:t>期末数</w:t>
            </w:r>
          </w:p>
        </w:tc>
        <w:tc>
          <w:tcPr>
            <w:tcW w:w="5600" w:type="dxa"/>
            <w:noWrap w:val="0"/>
            <w:vAlign w:val="center"/>
          </w:tcPr>
          <w:p>
            <w:pPr>
              <w:widowControl/>
              <w:jc w:val="right"/>
              <w:textAlignment w:val="center"/>
              <w:rPr>
                <w:rFonts w:hint="eastAsia" w:ascii="宋体" w:hAnsi="宋体"/>
                <w:b/>
                <w:color w:val="auto"/>
                <w:sz w:val="20"/>
                <w:szCs w:val="20"/>
                <w:highlight w:val="none"/>
              </w:rPr>
            </w:pPr>
            <w:r>
              <w:rPr>
                <w:rFonts w:hint="eastAsia" w:ascii="宋体" w:hAnsi="宋体" w:cs="宋体"/>
                <w:color w:val="auto"/>
                <w:kern w:val="0"/>
                <w:sz w:val="20"/>
                <w:szCs w:val="20"/>
                <w:highlight w:val="none"/>
              </w:rPr>
              <w:t xml:space="preserve"> 79,572.70  </w:t>
            </w:r>
          </w:p>
        </w:tc>
      </w:tr>
    </w:tbl>
    <w:p>
      <w:pPr>
        <w:spacing w:line="540" w:lineRule="exact"/>
        <w:ind w:firstLine="120" w:firstLineChars="50"/>
        <w:outlineLvl w:val="1"/>
        <w:rPr>
          <w:rFonts w:ascii="Arial Narrow" w:hAnsi="Arial Narrow"/>
          <w:color w:val="auto"/>
          <w:sz w:val="24"/>
          <w:highlight w:val="none"/>
        </w:rPr>
      </w:pPr>
      <w:r>
        <w:rPr>
          <w:rFonts w:hint="eastAsia" w:ascii="Arial Narrow Regular" w:hAnsi="Arial Narrow Regular" w:cs="Arial Narrow Regular"/>
          <w:color w:val="auto"/>
          <w:sz w:val="24"/>
          <w:highlight w:val="none"/>
        </w:rPr>
        <w:t>7.5买入返售金融资产</w:t>
      </w:r>
    </w:p>
    <w:tbl>
      <w:tblPr>
        <w:tblStyle w:val="12"/>
        <w:tblW w:w="9469" w:type="dxa"/>
        <w:tblInd w:w="137" w:type="dxa"/>
        <w:tblLayout w:type="fixed"/>
        <w:tblCellMar>
          <w:top w:w="0" w:type="dxa"/>
          <w:left w:w="108" w:type="dxa"/>
          <w:bottom w:w="0" w:type="dxa"/>
          <w:right w:w="108" w:type="dxa"/>
        </w:tblCellMar>
      </w:tblPr>
      <w:tblGrid>
        <w:gridCol w:w="3859"/>
        <w:gridCol w:w="2610"/>
        <w:gridCol w:w="3000"/>
      </w:tblGrid>
      <w:tr>
        <w:tblPrEx>
          <w:tblCellMar>
            <w:top w:w="0" w:type="dxa"/>
            <w:left w:w="108" w:type="dxa"/>
            <w:bottom w:w="0" w:type="dxa"/>
            <w:right w:w="108" w:type="dxa"/>
          </w:tblCellMar>
        </w:tblPrEx>
        <w:trPr>
          <w:trHeight w:val="340" w:hRule="atLeast"/>
          <w:tblHeader/>
        </w:trPr>
        <w:tc>
          <w:tcPr>
            <w:tcW w:w="3859"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261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00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859"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质押式买入返售债券</w:t>
            </w:r>
          </w:p>
        </w:tc>
        <w:tc>
          <w:tcPr>
            <w:tcW w:w="2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100,000,000.00 </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kern w:val="0"/>
                <w:sz w:val="20"/>
                <w:szCs w:val="20"/>
                <w:highlight w:val="none"/>
                <w:lang w:bidi="ar"/>
              </w:rPr>
            </w:pPr>
            <w:r>
              <w:rPr>
                <w:rFonts w:ascii="宋体" w:hAnsi="宋体"/>
                <w:color w:val="auto"/>
                <w:kern w:val="0"/>
                <w:sz w:val="20"/>
                <w:szCs w:val="20"/>
                <w:highlight w:val="none"/>
                <w:lang w:bidi="ar"/>
              </w:rPr>
              <w:t>100,000,000.00</w:t>
            </w:r>
          </w:p>
        </w:tc>
      </w:tr>
      <w:tr>
        <w:tblPrEx>
          <w:tblCellMar>
            <w:top w:w="0" w:type="dxa"/>
            <w:left w:w="108" w:type="dxa"/>
            <w:bottom w:w="0" w:type="dxa"/>
            <w:right w:w="108" w:type="dxa"/>
          </w:tblCellMar>
        </w:tblPrEx>
        <w:trPr>
          <w:trHeight w:val="340" w:hRule="atLeast"/>
        </w:trPr>
        <w:tc>
          <w:tcPr>
            <w:tcW w:w="3859" w:type="dxa"/>
            <w:tcBorders>
              <w:top w:val="nil"/>
              <w:left w:val="single" w:color="auto" w:sz="8" w:space="0"/>
              <w:bottom w:val="single" w:color="auto" w:sz="8" w:space="0"/>
              <w:right w:val="single" w:color="auto" w:sz="8" w:space="0"/>
            </w:tcBorders>
            <w:noWrap w:val="0"/>
            <w:vAlign w:val="center"/>
          </w:tcPr>
          <w:p>
            <w:pPr>
              <w:widowControl/>
              <w:jc w:val="left"/>
              <w:rPr>
                <w:rFonts w:hint="eastAsia"/>
                <w:color w:val="auto"/>
                <w:kern w:val="0"/>
                <w:sz w:val="18"/>
                <w:szCs w:val="18"/>
                <w:highlight w:val="none"/>
              </w:rPr>
            </w:pPr>
            <w:r>
              <w:rPr>
                <w:rFonts w:hint="eastAsia"/>
                <w:color w:val="auto"/>
                <w:sz w:val="18"/>
                <w:szCs w:val="18"/>
                <w:highlight w:val="none"/>
                <w:lang w:val="en-US" w:eastAsia="zh-CN"/>
              </w:rPr>
              <w:t>加：</w:t>
            </w:r>
            <w:r>
              <w:rPr>
                <w:rFonts w:hint="eastAsia"/>
                <w:color w:val="auto"/>
                <w:sz w:val="18"/>
                <w:szCs w:val="18"/>
                <w:highlight w:val="none"/>
              </w:rPr>
              <w:t>买入返售金融资产应计利息</w:t>
            </w:r>
          </w:p>
        </w:tc>
        <w:tc>
          <w:tcPr>
            <w:tcW w:w="2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kern w:val="0"/>
                <w:sz w:val="20"/>
                <w:szCs w:val="20"/>
                <w:highlight w:val="none"/>
                <w:lang w:bidi="ar"/>
              </w:rPr>
            </w:pPr>
            <w:r>
              <w:rPr>
                <w:rFonts w:ascii="宋体" w:hAnsi="宋体" w:cs="宋体"/>
                <w:color w:val="auto"/>
                <w:kern w:val="0"/>
                <w:sz w:val="20"/>
                <w:szCs w:val="20"/>
                <w:highlight w:val="none"/>
                <w:lang w:bidi="ar"/>
              </w:rPr>
              <w:t>258,457.53</w:t>
            </w:r>
            <w:r>
              <w:rPr>
                <w:rFonts w:hint="eastAsia" w:ascii="宋体" w:hAnsi="宋体" w:cs="宋体"/>
                <w:color w:val="auto"/>
                <w:kern w:val="0"/>
                <w:sz w:val="20"/>
                <w:szCs w:val="20"/>
                <w:highlight w:val="none"/>
                <w:lang w:bidi="ar"/>
              </w:rPr>
              <w:t xml:space="preserve">    </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kern w:val="0"/>
                <w:sz w:val="20"/>
                <w:szCs w:val="20"/>
                <w:highlight w:val="none"/>
                <w:lang w:bidi="ar"/>
              </w:rPr>
            </w:pPr>
            <w:r>
              <w:rPr>
                <w:rFonts w:ascii="宋体" w:hAnsi="宋体"/>
                <w:color w:val="auto"/>
                <w:kern w:val="0"/>
                <w:sz w:val="20"/>
                <w:szCs w:val="20"/>
                <w:highlight w:val="none"/>
                <w:lang w:bidi="ar"/>
              </w:rPr>
              <w:t>130,410.96</w:t>
            </w:r>
          </w:p>
        </w:tc>
      </w:tr>
      <w:tr>
        <w:tblPrEx>
          <w:tblCellMar>
            <w:top w:w="0" w:type="dxa"/>
            <w:left w:w="108" w:type="dxa"/>
            <w:bottom w:w="0" w:type="dxa"/>
            <w:right w:w="108" w:type="dxa"/>
          </w:tblCellMar>
        </w:tblPrEx>
        <w:trPr>
          <w:trHeight w:val="340" w:hRule="atLeast"/>
        </w:trPr>
        <w:tc>
          <w:tcPr>
            <w:tcW w:w="3859"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买入返售金融资产减值准备</w:t>
            </w:r>
          </w:p>
        </w:tc>
        <w:tc>
          <w:tcPr>
            <w:tcW w:w="2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color w:val="auto"/>
                <w:kern w:val="0"/>
                <w:sz w:val="20"/>
                <w:szCs w:val="20"/>
                <w:highlight w:val="none"/>
                <w:lang w:bidi="ar"/>
              </w:rPr>
              <w:t xml:space="preserve"> 653,692.74</w:t>
            </w:r>
            <w:r>
              <w:rPr>
                <w:rFonts w:hint="eastAsia" w:ascii="宋体" w:hAnsi="宋体" w:cs="宋体"/>
                <w:b/>
                <w:bCs/>
                <w:color w:val="auto"/>
                <w:kern w:val="0"/>
                <w:sz w:val="20"/>
                <w:szCs w:val="20"/>
                <w:highlight w:val="none"/>
                <w:lang w:bidi="ar"/>
              </w:rPr>
              <w:t xml:space="preserve"> </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15,270.70</w:t>
            </w:r>
          </w:p>
        </w:tc>
      </w:tr>
      <w:tr>
        <w:tblPrEx>
          <w:tblCellMar>
            <w:top w:w="0" w:type="dxa"/>
            <w:left w:w="108" w:type="dxa"/>
            <w:bottom w:w="0" w:type="dxa"/>
            <w:right w:w="108" w:type="dxa"/>
          </w:tblCellMar>
        </w:tblPrEx>
        <w:trPr>
          <w:trHeight w:val="340" w:hRule="atLeast"/>
        </w:trPr>
        <w:tc>
          <w:tcPr>
            <w:tcW w:w="3859" w:type="dxa"/>
            <w:tcBorders>
              <w:top w:val="nil"/>
              <w:left w:val="single" w:color="auto" w:sz="8" w:space="0"/>
              <w:bottom w:val="single" w:color="auto" w:sz="8" w:space="0"/>
              <w:right w:val="single" w:color="auto" w:sz="8" w:space="0"/>
            </w:tcBorders>
            <w:noWrap w:val="0"/>
            <w:vAlign w:val="center"/>
          </w:tcPr>
          <w:p>
            <w:pPr>
              <w:widowControl/>
              <w:ind w:firstLine="1205" w:firstLineChars="600"/>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99,346,307.26 </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100,115,140.26</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7.6债权投资</w:t>
      </w:r>
    </w:p>
    <w:tbl>
      <w:tblPr>
        <w:tblStyle w:val="12"/>
        <w:tblW w:w="9481" w:type="dxa"/>
        <w:tblInd w:w="115" w:type="dxa"/>
        <w:tblLayout w:type="fixed"/>
        <w:tblCellMar>
          <w:top w:w="0" w:type="dxa"/>
          <w:left w:w="108" w:type="dxa"/>
          <w:bottom w:w="0" w:type="dxa"/>
          <w:right w:w="108" w:type="dxa"/>
        </w:tblCellMar>
      </w:tblPr>
      <w:tblGrid>
        <w:gridCol w:w="3851"/>
        <w:gridCol w:w="2663"/>
        <w:gridCol w:w="2967"/>
      </w:tblGrid>
      <w:tr>
        <w:trPr>
          <w:trHeight w:val="285" w:hRule="atLeast"/>
          <w:tblHeader/>
        </w:trPr>
        <w:tc>
          <w:tcPr>
            <w:tcW w:w="3851"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被投资单位</w:t>
            </w:r>
          </w:p>
        </w:tc>
        <w:tc>
          <w:tcPr>
            <w:tcW w:w="266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296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债权投资同业存单成本</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1,300,000,000.00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950,000,000.00</w:t>
            </w:r>
          </w:p>
        </w:tc>
      </w:tr>
      <w:tr>
        <w:tblPrEx>
          <w:tblCellMar>
            <w:top w:w="0" w:type="dxa"/>
            <w:left w:w="108" w:type="dxa"/>
            <w:bottom w:w="0" w:type="dxa"/>
            <w:right w:w="108" w:type="dxa"/>
          </w:tblCellMar>
        </w:tblPrEx>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债权投资同业存单利息调整</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-33,198,279.91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w:t>
            </w:r>
            <w:r>
              <w:rPr>
                <w:rFonts w:ascii="宋体" w:hAnsi="宋体" w:cs="宋体"/>
                <w:color w:val="auto"/>
                <w:kern w:val="0"/>
                <w:sz w:val="20"/>
                <w:szCs w:val="20"/>
                <w:highlight w:val="none"/>
              </w:rPr>
              <w:t>12,163,334.77</w:t>
            </w:r>
          </w:p>
        </w:tc>
      </w:tr>
      <w:tr>
        <w:tblPrEx>
          <w:tblCellMar>
            <w:top w:w="0" w:type="dxa"/>
            <w:left w:w="108" w:type="dxa"/>
            <w:bottom w:w="0" w:type="dxa"/>
            <w:right w:w="108" w:type="dxa"/>
          </w:tblCellMar>
        </w:tblPrEx>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债权投资政策性银行债券成本</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770,000,000.00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720,000,000.00</w:t>
            </w:r>
          </w:p>
        </w:tc>
      </w:tr>
      <w:tr>
        <w:tblPrEx>
          <w:tblCellMar>
            <w:top w:w="0" w:type="dxa"/>
            <w:left w:w="108" w:type="dxa"/>
            <w:bottom w:w="0" w:type="dxa"/>
            <w:right w:w="108" w:type="dxa"/>
          </w:tblCellMar>
        </w:tblPrEx>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债权投资政策性银行债券利息调整</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2,458,561.57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983,120.91</w:t>
            </w:r>
          </w:p>
        </w:tc>
      </w:tr>
      <w:tr>
        <w:tblPrEx>
          <w:tblCellMar>
            <w:top w:w="0" w:type="dxa"/>
            <w:left w:w="108" w:type="dxa"/>
            <w:bottom w:w="0" w:type="dxa"/>
            <w:right w:w="108" w:type="dxa"/>
          </w:tblCellMar>
        </w:tblPrEx>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债权投资商业银行债券成本</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10,000,000.00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0.00 </w:t>
            </w:r>
          </w:p>
        </w:tc>
      </w:tr>
      <w:tr>
        <w:tblPrEx>
          <w:tblCellMar>
            <w:top w:w="0" w:type="dxa"/>
            <w:left w:w="108" w:type="dxa"/>
            <w:bottom w:w="0" w:type="dxa"/>
            <w:right w:w="108" w:type="dxa"/>
          </w:tblCellMar>
        </w:tblPrEx>
        <w:trPr>
          <w:trHeight w:val="199"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债权投资商业银行债券利息调整</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0.00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0.00 </w:t>
            </w:r>
          </w:p>
        </w:tc>
      </w:tr>
      <w:tr>
        <w:tblPrEx>
          <w:tblCellMar>
            <w:top w:w="0" w:type="dxa"/>
            <w:left w:w="108" w:type="dxa"/>
            <w:bottom w:w="0" w:type="dxa"/>
            <w:right w:w="108" w:type="dxa"/>
          </w:tblCellMar>
        </w:tblPrEx>
        <w:trPr>
          <w:trHeight w:val="287"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债权投资信托计划成本</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58,540,590.98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58,540,590.98</w:t>
            </w:r>
          </w:p>
        </w:tc>
      </w:tr>
      <w:tr>
        <w:tblPrEx>
          <w:tblCellMar>
            <w:top w:w="0" w:type="dxa"/>
            <w:left w:w="108" w:type="dxa"/>
            <w:bottom w:w="0" w:type="dxa"/>
            <w:right w:w="108" w:type="dxa"/>
          </w:tblCellMar>
        </w:tblPrEx>
        <w:trPr>
          <w:trHeight w:val="345"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小计：</w:t>
            </w:r>
          </w:p>
        </w:tc>
        <w:tc>
          <w:tcPr>
            <w:tcW w:w="2663" w:type="dxa"/>
            <w:tcBorders>
              <w:top w:val="nil"/>
              <w:left w:val="nil"/>
              <w:bottom w:val="single" w:color="auto" w:sz="8" w:space="0"/>
              <w:right w:val="single" w:color="auto" w:sz="8" w:space="0"/>
            </w:tcBorders>
            <w:noWrap w:val="0"/>
            <w:vAlign w:val="bottom"/>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2,107,800,872.64</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1,717,360,377.12</w:t>
            </w:r>
          </w:p>
        </w:tc>
      </w:tr>
      <w:tr>
        <w:tblPrEx>
          <w:tblCellMar>
            <w:top w:w="0" w:type="dxa"/>
            <w:left w:w="108" w:type="dxa"/>
            <w:bottom w:w="0" w:type="dxa"/>
            <w:right w:w="108" w:type="dxa"/>
          </w:tblCellMar>
        </w:tblPrEx>
        <w:trPr>
          <w:trHeight w:val="345"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bidi="ar"/>
              </w:rPr>
              <w:t>减：</w:t>
            </w:r>
            <w:r>
              <w:rPr>
                <w:rFonts w:hint="eastAsia" w:ascii="宋体" w:hAnsi="宋体" w:cs="宋体"/>
                <w:color w:val="auto"/>
                <w:kern w:val="0"/>
                <w:sz w:val="20"/>
                <w:szCs w:val="20"/>
                <w:highlight w:val="none"/>
                <w:lang w:bidi="ar"/>
              </w:rPr>
              <w:t>债权投资减值准备</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10,903,732.60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9,603,065.03</w:t>
            </w:r>
          </w:p>
        </w:tc>
      </w:tr>
      <w:tr>
        <w:tblPrEx>
          <w:tblCellMar>
            <w:top w:w="0" w:type="dxa"/>
            <w:left w:w="108" w:type="dxa"/>
            <w:bottom w:w="0" w:type="dxa"/>
            <w:right w:w="108" w:type="dxa"/>
          </w:tblCellMar>
        </w:tblPrEx>
        <w:trPr>
          <w:trHeight w:val="345"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bidi="ar"/>
              </w:rPr>
              <w:t>加：</w:t>
            </w:r>
            <w:r>
              <w:rPr>
                <w:rFonts w:hint="eastAsia" w:ascii="宋体" w:hAnsi="宋体" w:cs="宋体"/>
                <w:color w:val="auto"/>
                <w:kern w:val="0"/>
                <w:sz w:val="20"/>
                <w:szCs w:val="20"/>
                <w:highlight w:val="none"/>
                <w:lang w:bidi="ar"/>
              </w:rPr>
              <w:t>债权投资应计利息</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27,512,240.51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12,058,668.48</w:t>
            </w:r>
          </w:p>
        </w:tc>
      </w:tr>
      <w:tr>
        <w:tblPrEx>
          <w:tblCellMar>
            <w:top w:w="0" w:type="dxa"/>
            <w:left w:w="108" w:type="dxa"/>
            <w:bottom w:w="0" w:type="dxa"/>
            <w:right w:w="108" w:type="dxa"/>
          </w:tblCellMar>
        </w:tblPrEx>
        <w:trPr>
          <w:trHeight w:val="345" w:hRule="atLeast"/>
        </w:trPr>
        <w:tc>
          <w:tcPr>
            <w:tcW w:w="3851"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66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2,124,409,380.55 </w:t>
            </w:r>
          </w:p>
        </w:tc>
        <w:tc>
          <w:tcPr>
            <w:tcW w:w="296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1,719,815,980.57</w:t>
            </w:r>
          </w:p>
        </w:tc>
      </w:tr>
    </w:tbl>
    <w:p>
      <w:pPr>
        <w:pStyle w:val="11"/>
        <w:ind w:firstLine="46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注：1、债权投资同业存单为：24贵州银行CD049</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24广东华兴银行CD209</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24福建海峡银行CD202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24贵州银行CD129</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24福建海峡银行CD238</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24贵阳农商行CD091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24广东华兴银行CD437</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24贵州兴义农商行CD024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24贵州花溪农商行CD078。</w:t>
      </w:r>
    </w:p>
    <w:p>
      <w:pPr>
        <w:pStyle w:val="11"/>
        <w:ind w:firstLine="0" w:firstLineChars="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 xml:space="preserve">    2、债权投资政策性银行债券为：16国开13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16国开13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20国开08</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20进出15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21国开03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18国开06</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22进出11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22进出15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17国开10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23农发10</w:t>
      </w:r>
      <w:r>
        <w:rPr>
          <w:rFonts w:hint="eastAsia" w:ascii="宋体" w:hAnsi="宋体" w:cs="宋体"/>
          <w:color w:val="auto"/>
          <w:sz w:val="24"/>
          <w:szCs w:val="24"/>
          <w:highlight w:val="none"/>
          <w:lang w:eastAsia="zh-CN"/>
        </w:rPr>
        <w:t>。</w:t>
      </w:r>
    </w:p>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7.7其他债券投资</w:t>
      </w:r>
    </w:p>
    <w:tbl>
      <w:tblPr>
        <w:tblStyle w:val="12"/>
        <w:tblW w:w="9346" w:type="dxa"/>
        <w:tblInd w:w="250" w:type="dxa"/>
        <w:tblLayout w:type="fixed"/>
        <w:tblCellMar>
          <w:top w:w="0" w:type="dxa"/>
          <w:left w:w="108" w:type="dxa"/>
          <w:bottom w:w="0" w:type="dxa"/>
          <w:right w:w="108" w:type="dxa"/>
        </w:tblCellMar>
      </w:tblPr>
      <w:tblGrid>
        <w:gridCol w:w="3726"/>
        <w:gridCol w:w="2650"/>
        <w:gridCol w:w="2970"/>
      </w:tblGrid>
      <w:tr>
        <w:tblPrEx>
          <w:tblCellMar>
            <w:top w:w="0" w:type="dxa"/>
            <w:left w:w="108" w:type="dxa"/>
            <w:bottom w:w="0" w:type="dxa"/>
            <w:right w:w="108" w:type="dxa"/>
          </w:tblCellMar>
        </w:tblPrEx>
        <w:trPr>
          <w:trHeight w:val="285" w:hRule="atLeast"/>
          <w:tblHeader/>
        </w:trPr>
        <w:tc>
          <w:tcPr>
            <w:tcW w:w="372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被投资单位</w:t>
            </w:r>
          </w:p>
        </w:tc>
        <w:tc>
          <w:tcPr>
            <w:tcW w:w="265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b/>
                <w:bCs/>
                <w:color w:val="auto"/>
                <w:highlight w:val="none"/>
              </w:rPr>
              <w:t>年初余额</w:t>
            </w:r>
          </w:p>
        </w:tc>
        <w:tc>
          <w:tcPr>
            <w:tcW w:w="297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b/>
                <w:bCs/>
                <w:color w:val="auto"/>
                <w:highlight w:val="none"/>
              </w:rPr>
              <w:tab/>
            </w:r>
            <w:r>
              <w:rPr>
                <w:rFonts w:hint="eastAsia"/>
                <w:b/>
                <w:bCs/>
                <w:color w:val="auto"/>
                <w:highlight w:val="none"/>
              </w:rPr>
              <w:t>年末余额</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其他债权投资同业存单成本</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150,000,000.00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100,000,000.00</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其他债权投资同业存单利息调整</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-4,020,093.76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r>
              <w:rPr>
                <w:rFonts w:ascii="宋体" w:hAnsi="宋体" w:cs="宋体"/>
                <w:color w:val="auto"/>
                <w:kern w:val="0"/>
                <w:sz w:val="20"/>
                <w:szCs w:val="20"/>
                <w:highlight w:val="none"/>
                <w:lang w:bidi="ar"/>
              </w:rPr>
              <w:t>1,547,947.39</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其他债权投资同业存单公允价值变动</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-43,709.41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106,247.39</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其他债权投资国家债券成本</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80,000,000.00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160,000,000.00</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其他债权投资国家债券利息调整</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-130,360.00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1,954,754.03</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其他债权投资国家债券公允价值变动</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49,850.00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9,552,905.97</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其他债权投资政策性银行债券成本</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670,000,000.00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990,000,000.00</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其他债权投资政策性银行债券利息调整</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10,052,472.99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34,226,558.74</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其他债权投资政策性银行债券公允价值变动</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 xml:space="preserve">4,077,977.01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43,353,211.26</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其他债权投资同业存单应计利息</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2,906,417.17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其他债权投资国家债券应计利息</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577,147.19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672,208.10</w:t>
            </w:r>
          </w:p>
        </w:tc>
      </w:tr>
      <w:tr>
        <w:tblPrEx>
          <w:tblCellMar>
            <w:top w:w="0" w:type="dxa"/>
            <w:left w:w="108" w:type="dxa"/>
            <w:bottom w:w="0" w:type="dxa"/>
            <w:right w:w="108" w:type="dxa"/>
          </w:tblCellMar>
        </w:tblPrEx>
        <w:trPr>
          <w:trHeight w:val="199"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其他债权投资政策性银行债券应计利息</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10,791,465.13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13,830,869.22</w:t>
            </w:r>
          </w:p>
        </w:tc>
      </w:tr>
      <w:tr>
        <w:tblPrEx>
          <w:tblCellMar>
            <w:top w:w="0" w:type="dxa"/>
            <w:left w:w="108" w:type="dxa"/>
            <w:bottom w:w="0" w:type="dxa"/>
            <w:right w:w="108" w:type="dxa"/>
          </w:tblCellMar>
        </w:tblPrEx>
        <w:trPr>
          <w:trHeight w:val="345" w:hRule="atLeast"/>
        </w:trPr>
        <w:tc>
          <w:tcPr>
            <w:tcW w:w="3726"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924,261,166.32 </w:t>
            </w:r>
          </w:p>
        </w:tc>
        <w:tc>
          <w:tcPr>
            <w:tcW w:w="297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1,352,148,807.32</w:t>
            </w:r>
          </w:p>
        </w:tc>
      </w:tr>
    </w:tbl>
    <w:p>
      <w:pPr>
        <w:pStyle w:val="11"/>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注：1、</w:t>
      </w:r>
      <w:r>
        <w:rPr>
          <w:rFonts w:hint="eastAsia" w:ascii="宋体" w:hAnsi="宋体" w:cs="宋体"/>
          <w:color w:val="auto"/>
          <w:kern w:val="0"/>
          <w:sz w:val="24"/>
          <w:szCs w:val="24"/>
          <w:highlight w:val="none"/>
          <w:lang w:bidi="ar"/>
        </w:rPr>
        <w:t>其他债权投资同业存单为：24建设银行CD383。</w:t>
      </w:r>
    </w:p>
    <w:p>
      <w:pPr>
        <w:pStyle w:val="11"/>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kern w:val="0"/>
          <w:sz w:val="24"/>
          <w:szCs w:val="24"/>
          <w:highlight w:val="none"/>
          <w:lang w:bidi="ar"/>
        </w:rPr>
        <w:t>其他债权投资国家债券：23附息国债18</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bidi="ar"/>
        </w:rPr>
        <w:t>23附息国债26</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bidi="ar"/>
        </w:rPr>
        <w:t>23附息国债26</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bidi="ar"/>
        </w:rPr>
        <w:t>23附息国债28。</w:t>
      </w:r>
    </w:p>
    <w:p>
      <w:pPr>
        <w:pStyle w:val="11"/>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3、其他债权投资政策性银行债券为：21国开15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22国开02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23农发03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20国开15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22国开15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23国开10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21国开05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24国开05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23农发15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24农发20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24进出10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22进出10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21农发10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22农发10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24进出10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21进出10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23农发20。</w:t>
      </w:r>
    </w:p>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7.8其他权益工具投资</w:t>
      </w:r>
    </w:p>
    <w:tbl>
      <w:tblPr>
        <w:tblStyle w:val="12"/>
        <w:tblW w:w="9327" w:type="dxa"/>
        <w:tblInd w:w="249" w:type="dxa"/>
        <w:tblLayout w:type="fixed"/>
        <w:tblCellMar>
          <w:top w:w="0" w:type="dxa"/>
          <w:left w:w="108" w:type="dxa"/>
          <w:bottom w:w="0" w:type="dxa"/>
          <w:right w:w="108" w:type="dxa"/>
        </w:tblCellMar>
      </w:tblPr>
      <w:tblGrid>
        <w:gridCol w:w="3717"/>
        <w:gridCol w:w="2650"/>
        <w:gridCol w:w="2960"/>
      </w:tblGrid>
      <w:tr>
        <w:tblPrEx>
          <w:tblCellMar>
            <w:top w:w="0" w:type="dxa"/>
            <w:left w:w="108" w:type="dxa"/>
            <w:bottom w:w="0" w:type="dxa"/>
            <w:right w:w="108" w:type="dxa"/>
          </w:tblCellMar>
        </w:tblPrEx>
        <w:trPr>
          <w:trHeight w:val="340" w:hRule="atLeast"/>
          <w:tblHeader/>
        </w:trPr>
        <w:tc>
          <w:tcPr>
            <w:tcW w:w="3717"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被投资单位</w:t>
            </w:r>
          </w:p>
        </w:tc>
        <w:tc>
          <w:tcPr>
            <w:tcW w:w="265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296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w:t>
            </w:r>
            <w:r>
              <w:rPr>
                <w:rFonts w:ascii="宋体" w:hAnsi="宋体" w:cs="宋体"/>
                <w:b/>
                <w:bCs/>
                <w:color w:val="auto"/>
                <w:kern w:val="0"/>
                <w:sz w:val="20"/>
                <w:szCs w:val="20"/>
                <w:highlight w:val="none"/>
              </w:rPr>
              <w:t>余额</w:t>
            </w:r>
          </w:p>
        </w:tc>
      </w:tr>
      <w:tr>
        <w:tblPrEx>
          <w:tblCellMar>
            <w:top w:w="0" w:type="dxa"/>
            <w:left w:w="108" w:type="dxa"/>
            <w:bottom w:w="0" w:type="dxa"/>
            <w:right w:w="108" w:type="dxa"/>
          </w:tblCellMar>
        </w:tblPrEx>
        <w:trPr>
          <w:trHeight w:val="340" w:hRule="atLeast"/>
        </w:trPr>
        <w:tc>
          <w:tcPr>
            <w:tcW w:w="3717"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农商银行股权投资</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Arial Narrow"/>
                <w:color w:val="auto"/>
                <w:kern w:val="0"/>
                <w:sz w:val="20"/>
                <w:szCs w:val="20"/>
                <w:highlight w:val="none"/>
              </w:rPr>
            </w:pPr>
            <w:r>
              <w:rPr>
                <w:rFonts w:hint="eastAsia" w:ascii="宋体" w:hAnsi="宋体" w:cs="宋体"/>
                <w:color w:val="auto"/>
                <w:kern w:val="0"/>
                <w:sz w:val="20"/>
                <w:szCs w:val="20"/>
                <w:highlight w:val="none"/>
                <w:lang w:bidi="ar"/>
              </w:rPr>
              <w:t xml:space="preserve">27,610,356.16 </w:t>
            </w:r>
          </w:p>
        </w:tc>
        <w:tc>
          <w:tcPr>
            <w:tcW w:w="296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Arial Narrow"/>
                <w:color w:val="auto"/>
                <w:kern w:val="0"/>
                <w:sz w:val="20"/>
                <w:szCs w:val="20"/>
                <w:highlight w:val="none"/>
              </w:rPr>
            </w:pPr>
            <w:r>
              <w:rPr>
                <w:rFonts w:hint="eastAsia" w:ascii="宋体" w:hAnsi="宋体" w:cs="宋体"/>
                <w:color w:val="auto"/>
                <w:kern w:val="0"/>
                <w:sz w:val="20"/>
                <w:szCs w:val="20"/>
                <w:highlight w:val="none"/>
                <w:lang w:bidi="ar"/>
              </w:rPr>
              <w:t xml:space="preserve">27,610,356.16 </w:t>
            </w:r>
          </w:p>
        </w:tc>
      </w:tr>
      <w:tr>
        <w:tblPrEx>
          <w:tblCellMar>
            <w:top w:w="0" w:type="dxa"/>
            <w:left w:w="108" w:type="dxa"/>
            <w:bottom w:w="0" w:type="dxa"/>
            <w:right w:w="108" w:type="dxa"/>
          </w:tblCellMar>
        </w:tblPrEx>
        <w:trPr>
          <w:trHeight w:val="340" w:hRule="atLeast"/>
        </w:trPr>
        <w:tc>
          <w:tcPr>
            <w:tcW w:w="3717"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省联社股权投资</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Arial Narrow"/>
                <w:color w:val="auto"/>
                <w:kern w:val="0"/>
                <w:sz w:val="20"/>
                <w:szCs w:val="20"/>
                <w:highlight w:val="none"/>
              </w:rPr>
            </w:pPr>
            <w:r>
              <w:rPr>
                <w:rFonts w:hint="eastAsia" w:ascii="宋体" w:hAnsi="宋体" w:cs="宋体"/>
                <w:color w:val="auto"/>
                <w:kern w:val="0"/>
                <w:sz w:val="20"/>
                <w:szCs w:val="20"/>
                <w:highlight w:val="none"/>
                <w:lang w:bidi="ar"/>
              </w:rPr>
              <w:t xml:space="preserve">300,000.00 </w:t>
            </w:r>
          </w:p>
        </w:tc>
        <w:tc>
          <w:tcPr>
            <w:tcW w:w="2960"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Arial Narrow"/>
                <w:color w:val="auto"/>
                <w:kern w:val="0"/>
                <w:sz w:val="20"/>
                <w:szCs w:val="20"/>
                <w:highlight w:val="none"/>
              </w:rPr>
            </w:pPr>
            <w:r>
              <w:rPr>
                <w:rFonts w:hint="eastAsia" w:ascii="宋体" w:hAnsi="宋体" w:cs="宋体"/>
                <w:color w:val="auto"/>
                <w:kern w:val="0"/>
                <w:sz w:val="20"/>
                <w:szCs w:val="20"/>
                <w:highlight w:val="none"/>
                <w:lang w:bidi="ar"/>
              </w:rPr>
              <w:t xml:space="preserve">300,000.00 </w:t>
            </w:r>
          </w:p>
        </w:tc>
      </w:tr>
      <w:tr>
        <w:tblPrEx>
          <w:tblCellMar>
            <w:top w:w="0" w:type="dxa"/>
            <w:left w:w="108" w:type="dxa"/>
            <w:bottom w:w="0" w:type="dxa"/>
            <w:right w:w="108" w:type="dxa"/>
          </w:tblCellMar>
        </w:tblPrEx>
        <w:trPr>
          <w:trHeight w:val="340" w:hRule="atLeast"/>
        </w:trPr>
        <w:tc>
          <w:tcPr>
            <w:tcW w:w="3717"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27,910,356.16 </w:t>
            </w:r>
          </w:p>
        </w:tc>
        <w:tc>
          <w:tcPr>
            <w:tcW w:w="296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27,910,356.16 </w:t>
            </w:r>
          </w:p>
        </w:tc>
      </w:tr>
    </w:tbl>
    <w:p>
      <w:pPr>
        <w:pStyle w:val="11"/>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注：农商银行股权投资系本行入股关岭农村商业银行股份。</w:t>
      </w:r>
    </w:p>
    <w:p>
      <w:pPr>
        <w:pStyle w:val="11"/>
        <w:ind w:firstLine="0" w:firstLineChars="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7.9固定资产</w:t>
      </w:r>
    </w:p>
    <w:tbl>
      <w:tblPr>
        <w:tblStyle w:val="12"/>
        <w:tblW w:w="9404" w:type="dxa"/>
        <w:tblInd w:w="18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24"/>
        <w:gridCol w:w="1839"/>
        <w:gridCol w:w="1713"/>
        <w:gridCol w:w="1678"/>
        <w:gridCol w:w="18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2324"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项目名称</w:t>
            </w:r>
          </w:p>
        </w:tc>
        <w:tc>
          <w:tcPr>
            <w:tcW w:w="1839"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年初余额</w:t>
            </w:r>
          </w:p>
        </w:tc>
        <w:tc>
          <w:tcPr>
            <w:tcW w:w="1713"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本年增加</w:t>
            </w:r>
          </w:p>
        </w:tc>
        <w:tc>
          <w:tcPr>
            <w:tcW w:w="1678"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本年减少</w:t>
            </w:r>
          </w:p>
        </w:tc>
        <w:tc>
          <w:tcPr>
            <w:tcW w:w="1850" w:type="dxa"/>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一、原价合计</w:t>
            </w:r>
          </w:p>
        </w:tc>
        <w:tc>
          <w:tcPr>
            <w:tcW w:w="1839"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361,173,593.30</w:t>
            </w:r>
          </w:p>
        </w:tc>
        <w:tc>
          <w:tcPr>
            <w:tcW w:w="171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235,325,124.19</w:t>
            </w:r>
          </w:p>
        </w:tc>
        <w:tc>
          <w:tcPr>
            <w:tcW w:w="1678"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2,751,975.89</w:t>
            </w:r>
          </w:p>
        </w:tc>
        <w:tc>
          <w:tcPr>
            <w:tcW w:w="1850"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593,746,741.60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其中：房屋、建筑物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312,139,046.05</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233,794,908.63</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1,765,456.98</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544,168,497.70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机器设备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70,500.00</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30,500.00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电子设备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42,048,617.48</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1,409,305.26</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921,728.91</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42,536,193.83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交通工具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4,106,625.58</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4,106,625.58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办公家具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1,173,464.18</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105,871.30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34,290.00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1,245,045.48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其他固定资产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1,635,340.01</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15,039.00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1,650,379.01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二、累计折旧合计</w:t>
            </w:r>
          </w:p>
        </w:tc>
        <w:tc>
          <w:tcPr>
            <w:tcW w:w="1839"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127,204,559.58</w:t>
            </w:r>
          </w:p>
        </w:tc>
        <w:tc>
          <w:tcPr>
            <w:tcW w:w="1713"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20,132,219.42</w:t>
            </w:r>
          </w:p>
        </w:tc>
        <w:tc>
          <w:tcPr>
            <w:tcW w:w="1678"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2,287,643.94</w:t>
            </w:r>
          </w:p>
        </w:tc>
        <w:tc>
          <w:tcPr>
            <w:tcW w:w="1850"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145,049,135.06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其中：房屋、建筑物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85,041,959.74</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17,179,355.16</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1,340,665.66</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100,880,649.24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机器设备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66,975.00</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28,975.00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38,000.00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电子设备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36,205,451.35</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2,664,458.57</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884,741.98</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37,985,167.94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交通工具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3,921,343.60</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58,040.48</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3,979,384.08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办公家具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804,379.05</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152,693.05</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33,261.30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923,810.80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其他固定资产累计折旧 </w:t>
            </w:r>
          </w:p>
        </w:tc>
        <w:tc>
          <w:tcPr>
            <w:tcW w:w="1839" w:type="dxa"/>
            <w:noWrap w:val="0"/>
            <w:vAlign w:val="center"/>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1,164,450.84</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77,672.16</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1,242,123.00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三、固定资产账面净值合计</w:t>
            </w:r>
          </w:p>
        </w:tc>
        <w:tc>
          <w:tcPr>
            <w:tcW w:w="1839"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233,969,033.72</w:t>
            </w:r>
          </w:p>
        </w:tc>
        <w:tc>
          <w:tcPr>
            <w:tcW w:w="1713"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215,192,904.77</w:t>
            </w:r>
          </w:p>
        </w:tc>
        <w:tc>
          <w:tcPr>
            <w:tcW w:w="1678"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464,331.95</w:t>
            </w:r>
          </w:p>
        </w:tc>
        <w:tc>
          <w:tcPr>
            <w:tcW w:w="1850"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ascii="宋体" w:hAnsi="宋体" w:eastAsia="宋体" w:cs="宋体"/>
                <w:b/>
                <w:bCs/>
                <w:color w:val="auto"/>
                <w:kern w:val="0"/>
                <w:sz w:val="20"/>
                <w:szCs w:val="20"/>
                <w:highlight w:val="none"/>
                <w:lang w:bidi="ar"/>
              </w:rPr>
              <w:t>448,697,606.54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其中：房屋、建筑物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227,097,086.31</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216,615,553.47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424,791.32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443,287,848.46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机器设备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3,525.00</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0.00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1,525.00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2,000.00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电子设备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5,843,166.13</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-1,255,153.31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36,986.93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4,551,025.89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交通工具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185,281.98</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-58,040.48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0.00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127,241.50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办公家具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369,085.13</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-46,821.75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1,028.70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321,234.68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其他固定资产累计折旧 </w:t>
            </w:r>
          </w:p>
        </w:tc>
        <w:tc>
          <w:tcPr>
            <w:tcW w:w="1839"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470,889.17</w:t>
            </w:r>
          </w:p>
        </w:tc>
        <w:tc>
          <w:tcPr>
            <w:tcW w:w="1713"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-62,633.16 </w:t>
            </w:r>
          </w:p>
        </w:tc>
        <w:tc>
          <w:tcPr>
            <w:tcW w:w="1678"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0.00 </w:t>
            </w:r>
          </w:p>
        </w:tc>
        <w:tc>
          <w:tcPr>
            <w:tcW w:w="185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408,256.01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四、固定资产减值准备合计</w:t>
            </w:r>
          </w:p>
        </w:tc>
        <w:tc>
          <w:tcPr>
            <w:tcW w:w="1839"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9,903,978.00</w:t>
            </w:r>
          </w:p>
        </w:tc>
        <w:tc>
          <w:tcPr>
            <w:tcW w:w="171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678"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850"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9,903,978.00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五、固定资产清理</w:t>
            </w:r>
          </w:p>
        </w:tc>
        <w:tc>
          <w:tcPr>
            <w:tcW w:w="1839"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71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3,275,309.72</w:t>
            </w:r>
          </w:p>
        </w:tc>
        <w:tc>
          <w:tcPr>
            <w:tcW w:w="1678"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3,188,701.40</w:t>
            </w:r>
          </w:p>
        </w:tc>
        <w:tc>
          <w:tcPr>
            <w:tcW w:w="1850" w:type="dxa"/>
            <w:noWrap w:val="0"/>
            <w:vAlign w:val="center"/>
          </w:tcPr>
          <w:p>
            <w:pPr>
              <w:widowControl/>
              <w:jc w:val="right"/>
              <w:textAlignment w:val="center"/>
              <w:rPr>
                <w:rFonts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86,608.32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324" w:type="dxa"/>
            <w:noWrap w:val="0"/>
            <w:vAlign w:val="center"/>
          </w:tcPr>
          <w:p>
            <w:pP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六、固定资产账面价值合计</w:t>
            </w:r>
          </w:p>
        </w:tc>
        <w:tc>
          <w:tcPr>
            <w:tcW w:w="1839"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224,065,055.72</w:t>
            </w:r>
          </w:p>
        </w:tc>
        <w:tc>
          <w:tcPr>
            <w:tcW w:w="171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 xml:space="preserve">211,917,595.05 </w:t>
            </w:r>
          </w:p>
        </w:tc>
        <w:tc>
          <w:tcPr>
            <w:tcW w:w="1678"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 xml:space="preserve">-2,724,369.45 </w:t>
            </w:r>
          </w:p>
        </w:tc>
        <w:tc>
          <w:tcPr>
            <w:tcW w:w="1850"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438,707,020.22</w:t>
            </w:r>
          </w:p>
        </w:tc>
      </w:tr>
    </w:tbl>
    <w:p>
      <w:pPr>
        <w:spacing w:line="540" w:lineRule="exact"/>
        <w:ind w:firstLine="120" w:firstLineChars="50"/>
        <w:outlineLvl w:val="1"/>
        <w:rPr>
          <w:rFonts w:hint="default" w:ascii="Arial Narrow Regular" w:hAnsi="Arial Narrow Regular" w:eastAsia="宋体" w:cs="Arial Narrow Regular"/>
          <w:color w:val="auto"/>
          <w:sz w:val="24"/>
          <w:highlight w:val="none"/>
          <w:lang w:val="en-US" w:eastAsia="zh-CN"/>
        </w:rPr>
      </w:pPr>
      <w:r>
        <w:rPr>
          <w:rFonts w:hint="eastAsia" w:ascii="Arial Narrow Regular" w:hAnsi="Arial Narrow Regular" w:cs="Arial Narrow Regular"/>
          <w:color w:val="auto"/>
          <w:sz w:val="24"/>
          <w:highlight w:val="none"/>
        </w:rPr>
        <w:t>7.10</w:t>
      </w:r>
      <w:r>
        <w:rPr>
          <w:rFonts w:hint="eastAsia" w:ascii="Arial Narrow Regular" w:hAnsi="Arial Narrow Regular" w:cs="Arial Narrow Regular"/>
          <w:color w:val="auto"/>
          <w:sz w:val="24"/>
          <w:highlight w:val="none"/>
          <w:lang w:val="en-US" w:eastAsia="zh-CN"/>
        </w:rPr>
        <w:t>使用权资产</w:t>
      </w:r>
    </w:p>
    <w:tbl>
      <w:tblPr>
        <w:tblStyle w:val="12"/>
        <w:tblW w:w="5519" w:type="pct"/>
        <w:tblInd w:w="17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63"/>
        <w:gridCol w:w="1654"/>
        <w:gridCol w:w="1638"/>
        <w:gridCol w:w="1639"/>
        <w:gridCol w:w="25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1963" w:type="dxa"/>
            <w:tcBorders>
              <w:tl2br w:val="nil"/>
              <w:tr2bl w:val="nil"/>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eastAsia="宋体" w:cs="宋体"/>
                <w:b/>
                <w:bCs/>
                <w:color w:val="auto"/>
                <w:kern w:val="0"/>
                <w:sz w:val="20"/>
                <w:szCs w:val="20"/>
                <w:highlight w:val="none"/>
              </w:rPr>
              <w:t>项目</w:t>
            </w:r>
          </w:p>
        </w:tc>
        <w:tc>
          <w:tcPr>
            <w:tcW w:w="1654" w:type="dxa"/>
            <w:tcBorders>
              <w:tl2br w:val="nil"/>
              <w:tr2bl w:val="nil"/>
            </w:tcBorders>
            <w:noWrap w:val="0"/>
            <w:vAlign w:val="center"/>
          </w:tcPr>
          <w:p>
            <w:pPr>
              <w:widowControl/>
              <w:jc w:val="center"/>
              <w:rPr>
                <w:rFonts w:ascii="宋体" w:hAnsi="宋体" w:cs="宋体"/>
                <w:b/>
                <w:bCs/>
                <w:color w:val="auto"/>
                <w:kern w:val="0"/>
                <w:sz w:val="20"/>
                <w:szCs w:val="21"/>
                <w:highlight w:val="none"/>
              </w:rPr>
            </w:pPr>
            <w:r>
              <w:rPr>
                <w:rFonts w:hint="eastAsia" w:ascii="宋体" w:hAnsi="宋体" w:eastAsia="宋体" w:cs="宋体"/>
                <w:b/>
                <w:bCs/>
                <w:color w:val="auto"/>
                <w:kern w:val="0"/>
                <w:szCs w:val="21"/>
                <w:highlight w:val="none"/>
                <w:lang w:val="en-US" w:eastAsia="zh-CN"/>
              </w:rPr>
              <w:t>年</w:t>
            </w:r>
            <w:r>
              <w:rPr>
                <w:rFonts w:hint="eastAsia" w:ascii="宋体" w:hAnsi="宋体" w:eastAsia="宋体" w:cs="宋体"/>
                <w:b/>
                <w:bCs/>
                <w:color w:val="auto"/>
                <w:kern w:val="0"/>
                <w:szCs w:val="21"/>
                <w:highlight w:val="none"/>
              </w:rPr>
              <w:t>初余额</w:t>
            </w:r>
          </w:p>
        </w:tc>
        <w:tc>
          <w:tcPr>
            <w:tcW w:w="1638" w:type="dxa"/>
            <w:tcBorders>
              <w:tl2br w:val="nil"/>
              <w:tr2bl w:val="nil"/>
            </w:tcBorders>
            <w:noWrap w:val="0"/>
            <w:vAlign w:val="center"/>
          </w:tcPr>
          <w:p>
            <w:pPr>
              <w:widowControl/>
              <w:jc w:val="center"/>
              <w:rPr>
                <w:rFonts w:ascii="宋体" w:hAnsi="宋体" w:cs="宋体"/>
                <w:b/>
                <w:bCs/>
                <w:color w:val="auto"/>
                <w:kern w:val="0"/>
                <w:sz w:val="20"/>
                <w:szCs w:val="21"/>
                <w:highlight w:val="none"/>
              </w:rPr>
            </w:pPr>
            <w:r>
              <w:rPr>
                <w:rFonts w:hint="eastAsia" w:ascii="宋体" w:hAnsi="宋体" w:eastAsia="宋体" w:cs="宋体"/>
                <w:b/>
                <w:bCs/>
                <w:color w:val="auto"/>
                <w:kern w:val="0"/>
                <w:szCs w:val="21"/>
                <w:highlight w:val="none"/>
              </w:rPr>
              <w:t>本年增加</w:t>
            </w:r>
          </w:p>
        </w:tc>
        <w:tc>
          <w:tcPr>
            <w:tcW w:w="1639" w:type="dxa"/>
            <w:tcBorders>
              <w:tl2br w:val="nil"/>
              <w:tr2bl w:val="nil"/>
            </w:tcBorders>
            <w:noWrap w:val="0"/>
            <w:vAlign w:val="center"/>
          </w:tcPr>
          <w:p>
            <w:pPr>
              <w:widowControl/>
              <w:jc w:val="center"/>
              <w:rPr>
                <w:rFonts w:ascii="宋体" w:hAnsi="宋体" w:cs="宋体"/>
                <w:b/>
                <w:bCs/>
                <w:color w:val="auto"/>
                <w:kern w:val="0"/>
                <w:sz w:val="20"/>
                <w:szCs w:val="21"/>
                <w:highlight w:val="none"/>
              </w:rPr>
            </w:pPr>
            <w:r>
              <w:rPr>
                <w:rFonts w:hint="eastAsia" w:ascii="宋体" w:hAnsi="宋体" w:eastAsia="宋体" w:cs="宋体"/>
                <w:b/>
                <w:bCs/>
                <w:color w:val="auto"/>
                <w:kern w:val="0"/>
                <w:szCs w:val="21"/>
                <w:highlight w:val="none"/>
              </w:rPr>
              <w:t>本年减少</w:t>
            </w:r>
          </w:p>
        </w:tc>
        <w:tc>
          <w:tcPr>
            <w:tcW w:w="2513" w:type="dxa"/>
            <w:tcBorders>
              <w:tl2br w:val="nil"/>
              <w:tr2bl w:val="nil"/>
            </w:tcBorders>
            <w:noWrap w:val="0"/>
            <w:vAlign w:val="center"/>
          </w:tcPr>
          <w:p>
            <w:pPr>
              <w:widowControl/>
              <w:jc w:val="center"/>
              <w:rPr>
                <w:rFonts w:ascii="宋体" w:hAnsi="宋体" w:cs="宋体"/>
                <w:b/>
                <w:bCs/>
                <w:color w:val="auto"/>
                <w:kern w:val="0"/>
                <w:sz w:val="20"/>
                <w:szCs w:val="21"/>
                <w:highlight w:val="none"/>
              </w:rPr>
            </w:pPr>
            <w:r>
              <w:rPr>
                <w:rFonts w:hint="eastAsia" w:ascii="宋体" w:hAnsi="宋体" w:eastAsia="宋体" w:cs="宋体"/>
                <w:b/>
                <w:bCs/>
                <w:color w:val="auto"/>
                <w:kern w:val="0"/>
                <w:szCs w:val="21"/>
                <w:highlight w:val="none"/>
                <w:lang w:val="en-US" w:eastAsia="zh-CN"/>
              </w:rPr>
              <w:t>年</w:t>
            </w:r>
            <w:r>
              <w:rPr>
                <w:rFonts w:hint="eastAsia" w:ascii="宋体" w:hAnsi="宋体" w:eastAsia="宋体" w:cs="宋体"/>
                <w:b/>
                <w:bCs/>
                <w:color w:val="auto"/>
                <w:kern w:val="0"/>
                <w:szCs w:val="21"/>
                <w:highlight w:val="none"/>
              </w:rPr>
              <w:t>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963" w:type="dxa"/>
            <w:tcBorders>
              <w:tl2br w:val="nil"/>
              <w:tr2bl w:val="nil"/>
            </w:tcBorders>
            <w:noWrap w:val="0"/>
            <w:vAlign w:val="center"/>
          </w:tcPr>
          <w:p>
            <w:pPr>
              <w:spacing w:line="210" w:lineRule="exact"/>
              <w:jc w:val="both"/>
              <w:rPr>
                <w:rFonts w:hint="eastAsia"/>
                <w:b w:val="0"/>
                <w:bCs w:val="0"/>
                <w:color w:val="auto"/>
                <w:sz w:val="20"/>
                <w:szCs w:val="20"/>
                <w:highlight w:val="none"/>
              </w:rPr>
            </w:pPr>
            <w:r>
              <w:rPr>
                <w:rFonts w:hint="eastAsia" w:ascii="宋体" w:hAnsi="宋体" w:eastAsia="宋体" w:cs="Times New Roman"/>
                <w:b w:val="0"/>
                <w:bCs w:val="0"/>
                <w:color w:val="auto"/>
                <w:sz w:val="20"/>
                <w:szCs w:val="20"/>
                <w:highlight w:val="none"/>
                <w:lang w:val="en-US" w:eastAsia="zh-CN"/>
              </w:rPr>
              <w:t>使用权资产</w:t>
            </w:r>
          </w:p>
        </w:tc>
        <w:tc>
          <w:tcPr>
            <w:tcW w:w="1654"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0.00</w:t>
            </w:r>
          </w:p>
        </w:tc>
        <w:tc>
          <w:tcPr>
            <w:tcW w:w="1638"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 xml:space="preserve"> 9,823,679.14  </w:t>
            </w:r>
          </w:p>
        </w:tc>
        <w:tc>
          <w:tcPr>
            <w:tcW w:w="1639"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0.00</w:t>
            </w:r>
          </w:p>
        </w:tc>
        <w:tc>
          <w:tcPr>
            <w:tcW w:w="2513"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 xml:space="preserve"> 9,823,679.14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963" w:type="dxa"/>
            <w:tcBorders>
              <w:tl2br w:val="nil"/>
              <w:tr2bl w:val="nil"/>
            </w:tcBorders>
            <w:noWrap w:val="0"/>
            <w:vAlign w:val="center"/>
          </w:tcPr>
          <w:p>
            <w:pPr>
              <w:spacing w:line="210" w:lineRule="exact"/>
              <w:jc w:val="both"/>
              <w:rPr>
                <w:rFonts w:hint="eastAsia"/>
                <w:b w:val="0"/>
                <w:bCs w:val="0"/>
                <w:color w:val="auto"/>
                <w:sz w:val="20"/>
                <w:szCs w:val="20"/>
                <w:highlight w:val="none"/>
              </w:rPr>
            </w:pPr>
            <w:r>
              <w:rPr>
                <w:rFonts w:hint="eastAsia" w:ascii="宋体" w:hAnsi="宋体" w:eastAsia="宋体" w:cs="Times New Roman"/>
                <w:b w:val="0"/>
                <w:bCs w:val="0"/>
                <w:color w:val="auto"/>
                <w:sz w:val="20"/>
                <w:szCs w:val="20"/>
                <w:highlight w:val="none"/>
                <w:lang w:val="en-US" w:eastAsia="zh-CN"/>
              </w:rPr>
              <w:t>减：使用权资产累计折旧</w:t>
            </w:r>
          </w:p>
        </w:tc>
        <w:tc>
          <w:tcPr>
            <w:tcW w:w="1654"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0.00</w:t>
            </w:r>
          </w:p>
        </w:tc>
        <w:tc>
          <w:tcPr>
            <w:tcW w:w="1638"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2,343,574.91</w:t>
            </w:r>
          </w:p>
        </w:tc>
        <w:tc>
          <w:tcPr>
            <w:tcW w:w="1639"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0.00</w:t>
            </w:r>
          </w:p>
        </w:tc>
        <w:tc>
          <w:tcPr>
            <w:tcW w:w="2513" w:type="dxa"/>
            <w:tcBorders>
              <w:tl2br w:val="nil"/>
              <w:tr2bl w:val="nil"/>
            </w:tcBorders>
            <w:noWrap w:val="0"/>
            <w:vAlign w:val="center"/>
          </w:tcPr>
          <w:p>
            <w:pPr>
              <w:spacing w:beforeLines="0" w:afterLines="0"/>
              <w:jc w:val="right"/>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2,343,574.91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1963" w:type="dxa"/>
            <w:tcBorders>
              <w:tl2br w:val="nil"/>
              <w:tr2bl w:val="nil"/>
            </w:tcBorders>
            <w:noWrap w:val="0"/>
            <w:vAlign w:val="center"/>
          </w:tcPr>
          <w:p>
            <w:pPr>
              <w:spacing w:line="210" w:lineRule="exact"/>
              <w:jc w:val="center"/>
              <w:rPr>
                <w:rFonts w:ascii="宋体" w:hAnsi="宋体" w:cs="宋体"/>
                <w:b/>
                <w:bCs/>
                <w:color w:val="auto"/>
                <w:kern w:val="0"/>
                <w:sz w:val="20"/>
                <w:szCs w:val="20"/>
                <w:highlight w:val="none"/>
              </w:rPr>
            </w:pPr>
            <w:r>
              <w:rPr>
                <w:rFonts w:hint="eastAsia" w:ascii="宋体" w:hAnsi="宋体" w:eastAsia="宋体" w:cs="Times New Roman"/>
                <w:b/>
                <w:bCs/>
                <w:color w:val="auto"/>
                <w:sz w:val="20"/>
                <w:szCs w:val="20"/>
                <w:highlight w:val="none"/>
                <w:lang w:val="en-US" w:eastAsia="zh-CN"/>
              </w:rPr>
              <w:t>使用权资产净额</w:t>
            </w:r>
          </w:p>
        </w:tc>
        <w:tc>
          <w:tcPr>
            <w:tcW w:w="1654" w:type="dxa"/>
            <w:tcBorders>
              <w:tl2br w:val="nil"/>
              <w:tr2bl w:val="nil"/>
            </w:tcBorders>
            <w:noWrap w:val="0"/>
            <w:vAlign w:val="center"/>
          </w:tcPr>
          <w:p>
            <w:pPr>
              <w:spacing w:beforeLines="0" w:afterLines="0"/>
              <w:jc w:val="right"/>
              <w:rPr>
                <w:rFonts w:hint="eastAsia"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0.00</w:t>
            </w:r>
          </w:p>
        </w:tc>
        <w:tc>
          <w:tcPr>
            <w:tcW w:w="1638" w:type="dxa"/>
            <w:tcBorders>
              <w:tl2br w:val="nil"/>
              <w:tr2bl w:val="nil"/>
            </w:tcBorders>
            <w:noWrap w:val="0"/>
            <w:vAlign w:val="center"/>
          </w:tcPr>
          <w:p>
            <w:pPr>
              <w:spacing w:beforeLines="0" w:afterLines="0"/>
              <w:jc w:val="right"/>
              <w:rPr>
                <w:rFonts w:hint="eastAsia" w:ascii="宋体" w:hAnsi="宋体" w:eastAsia="宋体" w:cs="宋体"/>
                <w:b/>
                <w:bCs/>
                <w:color w:val="auto"/>
                <w:kern w:val="0"/>
                <w:sz w:val="20"/>
                <w:szCs w:val="20"/>
                <w:highlight w:val="none"/>
                <w:lang w:val="en-US" w:eastAsia="zh-CN"/>
              </w:rPr>
            </w:pPr>
            <w:r>
              <w:rPr>
                <w:rFonts w:hint="default" w:ascii="宋体" w:hAnsi="宋体" w:eastAsia="宋体" w:cs="宋体"/>
                <w:b/>
                <w:bCs/>
                <w:color w:val="auto"/>
                <w:kern w:val="0"/>
                <w:sz w:val="20"/>
                <w:szCs w:val="20"/>
                <w:highlight w:val="none"/>
              </w:rPr>
              <w:t xml:space="preserve"> 9,823,679.14</w:t>
            </w:r>
            <w:r>
              <w:rPr>
                <w:rFonts w:hint="eastAsia" w:ascii="宋体" w:hAnsi="宋体" w:eastAsia="宋体" w:cs="宋体"/>
                <w:b/>
                <w:bCs/>
                <w:color w:val="auto"/>
                <w:kern w:val="0"/>
                <w:sz w:val="20"/>
                <w:szCs w:val="20"/>
                <w:highlight w:val="none"/>
                <w:lang w:val="en-US" w:eastAsia="zh-CN"/>
              </w:rPr>
              <w:t xml:space="preserve"> </w:t>
            </w:r>
          </w:p>
        </w:tc>
        <w:tc>
          <w:tcPr>
            <w:tcW w:w="1639" w:type="dxa"/>
            <w:tcBorders>
              <w:tl2br w:val="nil"/>
              <w:tr2bl w:val="nil"/>
            </w:tcBorders>
            <w:noWrap w:val="0"/>
            <w:vAlign w:val="center"/>
          </w:tcPr>
          <w:p>
            <w:pPr>
              <w:spacing w:beforeLines="0" w:afterLines="0"/>
              <w:jc w:val="right"/>
              <w:rPr>
                <w:rFonts w:hint="eastAsia"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2,343,574.91</w:t>
            </w:r>
          </w:p>
        </w:tc>
        <w:tc>
          <w:tcPr>
            <w:tcW w:w="2513" w:type="dxa"/>
            <w:tcBorders>
              <w:tl2br w:val="nil"/>
              <w:tr2bl w:val="nil"/>
            </w:tcBorders>
            <w:noWrap w:val="0"/>
            <w:vAlign w:val="center"/>
          </w:tcPr>
          <w:p>
            <w:pPr>
              <w:spacing w:beforeLines="0" w:afterLines="0"/>
              <w:jc w:val="right"/>
              <w:rPr>
                <w:rFonts w:hint="eastAsia"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 xml:space="preserve"> 7,480,104.23 </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lang w:val="en-US" w:eastAsia="zh-CN"/>
        </w:rPr>
        <w:t>7.11</w:t>
      </w:r>
      <w:r>
        <w:rPr>
          <w:rFonts w:hint="eastAsia" w:ascii="Arial Narrow Regular" w:hAnsi="Arial Narrow Regular" w:cs="Arial Narrow Regular"/>
          <w:color w:val="auto"/>
          <w:sz w:val="24"/>
          <w:highlight w:val="none"/>
        </w:rPr>
        <w:t>在建工程</w:t>
      </w:r>
    </w:p>
    <w:tbl>
      <w:tblPr>
        <w:tblStyle w:val="12"/>
        <w:tblW w:w="9346"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86"/>
        <w:gridCol w:w="1830"/>
        <w:gridCol w:w="1664"/>
        <w:gridCol w:w="1696"/>
        <w:gridCol w:w="18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2286" w:type="dxa"/>
            <w:noWrap w:val="0"/>
            <w:vAlign w:val="center"/>
          </w:tcPr>
          <w:p>
            <w:pPr>
              <w:widowControl/>
              <w:jc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工程项目名称</w:t>
            </w:r>
          </w:p>
        </w:tc>
        <w:tc>
          <w:tcPr>
            <w:tcW w:w="1830" w:type="dxa"/>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64" w:type="dxa"/>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696" w:type="dxa"/>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870" w:type="dxa"/>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2286" w:type="dxa"/>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自用房屋及建筑物</w:t>
            </w:r>
          </w:p>
        </w:tc>
        <w:tc>
          <w:tcPr>
            <w:tcW w:w="1830" w:type="dxa"/>
            <w:noWrap w:val="0"/>
            <w:vAlign w:val="center"/>
          </w:tcPr>
          <w:p>
            <w:pPr>
              <w:widowControl/>
              <w:jc w:val="right"/>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65,181,432.28 </w:t>
            </w:r>
          </w:p>
        </w:tc>
        <w:tc>
          <w:tcPr>
            <w:tcW w:w="1664"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203,361,727.48</w:t>
            </w:r>
          </w:p>
        </w:tc>
        <w:tc>
          <w:tcPr>
            <w:tcW w:w="1696"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248,543,711.36</w:t>
            </w:r>
          </w:p>
        </w:tc>
        <w:tc>
          <w:tcPr>
            <w:tcW w:w="187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19,999,448.40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286" w:type="dxa"/>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电子设备类</w:t>
            </w:r>
          </w:p>
        </w:tc>
        <w:tc>
          <w:tcPr>
            <w:tcW w:w="183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64"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96"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7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286" w:type="dxa"/>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其他在建工程</w:t>
            </w:r>
          </w:p>
        </w:tc>
        <w:tc>
          <w:tcPr>
            <w:tcW w:w="183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64"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96"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7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286" w:type="dxa"/>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减：</w:t>
            </w:r>
            <w:r>
              <w:rPr>
                <w:rFonts w:hint="eastAsia" w:ascii="宋体" w:hAnsi="宋体" w:cs="宋体"/>
                <w:color w:val="auto"/>
                <w:kern w:val="0"/>
                <w:sz w:val="20"/>
                <w:szCs w:val="20"/>
                <w:highlight w:val="none"/>
              </w:rPr>
              <w:t>在建工程减值准备</w:t>
            </w:r>
          </w:p>
        </w:tc>
        <w:tc>
          <w:tcPr>
            <w:tcW w:w="183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5,000,000.00 </w:t>
            </w:r>
          </w:p>
        </w:tc>
        <w:tc>
          <w:tcPr>
            <w:tcW w:w="1664"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696"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70" w:type="dxa"/>
            <w:noWrap w:val="0"/>
            <w:vAlign w:val="center"/>
          </w:tcPr>
          <w:p>
            <w:pPr>
              <w:widowControl/>
              <w:jc w:val="right"/>
              <w:textAlignment w:val="bottom"/>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286" w:type="dxa"/>
            <w:noWrap w:val="0"/>
            <w:vAlign w:val="center"/>
          </w:tcPr>
          <w:p>
            <w:pPr>
              <w:widowControl/>
              <w:jc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合计</w:t>
            </w:r>
          </w:p>
        </w:tc>
        <w:tc>
          <w:tcPr>
            <w:tcW w:w="1830" w:type="dxa"/>
            <w:noWrap w:val="0"/>
            <w:vAlign w:val="center"/>
          </w:tcPr>
          <w:p>
            <w:pPr>
              <w:widowControl/>
              <w:jc w:val="right"/>
              <w:textAlignment w:val="center"/>
              <w:rPr>
                <w:rFonts w:hint="eastAsia" w:ascii="宋体" w:hAnsi="宋体" w:cs="宋体"/>
                <w:b/>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60,181,432.28 </w:t>
            </w:r>
          </w:p>
        </w:tc>
        <w:tc>
          <w:tcPr>
            <w:tcW w:w="1664"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203,361,727.48</w:t>
            </w:r>
          </w:p>
        </w:tc>
        <w:tc>
          <w:tcPr>
            <w:tcW w:w="1696" w:type="dxa"/>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248,543,711.36</w:t>
            </w:r>
          </w:p>
        </w:tc>
        <w:tc>
          <w:tcPr>
            <w:tcW w:w="1870"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14,999,448.40</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2</w:t>
      </w:r>
      <w:r>
        <w:rPr>
          <w:rFonts w:hint="eastAsia" w:ascii="Arial Narrow Regular" w:hAnsi="Arial Narrow Regular" w:cs="Arial Narrow Regular"/>
          <w:color w:val="auto"/>
          <w:sz w:val="24"/>
          <w:highlight w:val="none"/>
        </w:rPr>
        <w:t>无形资产</w:t>
      </w:r>
    </w:p>
    <w:tbl>
      <w:tblPr>
        <w:tblStyle w:val="12"/>
        <w:tblW w:w="9336" w:type="dxa"/>
        <w:tblInd w:w="250" w:type="dxa"/>
        <w:tblLayout w:type="fixed"/>
        <w:tblCellMar>
          <w:top w:w="0" w:type="dxa"/>
          <w:left w:w="108" w:type="dxa"/>
          <w:bottom w:w="0" w:type="dxa"/>
          <w:right w:w="108" w:type="dxa"/>
        </w:tblCellMar>
      </w:tblPr>
      <w:tblGrid>
        <w:gridCol w:w="2296"/>
        <w:gridCol w:w="1800"/>
        <w:gridCol w:w="1680"/>
        <w:gridCol w:w="1680"/>
        <w:gridCol w:w="1880"/>
      </w:tblGrid>
      <w:tr>
        <w:tblPrEx>
          <w:tblCellMar>
            <w:top w:w="0" w:type="dxa"/>
            <w:left w:w="108" w:type="dxa"/>
            <w:bottom w:w="0" w:type="dxa"/>
            <w:right w:w="108" w:type="dxa"/>
          </w:tblCellMar>
        </w:tblPrEx>
        <w:trPr>
          <w:trHeight w:val="285"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80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8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68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88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sz w:val="20"/>
                <w:szCs w:val="20"/>
                <w:highlight w:val="none"/>
              </w:rPr>
              <w:t>年末余额</w:t>
            </w:r>
          </w:p>
        </w:tc>
      </w:tr>
      <w:tr>
        <w:tblPrEx>
          <w:tblCellMar>
            <w:top w:w="0" w:type="dxa"/>
            <w:left w:w="108" w:type="dxa"/>
            <w:bottom w:w="0" w:type="dxa"/>
            <w:right w:w="108" w:type="dxa"/>
          </w:tblCellMar>
        </w:tblPrEx>
        <w:trPr>
          <w:trHeight w:val="90"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软件系统</w:t>
            </w:r>
          </w:p>
        </w:tc>
        <w:tc>
          <w:tcPr>
            <w:tcW w:w="1800" w:type="dxa"/>
            <w:tcBorders>
              <w:top w:val="single" w:color="auto" w:sz="8" w:space="0"/>
              <w:left w:val="single" w:color="auto" w:sz="8" w:space="0"/>
              <w:bottom w:val="single" w:color="auto" w:sz="8" w:space="0"/>
              <w:right w:val="single" w:color="auto" w:sz="8" w:space="0"/>
            </w:tcBorders>
            <w:noWrap w:val="0"/>
            <w:vAlign w:val="bottom"/>
          </w:tcPr>
          <w:p>
            <w:pPr>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7,151,730.09 </w:t>
            </w:r>
          </w:p>
        </w:tc>
        <w:tc>
          <w:tcPr>
            <w:tcW w:w="16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37,547.17</w:t>
            </w:r>
          </w:p>
        </w:tc>
        <w:tc>
          <w:tcPr>
            <w:tcW w:w="16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7,189,277.26</w:t>
            </w:r>
          </w:p>
        </w:tc>
      </w:tr>
      <w:tr>
        <w:trPr>
          <w:trHeight w:val="285"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spacing w:beforeLines="0" w:afterLines="0"/>
              <w:jc w:val="both"/>
              <w:rPr>
                <w:rFonts w:hint="eastAsia"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rPr>
              <w:t>无形资产累计摊销</w:t>
            </w:r>
          </w:p>
        </w:tc>
        <w:tc>
          <w:tcPr>
            <w:tcW w:w="1800" w:type="dxa"/>
            <w:tcBorders>
              <w:top w:val="single" w:color="auto" w:sz="8" w:space="0"/>
              <w:left w:val="single" w:color="auto" w:sz="8" w:space="0"/>
              <w:bottom w:val="single" w:color="auto" w:sz="8" w:space="0"/>
              <w:right w:val="single" w:color="auto" w:sz="8" w:space="0"/>
            </w:tcBorders>
            <w:noWrap w:val="0"/>
            <w:vAlign w:val="center"/>
          </w:tcPr>
          <w:p>
            <w:pPr>
              <w:spacing w:beforeLines="0" w:afterLines="0"/>
              <w:jc w:val="right"/>
              <w:rPr>
                <w:rFonts w:hint="eastAsia"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 3,000,863.23 </w:t>
            </w:r>
          </w:p>
        </w:tc>
        <w:tc>
          <w:tcPr>
            <w:tcW w:w="1680" w:type="dxa"/>
            <w:tcBorders>
              <w:top w:val="single" w:color="auto" w:sz="8" w:space="0"/>
              <w:left w:val="single" w:color="auto" w:sz="8" w:space="0"/>
              <w:bottom w:val="single" w:color="auto" w:sz="8" w:space="0"/>
              <w:right w:val="single" w:color="auto" w:sz="8" w:space="0"/>
            </w:tcBorders>
            <w:noWrap w:val="0"/>
            <w:vAlign w:val="top"/>
          </w:tcPr>
          <w:p>
            <w:pPr>
              <w:spacing w:beforeLines="0" w:afterLines="0"/>
              <w:jc w:val="right"/>
              <w:rPr>
                <w:rFonts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871,905.17</w:t>
            </w:r>
          </w:p>
        </w:tc>
        <w:tc>
          <w:tcPr>
            <w:tcW w:w="1680" w:type="dxa"/>
            <w:tcBorders>
              <w:top w:val="single" w:color="auto" w:sz="8" w:space="0"/>
              <w:left w:val="single" w:color="auto" w:sz="8" w:space="0"/>
              <w:bottom w:val="single" w:color="auto" w:sz="8" w:space="0"/>
              <w:right w:val="single" w:color="auto" w:sz="8" w:space="0"/>
            </w:tcBorders>
            <w:noWrap w:val="0"/>
            <w:vAlign w:val="top"/>
          </w:tcPr>
          <w:p>
            <w:pPr>
              <w:spacing w:beforeLines="0" w:afterLines="0"/>
              <w:jc w:val="right"/>
              <w:rPr>
                <w:rFonts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880" w:type="dxa"/>
            <w:tcBorders>
              <w:top w:val="single" w:color="auto" w:sz="8" w:space="0"/>
              <w:left w:val="single" w:color="auto" w:sz="8" w:space="0"/>
              <w:bottom w:val="single" w:color="auto" w:sz="8" w:space="0"/>
              <w:right w:val="single" w:color="auto" w:sz="8" w:space="0"/>
            </w:tcBorders>
            <w:noWrap w:val="0"/>
            <w:vAlign w:val="center"/>
          </w:tcPr>
          <w:p>
            <w:pPr>
              <w:spacing w:beforeLines="0" w:afterLines="0"/>
              <w:jc w:val="right"/>
              <w:rPr>
                <w:rFonts w:ascii="宋体" w:hAnsi="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3,872,768.40</w:t>
            </w:r>
          </w:p>
        </w:tc>
      </w:tr>
      <w:tr>
        <w:tblPrEx>
          <w:tblCellMar>
            <w:top w:w="0" w:type="dxa"/>
            <w:left w:w="108" w:type="dxa"/>
            <w:bottom w:w="0" w:type="dxa"/>
            <w:right w:w="108" w:type="dxa"/>
          </w:tblCellMar>
        </w:tblPrEx>
        <w:trPr>
          <w:trHeight w:val="285"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无形资产减值准备</w:t>
            </w:r>
          </w:p>
        </w:tc>
        <w:tc>
          <w:tcPr>
            <w:tcW w:w="1800" w:type="dxa"/>
            <w:tcBorders>
              <w:top w:val="single" w:color="auto" w:sz="8" w:space="0"/>
              <w:left w:val="single" w:color="auto" w:sz="8" w:space="0"/>
              <w:bottom w:val="single" w:color="auto" w:sz="8" w:space="0"/>
              <w:right w:val="single" w:color="auto" w:sz="8" w:space="0"/>
            </w:tcBorders>
            <w:noWrap w:val="0"/>
            <w:vAlign w:val="bottom"/>
          </w:tcPr>
          <w:p>
            <w:pPr>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100,000.00 </w:t>
            </w:r>
          </w:p>
        </w:tc>
        <w:tc>
          <w:tcPr>
            <w:tcW w:w="16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6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80"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100,000.00</w:t>
            </w:r>
          </w:p>
        </w:tc>
      </w:tr>
      <w:tr>
        <w:trPr>
          <w:trHeight w:val="285" w:hRule="atLeast"/>
        </w:trPr>
        <w:tc>
          <w:tcPr>
            <w:tcW w:w="229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净值</w:t>
            </w:r>
          </w:p>
        </w:tc>
        <w:tc>
          <w:tcPr>
            <w:tcW w:w="180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4,050,866.86 </w:t>
            </w:r>
          </w:p>
        </w:tc>
        <w:tc>
          <w:tcPr>
            <w:tcW w:w="168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37,547.17</w:t>
            </w:r>
          </w:p>
        </w:tc>
        <w:tc>
          <w:tcPr>
            <w:tcW w:w="168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871,905.17</w:t>
            </w:r>
          </w:p>
        </w:tc>
        <w:tc>
          <w:tcPr>
            <w:tcW w:w="188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3,216,508.86</w:t>
            </w:r>
          </w:p>
        </w:tc>
      </w:tr>
    </w:tbl>
    <w:p>
      <w:pPr>
        <w:spacing w:line="540" w:lineRule="exact"/>
        <w:ind w:firstLine="120" w:firstLineChars="50"/>
        <w:outlineLvl w:val="1"/>
        <w:rPr>
          <w:rFonts w:hint="eastAsia" w:ascii="宋体" w:hAnsi="宋体" w:cs="宋体"/>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递</w:t>
      </w:r>
      <w:r>
        <w:rPr>
          <w:rFonts w:hint="eastAsia" w:ascii="宋体" w:hAnsi="宋体" w:cs="宋体"/>
          <w:color w:val="auto"/>
          <w:sz w:val="24"/>
          <w:highlight w:val="none"/>
        </w:rPr>
        <w:t>延所得税资产</w:t>
      </w:r>
    </w:p>
    <w:tbl>
      <w:tblPr>
        <w:tblStyle w:val="12"/>
        <w:tblW w:w="9336" w:type="dxa"/>
        <w:tblInd w:w="250" w:type="dxa"/>
        <w:tblLayout w:type="fixed"/>
        <w:tblCellMar>
          <w:top w:w="0" w:type="dxa"/>
          <w:left w:w="108" w:type="dxa"/>
          <w:bottom w:w="0" w:type="dxa"/>
          <w:right w:w="108" w:type="dxa"/>
        </w:tblCellMar>
      </w:tblPr>
      <w:tblGrid>
        <w:gridCol w:w="2286"/>
        <w:gridCol w:w="1820"/>
        <w:gridCol w:w="1650"/>
        <w:gridCol w:w="1680"/>
        <w:gridCol w:w="1900"/>
      </w:tblGrid>
      <w:tr>
        <w:trPr>
          <w:trHeight w:val="292" w:hRule="atLeast"/>
          <w:tblHeader/>
        </w:trPr>
        <w:tc>
          <w:tcPr>
            <w:tcW w:w="228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  目</w:t>
            </w:r>
          </w:p>
        </w:tc>
        <w:tc>
          <w:tcPr>
            <w:tcW w:w="182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5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68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90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298" w:hRule="atLeast"/>
        </w:trPr>
        <w:tc>
          <w:tcPr>
            <w:tcW w:w="2286"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其他递延所得税资产</w:t>
            </w:r>
          </w:p>
        </w:tc>
        <w:tc>
          <w:tcPr>
            <w:tcW w:w="182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color w:val="auto"/>
                <w:kern w:val="0"/>
                <w:sz w:val="20"/>
                <w:szCs w:val="20"/>
                <w:highlight w:val="none"/>
                <w:lang w:bidi="ar"/>
              </w:rPr>
            </w:pPr>
          </w:p>
        </w:tc>
        <w:tc>
          <w:tcPr>
            <w:tcW w:w="1650" w:type="dxa"/>
            <w:tcBorders>
              <w:top w:val="nil"/>
              <w:left w:val="nil"/>
              <w:bottom w:val="single" w:color="auto" w:sz="8" w:space="0"/>
              <w:right w:val="single" w:color="auto" w:sz="8" w:space="0"/>
            </w:tcBorders>
            <w:noWrap w:val="0"/>
            <w:vAlign w:val="center"/>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254,449,398.25</w:t>
            </w:r>
          </w:p>
        </w:tc>
        <w:tc>
          <w:tcPr>
            <w:tcW w:w="1680" w:type="dxa"/>
            <w:tcBorders>
              <w:top w:val="nil"/>
              <w:left w:val="nil"/>
              <w:bottom w:val="single" w:color="auto" w:sz="8" w:space="0"/>
              <w:right w:val="single" w:color="auto" w:sz="8" w:space="0"/>
            </w:tcBorders>
            <w:noWrap w:val="0"/>
            <w:vAlign w:val="center"/>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35,669,484.20</w:t>
            </w:r>
          </w:p>
        </w:tc>
        <w:tc>
          <w:tcPr>
            <w:tcW w:w="1900" w:type="dxa"/>
            <w:tcBorders>
              <w:top w:val="nil"/>
              <w:left w:val="nil"/>
              <w:bottom w:val="single" w:color="auto" w:sz="8" w:space="0"/>
              <w:right w:val="single" w:color="auto" w:sz="8" w:space="0"/>
            </w:tcBorders>
            <w:noWrap w:val="0"/>
            <w:vAlign w:val="center"/>
          </w:tcPr>
          <w:p>
            <w:pPr>
              <w:wordWrap w:val="0"/>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218,779,914.05</w:t>
            </w:r>
          </w:p>
        </w:tc>
      </w:tr>
      <w:tr>
        <w:trPr>
          <w:trHeight w:val="247" w:hRule="atLeast"/>
        </w:trPr>
        <w:tc>
          <w:tcPr>
            <w:tcW w:w="2286"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可抵扣亏损形成的递延所得税资产</w:t>
            </w:r>
          </w:p>
        </w:tc>
        <w:tc>
          <w:tcPr>
            <w:tcW w:w="182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color w:val="auto"/>
                <w:kern w:val="0"/>
                <w:sz w:val="20"/>
                <w:szCs w:val="20"/>
                <w:highlight w:val="none"/>
                <w:lang w:bidi="ar"/>
              </w:rPr>
            </w:pPr>
          </w:p>
        </w:tc>
        <w:tc>
          <w:tcPr>
            <w:tcW w:w="1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4,064,504.56</w:t>
            </w:r>
          </w:p>
        </w:tc>
        <w:tc>
          <w:tcPr>
            <w:tcW w:w="16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9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4,064,504.56</w:t>
            </w:r>
          </w:p>
        </w:tc>
      </w:tr>
      <w:tr>
        <w:trPr>
          <w:trHeight w:val="247" w:hRule="atLeast"/>
        </w:trPr>
        <w:tc>
          <w:tcPr>
            <w:tcW w:w="2286"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资产减值准备</w:t>
            </w:r>
          </w:p>
        </w:tc>
        <w:tc>
          <w:tcPr>
            <w:tcW w:w="18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val="en-US" w:eastAsia="zh-CN" w:bidi="ar"/>
              </w:rPr>
              <w:t xml:space="preserve"> 232,382,139.40 </w:t>
            </w:r>
          </w:p>
        </w:tc>
        <w:tc>
          <w:tcPr>
            <w:tcW w:w="165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6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232,382,139.40</w:t>
            </w:r>
          </w:p>
        </w:tc>
        <w:tc>
          <w:tcPr>
            <w:tcW w:w="19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50" w:hRule="atLeast"/>
        </w:trPr>
        <w:tc>
          <w:tcPr>
            <w:tcW w:w="228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8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232,382,139.40  </w:t>
            </w:r>
            <w:r>
              <w:rPr>
                <w:rFonts w:hint="eastAsia" w:ascii="宋体" w:hAnsi="宋体" w:cs="宋体"/>
                <w:color w:val="auto"/>
                <w:kern w:val="0"/>
                <w:sz w:val="20"/>
                <w:szCs w:val="20"/>
                <w:highlight w:val="none"/>
                <w:lang w:bidi="ar"/>
              </w:rPr>
              <w:t xml:space="preserve"> </w:t>
            </w:r>
          </w:p>
        </w:tc>
        <w:tc>
          <w:tcPr>
            <w:tcW w:w="165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258,513,902.81</w:t>
            </w:r>
          </w:p>
        </w:tc>
        <w:tc>
          <w:tcPr>
            <w:tcW w:w="168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268,051,623.60</w:t>
            </w:r>
          </w:p>
        </w:tc>
        <w:tc>
          <w:tcPr>
            <w:tcW w:w="19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222,844,418.61</w:t>
            </w:r>
          </w:p>
        </w:tc>
      </w:tr>
    </w:tbl>
    <w:p>
      <w:pPr>
        <w:spacing w:line="540" w:lineRule="exact"/>
        <w:ind w:firstLine="240" w:firstLineChars="10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其他资产</w:t>
      </w:r>
    </w:p>
    <w:tbl>
      <w:tblPr>
        <w:tblStyle w:val="12"/>
        <w:tblW w:w="9355" w:type="dxa"/>
        <w:tblInd w:w="250" w:type="dxa"/>
        <w:tblLayout w:type="fixed"/>
        <w:tblCellMar>
          <w:top w:w="0" w:type="dxa"/>
          <w:left w:w="108" w:type="dxa"/>
          <w:bottom w:w="0" w:type="dxa"/>
          <w:right w:w="108" w:type="dxa"/>
        </w:tblCellMar>
      </w:tblPr>
      <w:tblGrid>
        <w:gridCol w:w="2410"/>
        <w:gridCol w:w="1701"/>
        <w:gridCol w:w="1706"/>
        <w:gridCol w:w="1837"/>
        <w:gridCol w:w="1701"/>
      </w:tblGrid>
      <w:tr>
        <w:tblPrEx>
          <w:tblCellMar>
            <w:top w:w="0" w:type="dxa"/>
            <w:left w:w="108" w:type="dxa"/>
            <w:bottom w:w="0" w:type="dxa"/>
            <w:right w:w="108" w:type="dxa"/>
          </w:tblCellMar>
        </w:tblPrEx>
        <w:trPr>
          <w:trHeight w:val="285" w:hRule="atLeast"/>
          <w:tblHeader/>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701"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706"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83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701"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numPr>
                <w:ilvl w:val="0"/>
                <w:numId w:val="8"/>
              </w:numPr>
              <w:rPr>
                <w:rFonts w:ascii="宋体" w:hAnsi="宋体" w:cs="宋体"/>
                <w:color w:val="auto"/>
                <w:kern w:val="0"/>
                <w:sz w:val="20"/>
                <w:szCs w:val="20"/>
                <w:highlight w:val="none"/>
              </w:rPr>
            </w:pPr>
            <w:r>
              <w:rPr>
                <w:rFonts w:hint="eastAsia" w:ascii="宋体" w:hAnsi="宋体" w:cs="宋体"/>
                <w:color w:val="auto"/>
                <w:kern w:val="0"/>
                <w:sz w:val="20"/>
                <w:szCs w:val="20"/>
                <w:highlight w:val="none"/>
              </w:rPr>
              <w:t>应收未收利息</w:t>
            </w:r>
          </w:p>
        </w:tc>
        <w:tc>
          <w:tcPr>
            <w:tcW w:w="1701"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41,066,618.57</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644,340,928.33</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569,500,244.75</w:t>
            </w:r>
          </w:p>
        </w:tc>
        <w:tc>
          <w:tcPr>
            <w:tcW w:w="1701"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115,907,302.15</w:t>
            </w:r>
          </w:p>
        </w:tc>
      </w:tr>
      <w:tr>
        <w:tblPrEx>
          <w:tblCellMar>
            <w:top w:w="0" w:type="dxa"/>
            <w:left w:w="108" w:type="dxa"/>
            <w:bottom w:w="0" w:type="dxa"/>
            <w:right w:w="108" w:type="dxa"/>
          </w:tblCellMar>
        </w:tblPrEx>
        <w:trPr>
          <w:trHeight w:val="330" w:hRule="atLeast"/>
        </w:trPr>
        <w:tc>
          <w:tcPr>
            <w:tcW w:w="2410"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2、其他应收款</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316,858,145.36</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195,699,278.97</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320,432,928.76</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192,124,495.57</w:t>
            </w:r>
          </w:p>
        </w:tc>
      </w:tr>
      <w:tr>
        <w:tblPrEx>
          <w:tblCellMar>
            <w:top w:w="0" w:type="dxa"/>
            <w:left w:w="108" w:type="dxa"/>
            <w:bottom w:w="0" w:type="dxa"/>
            <w:right w:w="108" w:type="dxa"/>
          </w:tblCellMar>
        </w:tblPrEx>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3、长期待摊费用</w:t>
            </w:r>
          </w:p>
        </w:tc>
        <w:tc>
          <w:tcPr>
            <w:tcW w:w="1701"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12,293,466.01</w:t>
            </w:r>
          </w:p>
        </w:tc>
        <w:tc>
          <w:tcPr>
            <w:tcW w:w="1706"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247,164.82</w:t>
            </w:r>
          </w:p>
        </w:tc>
        <w:tc>
          <w:tcPr>
            <w:tcW w:w="1837"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10,543,202.60</w:t>
            </w:r>
          </w:p>
        </w:tc>
        <w:tc>
          <w:tcPr>
            <w:tcW w:w="1701"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1,997,428.23</w:t>
            </w:r>
          </w:p>
        </w:tc>
      </w:tr>
      <w:tr>
        <w:tblPrEx>
          <w:tblCellMar>
            <w:top w:w="0" w:type="dxa"/>
            <w:left w:w="108" w:type="dxa"/>
            <w:bottom w:w="0" w:type="dxa"/>
            <w:right w:w="108" w:type="dxa"/>
          </w:tblCellMar>
        </w:tblPrEx>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4、抵债资产</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334,725,883.86</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88,094,117.82</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41,639.00</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422,778,362.68</w:t>
            </w:r>
          </w:p>
        </w:tc>
      </w:tr>
      <w:tr>
        <w:tblPrEx>
          <w:tblCellMar>
            <w:top w:w="0" w:type="dxa"/>
            <w:left w:w="108" w:type="dxa"/>
            <w:bottom w:w="0" w:type="dxa"/>
            <w:right w:w="108" w:type="dxa"/>
          </w:tblCellMar>
        </w:tblPrEx>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5、风险救助金出资款项</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125,457,300.00</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16,250,000.00</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109,207,300.00</w:t>
            </w:r>
          </w:p>
        </w:tc>
      </w:tr>
      <w:tr>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6-1其他应收款坏账准备</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3,830,325.06</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72,932,128.41</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10,481,809.36</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66,280,644.11</w:t>
            </w:r>
          </w:p>
        </w:tc>
      </w:tr>
      <w:tr>
        <w:tblPrEx>
          <w:tblCellMar>
            <w:top w:w="0" w:type="dxa"/>
            <w:left w:w="108" w:type="dxa"/>
            <w:bottom w:w="0" w:type="dxa"/>
            <w:right w:w="108" w:type="dxa"/>
          </w:tblCellMar>
        </w:tblPrEx>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b/>
                <w:bCs/>
                <w:color w:val="auto"/>
                <w:kern w:val="0"/>
                <w:sz w:val="20"/>
                <w:szCs w:val="20"/>
                <w:highlight w:val="none"/>
              </w:rPr>
            </w:pPr>
            <w:r>
              <w:rPr>
                <w:rFonts w:hint="eastAsia" w:ascii="宋体" w:hAnsi="宋体" w:cs="宋体"/>
                <w:color w:val="auto"/>
                <w:kern w:val="0"/>
                <w:sz w:val="20"/>
                <w:szCs w:val="20"/>
                <w:highlight w:val="none"/>
                <w:lang w:bidi="ar"/>
              </w:rPr>
              <w:t>6-2抵债资产减值准备</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173,114,700.00</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173,114,700.00</w:t>
            </w:r>
          </w:p>
        </w:tc>
      </w:tr>
      <w:tr>
        <w:trPr>
          <w:trHeight w:val="345" w:hRule="atLeast"/>
        </w:trPr>
        <w:tc>
          <w:tcPr>
            <w:tcW w:w="2410"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lang w:bidi="ar"/>
              </w:rPr>
              <w:t>653,456,388.74</w:t>
            </w:r>
          </w:p>
        </w:tc>
        <w:tc>
          <w:tcPr>
            <w:tcW w:w="1706"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855,449,361.53</w:t>
            </w:r>
          </w:p>
        </w:tc>
        <w:tc>
          <w:tcPr>
            <w:tcW w:w="1837"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906,286,205.75</w:t>
            </w:r>
          </w:p>
        </w:tc>
        <w:tc>
          <w:tcPr>
            <w:tcW w:w="170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rPr>
            </w:pPr>
            <w:r>
              <w:rPr>
                <w:rFonts w:ascii="宋体" w:hAnsi="宋体" w:cs="宋体"/>
                <w:b/>
                <w:bCs/>
                <w:color w:val="auto"/>
                <w:kern w:val="0"/>
                <w:sz w:val="20"/>
                <w:szCs w:val="20"/>
                <w:highlight w:val="none"/>
              </w:rPr>
              <w:t>602,619,544.52</w:t>
            </w:r>
          </w:p>
        </w:tc>
      </w:tr>
    </w:tbl>
    <w:p>
      <w:pPr>
        <w:spacing w:line="540" w:lineRule="exact"/>
        <w:ind w:firstLine="120" w:firstLineChars="50"/>
        <w:rPr>
          <w:rFonts w:hint="eastAsia" w:ascii="Arial Narrow Regular" w:hAnsi="Arial Narrow Regular" w:eastAsia="宋体" w:cs="Arial Narrow Regular"/>
          <w:color w:val="auto"/>
          <w:sz w:val="24"/>
          <w:highlight w:val="none"/>
        </w:rPr>
      </w:pPr>
      <w:r>
        <w:rPr>
          <w:rFonts w:hint="eastAsia" w:ascii="Arial Narrow Regular" w:hAnsi="Arial Narrow Regular" w:eastAsia="宋体" w:cs="Arial Narrow Regular"/>
          <w:color w:val="auto"/>
          <w:sz w:val="24"/>
          <w:highlight w:val="none"/>
        </w:rPr>
        <w:t>7.1</w:t>
      </w:r>
      <w:r>
        <w:rPr>
          <w:rFonts w:hint="eastAsia" w:ascii="Arial Narrow Regular" w:hAnsi="Arial Narrow Regular" w:eastAsia="宋体" w:cs="Arial Narrow Regular"/>
          <w:color w:val="auto"/>
          <w:sz w:val="24"/>
          <w:highlight w:val="none"/>
          <w:lang w:val="en-US" w:eastAsia="zh-CN"/>
        </w:rPr>
        <w:t>4</w:t>
      </w:r>
      <w:r>
        <w:rPr>
          <w:rFonts w:hint="eastAsia" w:ascii="Arial Narrow Regular" w:hAnsi="Arial Narrow Regular" w:eastAsia="宋体" w:cs="Arial Narrow Regular"/>
          <w:color w:val="auto"/>
          <w:sz w:val="24"/>
          <w:highlight w:val="none"/>
        </w:rPr>
        <w:t xml:space="preserve">.1应收利息 </w:t>
      </w:r>
    </w:p>
    <w:tbl>
      <w:tblPr>
        <w:tblStyle w:val="12"/>
        <w:tblW w:w="9376" w:type="dxa"/>
        <w:tblInd w:w="250" w:type="dxa"/>
        <w:tblLayout w:type="fixed"/>
        <w:tblCellMar>
          <w:top w:w="0" w:type="dxa"/>
          <w:left w:w="108" w:type="dxa"/>
          <w:bottom w:w="0" w:type="dxa"/>
          <w:right w:w="108" w:type="dxa"/>
        </w:tblCellMar>
      </w:tblPr>
      <w:tblGrid>
        <w:gridCol w:w="3082"/>
        <w:gridCol w:w="3084"/>
        <w:gridCol w:w="3210"/>
      </w:tblGrid>
      <w:tr>
        <w:tblPrEx>
          <w:tblCellMar>
            <w:top w:w="0" w:type="dxa"/>
            <w:left w:w="108" w:type="dxa"/>
            <w:bottom w:w="0" w:type="dxa"/>
            <w:right w:w="108" w:type="dxa"/>
          </w:tblCellMar>
        </w:tblPrEx>
        <w:trPr>
          <w:trHeight w:val="302" w:hRule="atLeast"/>
          <w:tblHeader/>
        </w:trPr>
        <w:tc>
          <w:tcPr>
            <w:tcW w:w="308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  目</w:t>
            </w:r>
          </w:p>
        </w:tc>
        <w:tc>
          <w:tcPr>
            <w:tcW w:w="3084"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1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
                <w:bCs/>
                <w:color w:val="auto"/>
                <w:kern w:val="0"/>
                <w:sz w:val="20"/>
                <w:szCs w:val="20"/>
                <w:highlight w:val="none"/>
              </w:rPr>
            </w:pPr>
            <w:r>
              <w:rPr>
                <w:rFonts w:hint="eastAsia" w:ascii="宋体" w:hAnsi="宋体" w:cs="宋体"/>
                <w:color w:val="auto"/>
                <w:kern w:val="0"/>
                <w:sz w:val="20"/>
                <w:szCs w:val="20"/>
                <w:highlight w:val="none"/>
              </w:rPr>
              <w:t>贷款应收未收利息</w:t>
            </w:r>
          </w:p>
        </w:tc>
        <w:tc>
          <w:tcPr>
            <w:tcW w:w="3084"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41,063,122.50 </w:t>
            </w:r>
          </w:p>
        </w:tc>
        <w:tc>
          <w:tcPr>
            <w:tcW w:w="3210"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115,904,745.56</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
                <w:bCs/>
                <w:color w:val="auto"/>
                <w:kern w:val="0"/>
                <w:sz w:val="20"/>
                <w:szCs w:val="20"/>
                <w:highlight w:val="none"/>
              </w:rPr>
            </w:pPr>
            <w:r>
              <w:rPr>
                <w:rFonts w:hint="eastAsia" w:ascii="宋体" w:hAnsi="宋体" w:cs="宋体"/>
                <w:color w:val="auto"/>
                <w:kern w:val="0"/>
                <w:sz w:val="20"/>
                <w:szCs w:val="20"/>
                <w:highlight w:val="none"/>
              </w:rPr>
              <w:t>信用卡透支应收未收利息</w:t>
            </w:r>
          </w:p>
        </w:tc>
        <w:tc>
          <w:tcPr>
            <w:tcW w:w="3084"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3,496.07 </w:t>
            </w:r>
          </w:p>
        </w:tc>
        <w:tc>
          <w:tcPr>
            <w:tcW w:w="3210"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2,556.59</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3084"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41,066,618.57 </w:t>
            </w:r>
          </w:p>
        </w:tc>
        <w:tc>
          <w:tcPr>
            <w:tcW w:w="3210" w:type="dxa"/>
            <w:tcBorders>
              <w:top w:val="nil"/>
              <w:left w:val="nil"/>
              <w:bottom w:val="single" w:color="auto" w:sz="8" w:space="0"/>
              <w:right w:val="single" w:color="auto" w:sz="8" w:space="0"/>
            </w:tcBorders>
            <w:noWrap w:val="0"/>
            <w:vAlign w:val="center"/>
          </w:tcPr>
          <w:p>
            <w:pPr>
              <w:widowControl/>
              <w:jc w:val="right"/>
              <w:textAlignment w:val="center"/>
              <w:rPr>
                <w:rFonts w:hint="eastAsia"/>
                <w:color w:val="auto"/>
                <w:sz w:val="20"/>
                <w:szCs w:val="20"/>
                <w:highlight w:val="none"/>
              </w:rPr>
            </w:pPr>
            <w:r>
              <w:rPr>
                <w:rFonts w:ascii="宋体" w:hAnsi="宋体" w:cs="宋体"/>
                <w:b/>
                <w:bCs/>
                <w:color w:val="auto"/>
                <w:kern w:val="0"/>
                <w:sz w:val="20"/>
                <w:szCs w:val="20"/>
                <w:highlight w:val="none"/>
                <w:lang w:bidi="ar"/>
              </w:rPr>
              <w:t xml:space="preserve">115,907,302.15 </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.2其他应收款</w:t>
      </w:r>
    </w:p>
    <w:tbl>
      <w:tblPr>
        <w:tblStyle w:val="12"/>
        <w:tblW w:w="9386" w:type="dxa"/>
        <w:tblInd w:w="250" w:type="dxa"/>
        <w:tblLayout w:type="fixed"/>
        <w:tblCellMar>
          <w:top w:w="0" w:type="dxa"/>
          <w:left w:w="108" w:type="dxa"/>
          <w:bottom w:w="0" w:type="dxa"/>
          <w:right w:w="108" w:type="dxa"/>
        </w:tblCellMar>
      </w:tblPr>
      <w:tblGrid>
        <w:gridCol w:w="3082"/>
        <w:gridCol w:w="3081"/>
        <w:gridCol w:w="3223"/>
      </w:tblGrid>
      <w:tr>
        <w:tblPrEx>
          <w:tblCellMar>
            <w:top w:w="0" w:type="dxa"/>
            <w:left w:w="108" w:type="dxa"/>
            <w:bottom w:w="0" w:type="dxa"/>
            <w:right w:w="108" w:type="dxa"/>
          </w:tblCellMar>
        </w:tblPrEx>
        <w:trPr>
          <w:trHeight w:val="340" w:hRule="atLeast"/>
          <w:tblHeader/>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暂付款项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180,347,916.51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1,690,160.99</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垫付诉讼费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5,602,580.68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6,121,985.68</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其他财务应收及暂付款项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26,766,265.07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27,272,305.06</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短期待摊租赁费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lang w:val="en-US" w:eastAsia="zh-CN"/>
              </w:rPr>
              <w:t>0.00</w:t>
            </w:r>
            <w:r>
              <w:rPr>
                <w:rFonts w:hint="eastAsia" w:ascii="宋体" w:hAnsi="宋体" w:cs="宋体"/>
                <w:bCs/>
                <w:color w:val="auto"/>
                <w:kern w:val="0"/>
                <w:sz w:val="20"/>
                <w:szCs w:val="20"/>
                <w:highlight w:val="none"/>
              </w:rPr>
              <w:t xml:space="preserve">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335,342.70 </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应收贷款批量转让款项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default" w:ascii="宋体" w:hAnsi="宋体" w:eastAsia="宋体" w:cs="宋体"/>
                <w:bCs/>
                <w:color w:val="auto"/>
                <w:kern w:val="0"/>
                <w:sz w:val="20"/>
                <w:szCs w:val="20"/>
                <w:highlight w:val="none"/>
                <w:lang w:val="en-US" w:eastAsia="zh-CN"/>
              </w:rPr>
            </w:pPr>
            <w:r>
              <w:rPr>
                <w:rFonts w:hint="eastAsia" w:ascii="宋体" w:hAnsi="宋体" w:cs="宋体"/>
                <w:bCs/>
                <w:color w:val="auto"/>
                <w:kern w:val="0"/>
                <w:sz w:val="20"/>
                <w:szCs w:val="20"/>
                <w:highlight w:val="none"/>
                <w:lang w:val="en-US" w:eastAsia="zh-CN"/>
              </w:rPr>
              <w:t>0.00</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153,020,000.00 </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应收费用</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8,882.07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5,816.87</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ascii="宋体" w:hAnsi="宋体" w:cs="宋体"/>
                <w:color w:val="auto"/>
                <w:kern w:val="0"/>
                <w:sz w:val="20"/>
                <w:szCs w:val="20"/>
                <w:highlight w:val="none"/>
              </w:rPr>
              <w:t>其他应收款项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104,132,501.03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3,678,884.27</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lang w:val="en-US" w:eastAsia="zh-CN"/>
              </w:rPr>
              <w:t>其他应收款账面价值</w:t>
            </w:r>
          </w:p>
        </w:tc>
        <w:tc>
          <w:tcPr>
            <w:tcW w:w="3081" w:type="dxa"/>
            <w:tcBorders>
              <w:top w:val="single" w:color="000000" w:sz="8" w:space="0"/>
              <w:left w:val="single" w:color="000000" w:sz="8" w:space="0"/>
              <w:bottom w:val="single" w:color="000000" w:sz="8" w:space="0"/>
              <w:right w:val="single" w:color="000000" w:sz="8" w:space="0"/>
            </w:tcBorders>
            <w:noWrap w:val="0"/>
            <w:vAlign w:val="bottom"/>
          </w:tcPr>
          <w:p>
            <w:pPr>
              <w:keepNext w:val="0"/>
              <w:keepLines w:val="0"/>
              <w:widowControl/>
              <w:suppressLineNumbers w:val="0"/>
              <w:jc w:val="right"/>
              <w:textAlignment w:val="bottom"/>
              <w:rPr>
                <w:rFonts w:hint="eastAsia" w:ascii="宋体" w:hAnsi="宋体" w:cs="宋体"/>
                <w:b/>
                <w:bCs/>
                <w:color w:val="auto"/>
                <w:kern w:val="0"/>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316,858,145.36</w:t>
            </w:r>
          </w:p>
        </w:tc>
        <w:tc>
          <w:tcPr>
            <w:tcW w:w="3223" w:type="dxa"/>
            <w:tcBorders>
              <w:top w:val="single" w:color="000000" w:sz="8" w:space="0"/>
              <w:left w:val="single" w:color="000000" w:sz="8" w:space="0"/>
              <w:bottom w:val="single" w:color="000000" w:sz="8" w:space="0"/>
              <w:right w:val="single" w:color="000000" w:sz="8" w:space="0"/>
            </w:tcBorders>
            <w:noWrap w:val="0"/>
            <w:vAlign w:val="bottom"/>
          </w:tcPr>
          <w:p>
            <w:pPr>
              <w:keepNext w:val="0"/>
              <w:keepLines w:val="0"/>
              <w:widowControl/>
              <w:suppressLineNumbers w:val="0"/>
              <w:jc w:val="right"/>
              <w:textAlignment w:val="bottom"/>
              <w:rPr>
                <w:rFonts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192,124,495.57</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b/>
                <w:bCs/>
                <w:color w:val="auto"/>
                <w:kern w:val="0"/>
                <w:sz w:val="20"/>
                <w:szCs w:val="20"/>
                <w:highlight w:val="none"/>
              </w:rPr>
            </w:pPr>
            <w:r>
              <w:rPr>
                <w:rFonts w:ascii="宋体" w:hAnsi="宋体" w:cs="宋体"/>
                <w:b/>
                <w:bCs/>
                <w:color w:val="auto"/>
                <w:kern w:val="0"/>
                <w:sz w:val="20"/>
                <w:szCs w:val="20"/>
                <w:highlight w:val="none"/>
              </w:rPr>
              <w:t>风险救助金出资款项</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xml:space="preserve"> 125,457,300.00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109,207,300.00</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减：其他应收款坏账准备</w:t>
            </w:r>
          </w:p>
        </w:tc>
        <w:tc>
          <w:tcPr>
            <w:tcW w:w="3081" w:type="dxa"/>
            <w:tcBorders>
              <w:top w:val="single" w:color="000000" w:sz="8" w:space="0"/>
              <w:left w:val="single" w:color="000000" w:sz="8" w:space="0"/>
              <w:bottom w:val="single" w:color="000000" w:sz="8" w:space="0"/>
              <w:right w:val="single" w:color="000000" w:sz="8" w:space="0"/>
            </w:tcBorders>
            <w:noWrap w:val="0"/>
            <w:vAlign w:val="center"/>
          </w:tcPr>
          <w:p>
            <w:pPr>
              <w:widowControl/>
              <w:jc w:val="right"/>
              <w:textAlignment w:val="bottom"/>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 xml:space="preserve"> 3,830,325.06 </w:t>
            </w:r>
          </w:p>
        </w:tc>
        <w:tc>
          <w:tcPr>
            <w:tcW w:w="3223"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66,280,644.11</w:t>
            </w:r>
          </w:p>
        </w:tc>
      </w:tr>
      <w:tr>
        <w:tblPrEx>
          <w:tblCellMar>
            <w:top w:w="0" w:type="dxa"/>
            <w:left w:w="108" w:type="dxa"/>
            <w:bottom w:w="0" w:type="dxa"/>
            <w:right w:w="108" w:type="dxa"/>
          </w:tblCellMar>
        </w:tblPrEx>
        <w:trPr>
          <w:trHeight w:val="340" w:hRule="atLeast"/>
        </w:trPr>
        <w:tc>
          <w:tcPr>
            <w:tcW w:w="3082"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净值</w:t>
            </w:r>
          </w:p>
        </w:tc>
        <w:tc>
          <w:tcPr>
            <w:tcW w:w="3081" w:type="dxa"/>
            <w:tcBorders>
              <w:top w:val="single" w:color="000000" w:sz="8" w:space="0"/>
              <w:left w:val="single" w:color="000000" w:sz="8" w:space="0"/>
              <w:bottom w:val="single" w:color="000000" w:sz="8" w:space="0"/>
              <w:right w:val="single" w:color="000000" w:sz="8" w:space="0"/>
            </w:tcBorders>
            <w:noWrap w:val="0"/>
            <w:vAlign w:val="bottom"/>
          </w:tcPr>
          <w:p>
            <w:pPr>
              <w:widowControl/>
              <w:jc w:val="right"/>
              <w:textAlignment w:val="bottom"/>
              <w:rPr>
                <w:rFonts w:hint="eastAsia" w:ascii="宋体" w:hAnsi="宋体" w:cs="宋体"/>
                <w:b/>
                <w:color w:val="auto"/>
                <w:kern w:val="0"/>
                <w:sz w:val="20"/>
                <w:szCs w:val="20"/>
                <w:highlight w:val="none"/>
              </w:rPr>
            </w:pPr>
            <w:r>
              <w:rPr>
                <w:rFonts w:ascii="宋体" w:hAnsi="宋体" w:cs="宋体"/>
                <w:b/>
                <w:color w:val="auto"/>
                <w:kern w:val="0"/>
                <w:sz w:val="20"/>
                <w:szCs w:val="20"/>
                <w:highlight w:val="none"/>
              </w:rPr>
              <w:t xml:space="preserve"> 438,485,120.30 </w:t>
            </w:r>
          </w:p>
        </w:tc>
        <w:tc>
          <w:tcPr>
            <w:tcW w:w="3223" w:type="dxa"/>
            <w:tcBorders>
              <w:top w:val="single" w:color="000000" w:sz="8" w:space="0"/>
              <w:left w:val="single" w:color="000000" w:sz="8" w:space="0"/>
              <w:bottom w:val="single" w:color="000000" w:sz="8" w:space="0"/>
              <w:right w:val="single" w:color="000000" w:sz="8" w:space="0"/>
            </w:tcBorders>
            <w:noWrap w:val="0"/>
            <w:vAlign w:val="bottom"/>
          </w:tcPr>
          <w:p>
            <w:pPr>
              <w:widowControl/>
              <w:jc w:val="right"/>
              <w:textAlignment w:val="bottom"/>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235,051,151.46</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.3长期待摊费用</w:t>
      </w:r>
    </w:p>
    <w:tbl>
      <w:tblPr>
        <w:tblStyle w:val="12"/>
        <w:tblW w:w="9386" w:type="dxa"/>
        <w:tblInd w:w="250" w:type="dxa"/>
        <w:tblLayout w:type="fixed"/>
        <w:tblCellMar>
          <w:top w:w="0" w:type="dxa"/>
          <w:left w:w="108" w:type="dxa"/>
          <w:bottom w:w="0" w:type="dxa"/>
          <w:right w:w="108" w:type="dxa"/>
        </w:tblCellMar>
      </w:tblPr>
      <w:tblGrid>
        <w:gridCol w:w="2410"/>
        <w:gridCol w:w="1701"/>
        <w:gridCol w:w="1715"/>
        <w:gridCol w:w="1829"/>
        <w:gridCol w:w="1731"/>
      </w:tblGrid>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项目</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年初余额</w:t>
            </w:r>
          </w:p>
        </w:tc>
        <w:tc>
          <w:tcPr>
            <w:tcW w:w="1715"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本年增加</w:t>
            </w:r>
          </w:p>
        </w:tc>
        <w:tc>
          <w:tcPr>
            <w:tcW w:w="1829"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本年减少</w:t>
            </w:r>
          </w:p>
        </w:tc>
        <w:tc>
          <w:tcPr>
            <w:tcW w:w="1731"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年末余额</w:t>
            </w:r>
          </w:p>
        </w:tc>
      </w:tr>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低价值资产长期租金</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7,621,468.38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7,620,542.60</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925.78</w:t>
            </w:r>
          </w:p>
        </w:tc>
      </w:tr>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宣传（广告）费</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16,981.14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16,981.14</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改良及大修理支出</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3,511,919.75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2,212,340.87</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1,299,578.88</w:t>
            </w:r>
          </w:p>
        </w:tc>
      </w:tr>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低值易耗品摊销</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377,171.92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224,562.93</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152,608.99</w:t>
            </w:r>
          </w:p>
        </w:tc>
      </w:tr>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系统服务费</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180,763.80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168,942.62</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197,323.75</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152,382.67</w:t>
            </w:r>
          </w:p>
        </w:tc>
      </w:tr>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其他待摊费用</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585,161.02 </w:t>
            </w:r>
          </w:p>
        </w:tc>
        <w:tc>
          <w:tcPr>
            <w:tcW w:w="1715"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78,222.20</w:t>
            </w:r>
          </w:p>
        </w:tc>
        <w:tc>
          <w:tcPr>
            <w:tcW w:w="1829"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271,451.31</w:t>
            </w:r>
          </w:p>
        </w:tc>
        <w:tc>
          <w:tcPr>
            <w:tcW w:w="1731" w:type="dxa"/>
            <w:tcBorders>
              <w:top w:val="single" w:color="auto" w:sz="8" w:space="0"/>
              <w:left w:val="single" w:color="auto" w:sz="8" w:space="0"/>
              <w:bottom w:val="single" w:color="auto" w:sz="8" w:space="0"/>
              <w:right w:val="single" w:color="auto" w:sz="8" w:space="0"/>
            </w:tcBorders>
            <w:noWrap w:val="0"/>
            <w:vAlign w:val="top"/>
          </w:tcPr>
          <w:p>
            <w:pPr>
              <w:widowControl/>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391,931.91</w:t>
            </w:r>
          </w:p>
        </w:tc>
      </w:tr>
      <w:tr>
        <w:tblPrEx>
          <w:tblCellMar>
            <w:top w:w="0" w:type="dxa"/>
            <w:left w:w="108" w:type="dxa"/>
            <w:bottom w:w="0" w:type="dxa"/>
            <w:right w:w="108" w:type="dxa"/>
          </w:tblCellMar>
        </w:tblPrEx>
        <w:trPr>
          <w:trHeight w:val="285" w:hRule="atLeast"/>
        </w:trPr>
        <w:tc>
          <w:tcPr>
            <w:tcW w:w="241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color w:val="auto"/>
                <w:sz w:val="20"/>
                <w:szCs w:val="20"/>
                <w:highlight w:val="none"/>
              </w:rPr>
            </w:pPr>
            <w:r>
              <w:rPr>
                <w:rFonts w:hint="eastAsia" w:ascii="宋体" w:hAnsi="宋体" w:cs="宋体"/>
                <w:b/>
                <w:bCs/>
                <w:color w:val="auto"/>
                <w:kern w:val="0"/>
                <w:sz w:val="20"/>
                <w:szCs w:val="20"/>
                <w:highlight w:val="none"/>
                <w:lang w:bidi="ar"/>
              </w:rPr>
              <w:t>12,293,466.01</w:t>
            </w:r>
          </w:p>
        </w:tc>
        <w:tc>
          <w:tcPr>
            <w:tcW w:w="171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 xml:space="preserve"> 247,164.82 </w:t>
            </w:r>
          </w:p>
        </w:tc>
        <w:tc>
          <w:tcPr>
            <w:tcW w:w="182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 xml:space="preserve"> 10,543,202.60 </w:t>
            </w:r>
          </w:p>
        </w:tc>
        <w:tc>
          <w:tcPr>
            <w:tcW w:w="173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cs="宋体"/>
                <w:b/>
                <w:bCs/>
                <w:color w:val="auto"/>
                <w:kern w:val="0"/>
                <w:sz w:val="20"/>
                <w:szCs w:val="20"/>
                <w:highlight w:val="none"/>
                <w:lang w:bidi="ar"/>
              </w:rPr>
            </w:pPr>
            <w:r>
              <w:rPr>
                <w:rFonts w:hint="eastAsia" w:ascii="宋体" w:hAnsi="宋体" w:eastAsia="宋体" w:cs="宋体"/>
                <w:b/>
                <w:bCs/>
                <w:i w:val="0"/>
                <w:iCs w:val="0"/>
                <w:color w:val="auto"/>
                <w:kern w:val="0"/>
                <w:sz w:val="20"/>
                <w:szCs w:val="20"/>
                <w:highlight w:val="none"/>
                <w:u w:val="none"/>
                <w:lang w:val="en-US" w:eastAsia="zh-CN" w:bidi="ar"/>
              </w:rPr>
              <w:t xml:space="preserve"> 1,997,428.23 </w:t>
            </w:r>
          </w:p>
        </w:tc>
      </w:tr>
    </w:tbl>
    <w:p>
      <w:pPr>
        <w:spacing w:line="520" w:lineRule="exact"/>
        <w:ind w:firstLine="480" w:firstLineChars="200"/>
        <w:rPr>
          <w:rFonts w:hint="eastAsia" w:ascii="Arial Narrow" w:hAnsi="Arial Narrow"/>
          <w:color w:val="auto"/>
          <w:sz w:val="24"/>
          <w:highlight w:val="none"/>
        </w:rPr>
      </w:pPr>
      <w:r>
        <w:rPr>
          <w:rFonts w:hint="eastAsia" w:ascii="宋体" w:hAnsi="宋体" w:cs="宋体"/>
          <w:color w:val="auto"/>
          <w:sz w:val="24"/>
          <w:highlight w:val="none"/>
        </w:rPr>
        <w:t>注：增加为购入，减少为本期摊销。</w:t>
      </w:r>
    </w:p>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.4抵债资产</w:t>
      </w:r>
    </w:p>
    <w:tbl>
      <w:tblPr>
        <w:tblStyle w:val="12"/>
        <w:tblW w:w="9366" w:type="dxa"/>
        <w:tblInd w:w="250" w:type="dxa"/>
        <w:tblLayout w:type="fixed"/>
        <w:tblCellMar>
          <w:top w:w="0" w:type="dxa"/>
          <w:left w:w="108" w:type="dxa"/>
          <w:bottom w:w="0" w:type="dxa"/>
          <w:right w:w="108" w:type="dxa"/>
        </w:tblCellMar>
      </w:tblPr>
      <w:tblGrid>
        <w:gridCol w:w="3082"/>
        <w:gridCol w:w="3081"/>
        <w:gridCol w:w="3203"/>
      </w:tblGrid>
      <w:tr>
        <w:tblPrEx>
          <w:tblCellMar>
            <w:top w:w="0" w:type="dxa"/>
            <w:left w:w="108" w:type="dxa"/>
            <w:bottom w:w="0" w:type="dxa"/>
            <w:right w:w="108" w:type="dxa"/>
          </w:tblCellMar>
        </w:tblPrEx>
        <w:trPr>
          <w:trHeight w:val="431" w:hRule="atLeast"/>
          <w:tblHeader/>
        </w:trPr>
        <w:tc>
          <w:tcPr>
            <w:tcW w:w="308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3081"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20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房屋及建筑物</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hint="eastAsia" w:ascii="宋体" w:hAnsi="宋体" w:cs="宋体"/>
                <w:color w:val="auto"/>
                <w:kern w:val="0"/>
                <w:sz w:val="20"/>
                <w:szCs w:val="20"/>
                <w:highlight w:val="none"/>
                <w:lang w:bidi="ar"/>
              </w:rPr>
              <w:t xml:space="preserve"> 330,845,579.12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ascii="宋体" w:hAnsi="宋体"/>
                <w:color w:val="auto"/>
                <w:sz w:val="20"/>
                <w:szCs w:val="20"/>
                <w:highlight w:val="none"/>
              </w:rPr>
              <w:t>418,903,277.94</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土地使用权抵债资产</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hint="eastAsia" w:ascii="宋体" w:hAnsi="宋体" w:cs="宋体"/>
                <w:color w:val="auto"/>
                <w:kern w:val="0"/>
                <w:sz w:val="20"/>
                <w:szCs w:val="20"/>
                <w:highlight w:val="none"/>
                <w:lang w:bidi="ar"/>
              </w:rPr>
              <w:t xml:space="preserve"> 3,323,760.00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ascii="宋体" w:hAnsi="宋体"/>
                <w:color w:val="auto"/>
                <w:sz w:val="20"/>
                <w:szCs w:val="20"/>
                <w:highlight w:val="none"/>
              </w:rPr>
              <w:t>3,323,760.00</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其他抵债资产</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 xml:space="preserve"> 559,924.69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sz w:val="20"/>
                <w:szCs w:val="20"/>
                <w:highlight w:val="none"/>
              </w:rPr>
            </w:pPr>
            <w:r>
              <w:rPr>
                <w:rFonts w:ascii="宋体" w:hAnsi="宋体"/>
                <w:color w:val="auto"/>
                <w:sz w:val="20"/>
                <w:szCs w:val="20"/>
                <w:highlight w:val="none"/>
              </w:rPr>
              <w:t>554,704.69</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b/>
                <w:bCs/>
                <w:color w:val="auto"/>
                <w:kern w:val="0"/>
                <w:sz w:val="20"/>
                <w:szCs w:val="20"/>
                <w:highlight w:val="none"/>
              </w:rPr>
            </w:pPr>
            <w:r>
              <w:rPr>
                <w:rFonts w:hint="eastAsia" w:ascii="宋体" w:hAnsi="宋体" w:cs="宋体"/>
                <w:color w:val="auto"/>
                <w:kern w:val="0"/>
                <w:sz w:val="20"/>
                <w:szCs w:val="20"/>
                <w:highlight w:val="none"/>
                <w:lang w:bidi="ar"/>
              </w:rPr>
              <w:t>抵债资产待变现利息</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 xml:space="preserve"> -3,379.95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olor w:val="auto"/>
                <w:sz w:val="20"/>
                <w:szCs w:val="20"/>
                <w:highlight w:val="none"/>
              </w:rPr>
            </w:pPr>
            <w:r>
              <w:rPr>
                <w:rFonts w:hint="eastAsia" w:ascii="宋体" w:hAnsi="宋体"/>
                <w:color w:val="auto"/>
                <w:sz w:val="20"/>
                <w:szCs w:val="20"/>
                <w:highlight w:val="none"/>
              </w:rPr>
              <w:t>-</w:t>
            </w:r>
            <w:r>
              <w:rPr>
                <w:rFonts w:ascii="宋体" w:hAnsi="宋体"/>
                <w:color w:val="auto"/>
                <w:sz w:val="20"/>
                <w:szCs w:val="20"/>
                <w:highlight w:val="none"/>
              </w:rPr>
              <w:t>3,379.95</w:t>
            </w:r>
          </w:p>
        </w:tc>
      </w:tr>
      <w:tr>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合计</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hint="eastAsia" w:ascii="宋体" w:hAnsi="宋体" w:cs="宋体"/>
                <w:b/>
                <w:bCs/>
                <w:color w:val="auto"/>
                <w:kern w:val="0"/>
                <w:sz w:val="20"/>
                <w:szCs w:val="20"/>
                <w:highlight w:val="none"/>
                <w:lang w:bidi="ar"/>
              </w:rPr>
              <w:t xml:space="preserve"> 334,725,883.86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ascii="宋体" w:hAnsi="宋体"/>
                <w:b/>
                <w:bCs/>
                <w:color w:val="auto"/>
                <w:sz w:val="20"/>
                <w:szCs w:val="20"/>
                <w:highlight w:val="none"/>
              </w:rPr>
              <w:t>422,778,362.68</w:t>
            </w:r>
          </w:p>
        </w:tc>
      </w:tr>
      <w:tr>
        <w:tblPrEx>
          <w:tblCellMar>
            <w:top w:w="0" w:type="dxa"/>
            <w:left w:w="108" w:type="dxa"/>
            <w:bottom w:w="0" w:type="dxa"/>
            <w:right w:w="108" w:type="dxa"/>
          </w:tblCellMar>
        </w:tblPrEx>
        <w:trPr>
          <w:trHeight w:val="6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抵债资产减值准备</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173,114,700.00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olor w:val="auto"/>
                <w:sz w:val="20"/>
                <w:szCs w:val="20"/>
                <w:highlight w:val="none"/>
              </w:rPr>
            </w:pPr>
            <w:r>
              <w:rPr>
                <w:rFonts w:ascii="宋体" w:hAnsi="宋体"/>
                <w:color w:val="auto"/>
                <w:sz w:val="20"/>
                <w:szCs w:val="20"/>
                <w:highlight w:val="none"/>
              </w:rPr>
              <w:t>173,114,700.00</w:t>
            </w:r>
          </w:p>
        </w:tc>
      </w:tr>
      <w:tr>
        <w:tblPrEx>
          <w:tblCellMar>
            <w:top w:w="0" w:type="dxa"/>
            <w:left w:w="108" w:type="dxa"/>
            <w:bottom w:w="0" w:type="dxa"/>
            <w:right w:w="108" w:type="dxa"/>
          </w:tblCellMar>
        </w:tblPrEx>
        <w:trPr>
          <w:trHeight w:val="340" w:hRule="atLeast"/>
        </w:trPr>
        <w:tc>
          <w:tcPr>
            <w:tcW w:w="3082"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净值</w:t>
            </w:r>
          </w:p>
        </w:tc>
        <w:tc>
          <w:tcPr>
            <w:tcW w:w="3081"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161,611,183.86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b/>
                <w:bCs/>
                <w:color w:val="auto"/>
                <w:sz w:val="20"/>
                <w:szCs w:val="20"/>
                <w:highlight w:val="none"/>
              </w:rPr>
            </w:pPr>
            <w:r>
              <w:rPr>
                <w:rFonts w:ascii="宋体" w:hAnsi="宋体"/>
                <w:b/>
                <w:bCs/>
                <w:color w:val="auto"/>
                <w:sz w:val="20"/>
                <w:szCs w:val="20"/>
                <w:highlight w:val="none"/>
              </w:rPr>
              <w:t>249,663,662.68</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5</w:t>
      </w:r>
      <w:r>
        <w:rPr>
          <w:rFonts w:hint="eastAsia" w:ascii="Arial Narrow Regular" w:hAnsi="Arial Narrow Regular" w:cs="Arial Narrow Regular"/>
          <w:color w:val="auto"/>
          <w:sz w:val="24"/>
          <w:highlight w:val="none"/>
        </w:rPr>
        <w:t>向中央银行借款</w:t>
      </w:r>
    </w:p>
    <w:tbl>
      <w:tblPr>
        <w:tblStyle w:val="12"/>
        <w:tblW w:w="9396"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1843"/>
        <w:gridCol w:w="1984"/>
        <w:gridCol w:w="1843"/>
        <w:gridCol w:w="20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701"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843"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984"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843"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2025"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701" w:type="dxa"/>
            <w:noWrap w:val="0"/>
            <w:vAlign w:val="top"/>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借入支农再贷款</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808,000,000.00</w:t>
            </w:r>
          </w:p>
        </w:tc>
        <w:tc>
          <w:tcPr>
            <w:tcW w:w="1984"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860,000,000.00</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809,000,000.00</w:t>
            </w:r>
          </w:p>
        </w:tc>
        <w:tc>
          <w:tcPr>
            <w:tcW w:w="2025"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859,000,000.00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701" w:type="dxa"/>
            <w:noWrap w:val="0"/>
            <w:vAlign w:val="top"/>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借入支小再贷款</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480,000,000.00</w:t>
            </w:r>
          </w:p>
        </w:tc>
        <w:tc>
          <w:tcPr>
            <w:tcW w:w="1984"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330,000,000.00</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330,000,000.00</w:t>
            </w:r>
          </w:p>
        </w:tc>
        <w:tc>
          <w:tcPr>
            <w:tcW w:w="2025"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480,000,000.00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701" w:type="dxa"/>
            <w:noWrap w:val="0"/>
            <w:vAlign w:val="top"/>
          </w:tcPr>
          <w:p>
            <w:pPr>
              <w:widowControl/>
              <w:jc w:val="lef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借入其他再贷款</w:t>
            </w:r>
          </w:p>
        </w:tc>
        <w:tc>
          <w:tcPr>
            <w:tcW w:w="184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984" w:type="dxa"/>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43" w:type="dxa"/>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2025"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701"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843" w:type="dxa"/>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1,288,000,000.00</w:t>
            </w:r>
          </w:p>
        </w:tc>
        <w:tc>
          <w:tcPr>
            <w:tcW w:w="1984"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1,190,000,000.00</w:t>
            </w:r>
          </w:p>
        </w:tc>
        <w:tc>
          <w:tcPr>
            <w:tcW w:w="1843"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1,139,000,000.00</w:t>
            </w:r>
          </w:p>
        </w:tc>
        <w:tc>
          <w:tcPr>
            <w:tcW w:w="2025"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1,339,000,000.00</w:t>
            </w:r>
          </w:p>
        </w:tc>
      </w:tr>
    </w:tbl>
    <w:p>
      <w:pPr>
        <w:spacing w:line="540" w:lineRule="exact"/>
        <w:ind w:firstLine="120" w:firstLineChars="50"/>
        <w:outlineLvl w:val="1"/>
        <w:rPr>
          <w:rFonts w:hint="eastAsia" w:ascii="Arial Narrow Regular" w:hAnsi="Arial Narrow Regular" w:cs="Arial Narrow Regular"/>
          <w:color w:val="auto"/>
          <w:sz w:val="24"/>
          <w:highlight w:val="none"/>
          <w:lang w:val="en-US" w:eastAsia="zh-CN"/>
        </w:rPr>
      </w:pPr>
      <w:r>
        <w:rPr>
          <w:rFonts w:hint="eastAsia" w:ascii="Arial Narrow Regular" w:hAnsi="Arial Narrow Regular" w:cs="Arial Narrow Regular"/>
          <w:color w:val="auto"/>
          <w:sz w:val="24"/>
          <w:highlight w:val="none"/>
          <w:lang w:val="en-US" w:eastAsia="zh-CN"/>
        </w:rPr>
        <w:t>明细如下：</w:t>
      </w:r>
    </w:p>
    <w:tbl>
      <w:tblPr>
        <w:tblStyle w:val="12"/>
        <w:tblW w:w="5745" w:type="pct"/>
        <w:tblInd w:w="-2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78"/>
        <w:gridCol w:w="1329"/>
        <w:gridCol w:w="1286"/>
        <w:gridCol w:w="985"/>
        <w:gridCol w:w="1029"/>
        <w:gridCol w:w="539"/>
        <w:gridCol w:w="708"/>
        <w:gridCol w:w="1260"/>
        <w:gridCol w:w="1286"/>
        <w:gridCol w:w="7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2" w:hRule="atLeast"/>
          <w:tblHeader/>
        </w:trPr>
        <w:tc>
          <w:tcPr>
            <w:tcW w:w="295" w:type="pct"/>
            <w:tcBorders>
              <w:tl2br w:val="nil"/>
              <w:tr2bl w:val="nil"/>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序号</w:t>
            </w:r>
          </w:p>
        </w:tc>
        <w:tc>
          <w:tcPr>
            <w:tcW w:w="678"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借款金额 </w:t>
            </w:r>
          </w:p>
        </w:tc>
        <w:tc>
          <w:tcPr>
            <w:tcW w:w="656"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余额</w:t>
            </w:r>
          </w:p>
        </w:tc>
        <w:tc>
          <w:tcPr>
            <w:tcW w:w="502"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借款日期</w:t>
            </w:r>
          </w:p>
        </w:tc>
        <w:tc>
          <w:tcPr>
            <w:tcW w:w="525"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到期日期</w:t>
            </w:r>
          </w:p>
        </w:tc>
        <w:tc>
          <w:tcPr>
            <w:tcW w:w="275"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利率</w:t>
            </w:r>
          </w:p>
        </w:tc>
        <w:tc>
          <w:tcPr>
            <w:tcW w:w="361"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担保方式</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质押物简称</w:t>
            </w:r>
          </w:p>
        </w:tc>
        <w:tc>
          <w:tcPr>
            <w:tcW w:w="656"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质押金额 </w:t>
            </w:r>
          </w:p>
        </w:tc>
        <w:tc>
          <w:tcPr>
            <w:tcW w:w="404"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质押率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350,000,000.00 </w:t>
            </w:r>
          </w:p>
        </w:tc>
        <w:tc>
          <w:tcPr>
            <w:tcW w:w="656"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249,000,000.00 </w:t>
            </w:r>
          </w:p>
        </w:tc>
        <w:tc>
          <w:tcPr>
            <w:tcW w:w="502"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2024/8/21</w:t>
            </w:r>
          </w:p>
        </w:tc>
        <w:tc>
          <w:tcPr>
            <w:tcW w:w="52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2025/8/20</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20国开08</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 </w:t>
            </w:r>
          </w:p>
        </w:tc>
        <w:tc>
          <w:tcPr>
            <w:tcW w:w="404"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145.71%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20进出15</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18国开06</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22农发10</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60,000,000.00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17国开10</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40,000,000.00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23武汉农商行CD222</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24贵州银行CD049</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24贵州兴义农商行CD014</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200,000,000.00 </w:t>
            </w:r>
          </w:p>
        </w:tc>
        <w:tc>
          <w:tcPr>
            <w:tcW w:w="656"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200,000,000.00 </w:t>
            </w:r>
          </w:p>
        </w:tc>
        <w:tc>
          <w:tcPr>
            <w:tcW w:w="502"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2024/3/11</w:t>
            </w:r>
          </w:p>
        </w:tc>
        <w:tc>
          <w:tcPr>
            <w:tcW w:w="52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2025/3/10</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22进出11</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404"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150.00%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22进出15</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24福建海峡银行CD238</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24贵阳农商行CD091</w:t>
            </w:r>
          </w:p>
        </w:tc>
        <w:tc>
          <w:tcPr>
            <w:tcW w:w="656" w:type="pct"/>
            <w:tcBorders>
              <w:tl2br w:val="nil"/>
              <w:tr2bl w:val="nil"/>
            </w:tcBorders>
            <w:noWrap/>
            <w:vAlign w:val="center"/>
          </w:tcPr>
          <w:p>
            <w:pPr>
              <w:keepNext w:val="0"/>
              <w:keepLines w:val="0"/>
              <w:widowControl/>
              <w:suppressLineNumbers w:val="0"/>
              <w:jc w:val="right"/>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404" w:type="pct"/>
            <w:vMerge w:val="continue"/>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3</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100,000,000.00 </w:t>
            </w:r>
          </w:p>
        </w:tc>
        <w:tc>
          <w:tcPr>
            <w:tcW w:w="502"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2023/12/27</w:t>
            </w:r>
          </w:p>
        </w:tc>
        <w:tc>
          <w:tcPr>
            <w:tcW w:w="52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2025/12/25</w:t>
            </w:r>
          </w:p>
        </w:tc>
        <w:tc>
          <w:tcPr>
            <w:tcW w:w="27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信用</w:t>
            </w:r>
          </w:p>
        </w:tc>
        <w:tc>
          <w:tcPr>
            <w:tcW w:w="643" w:type="pct"/>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150,000,000.00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150,000,000.00 </w:t>
            </w:r>
          </w:p>
        </w:tc>
        <w:tc>
          <w:tcPr>
            <w:tcW w:w="502"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2024/11/27</w:t>
            </w:r>
          </w:p>
        </w:tc>
        <w:tc>
          <w:tcPr>
            <w:tcW w:w="52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2025/11/26</w:t>
            </w:r>
          </w:p>
        </w:tc>
        <w:tc>
          <w:tcPr>
            <w:tcW w:w="27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信用</w:t>
            </w:r>
          </w:p>
        </w:tc>
        <w:tc>
          <w:tcPr>
            <w:tcW w:w="643" w:type="pct"/>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110,000,000.00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110,000,000.00 </w:t>
            </w:r>
          </w:p>
        </w:tc>
        <w:tc>
          <w:tcPr>
            <w:tcW w:w="502"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2024/12/20</w:t>
            </w:r>
          </w:p>
        </w:tc>
        <w:tc>
          <w:tcPr>
            <w:tcW w:w="52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2025/12/19</w:t>
            </w:r>
          </w:p>
        </w:tc>
        <w:tc>
          <w:tcPr>
            <w:tcW w:w="27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信用</w:t>
            </w:r>
          </w:p>
        </w:tc>
        <w:tc>
          <w:tcPr>
            <w:tcW w:w="643" w:type="pct"/>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6</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50,000,000.00 </w:t>
            </w:r>
          </w:p>
        </w:tc>
        <w:tc>
          <w:tcPr>
            <w:tcW w:w="502"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2024/12/27</w:t>
            </w:r>
          </w:p>
        </w:tc>
        <w:tc>
          <w:tcPr>
            <w:tcW w:w="52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2025/12/26</w:t>
            </w:r>
          </w:p>
        </w:tc>
        <w:tc>
          <w:tcPr>
            <w:tcW w:w="275"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信用</w:t>
            </w:r>
          </w:p>
        </w:tc>
        <w:tc>
          <w:tcPr>
            <w:tcW w:w="643" w:type="pct"/>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7</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130,000,000.00 </w:t>
            </w:r>
          </w:p>
        </w:tc>
        <w:tc>
          <w:tcPr>
            <w:tcW w:w="656"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130,000,000.00</w:t>
            </w:r>
          </w:p>
        </w:tc>
        <w:tc>
          <w:tcPr>
            <w:tcW w:w="502"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2024/4/29</w:t>
            </w:r>
          </w:p>
        </w:tc>
        <w:tc>
          <w:tcPr>
            <w:tcW w:w="525"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2025/4/28</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24广东华兴银行CD209</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100,000,000.00</w:t>
            </w:r>
          </w:p>
        </w:tc>
        <w:tc>
          <w:tcPr>
            <w:tcW w:w="404" w:type="pct"/>
            <w:vMerge w:val="restart"/>
            <w:tcBorders>
              <w:tl2br w:val="nil"/>
              <w:tr2bl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21国开05</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40,000,000.00</w:t>
            </w:r>
          </w:p>
        </w:tc>
        <w:tc>
          <w:tcPr>
            <w:tcW w:w="404" w:type="pct"/>
            <w:vMerge w:val="continue"/>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361"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23农发15</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40,000,000.00</w:t>
            </w:r>
          </w:p>
        </w:tc>
        <w:tc>
          <w:tcPr>
            <w:tcW w:w="404" w:type="pct"/>
            <w:vMerge w:val="continue"/>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8</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200,000,000.00 </w:t>
            </w:r>
          </w:p>
        </w:tc>
        <w:tc>
          <w:tcPr>
            <w:tcW w:w="656"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200,000,000.00</w:t>
            </w:r>
          </w:p>
        </w:tc>
        <w:tc>
          <w:tcPr>
            <w:tcW w:w="502"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2024/7/19</w:t>
            </w:r>
          </w:p>
        </w:tc>
        <w:tc>
          <w:tcPr>
            <w:tcW w:w="525"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2025/7/18</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24贵州花溪农商银行CD078</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50,000,000.00</w:t>
            </w:r>
          </w:p>
        </w:tc>
        <w:tc>
          <w:tcPr>
            <w:tcW w:w="404" w:type="pct"/>
            <w:vMerge w:val="restart"/>
            <w:tcBorders>
              <w:tl2br w:val="nil"/>
              <w:tr2bl w:val="nil"/>
            </w:tcBorders>
            <w:noWrap/>
            <w:vAlign w:val="center"/>
          </w:tcPr>
          <w:p>
            <w:pP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24广东华兴银行CD437</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24福建海峡银行CD202</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5" w:hRule="atLeast"/>
        </w:trPr>
        <w:tc>
          <w:tcPr>
            <w:tcW w:w="29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361"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16国开13</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60,000,000.00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 w:hRule="atLeast"/>
        </w:trPr>
        <w:tc>
          <w:tcPr>
            <w:tcW w:w="295" w:type="pct"/>
            <w:vMerge w:val="restar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9</w:t>
            </w:r>
          </w:p>
        </w:tc>
        <w:tc>
          <w:tcPr>
            <w:tcW w:w="678"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 150,000,000.00 </w:t>
            </w:r>
          </w:p>
        </w:tc>
        <w:tc>
          <w:tcPr>
            <w:tcW w:w="656"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150,000,000.00</w:t>
            </w:r>
          </w:p>
        </w:tc>
        <w:tc>
          <w:tcPr>
            <w:tcW w:w="502"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2024/12/25</w:t>
            </w:r>
          </w:p>
        </w:tc>
        <w:tc>
          <w:tcPr>
            <w:tcW w:w="525" w:type="pct"/>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2025/12/24</w:t>
            </w:r>
          </w:p>
        </w:tc>
        <w:tc>
          <w:tcPr>
            <w:tcW w:w="275"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1.75%</w:t>
            </w:r>
          </w:p>
        </w:tc>
        <w:tc>
          <w:tcPr>
            <w:tcW w:w="361" w:type="pct"/>
            <w:vMerge w:val="restar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债权质押</w:t>
            </w: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24贵州银行CD129</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100,000,000.00</w:t>
            </w:r>
          </w:p>
        </w:tc>
        <w:tc>
          <w:tcPr>
            <w:tcW w:w="404" w:type="pct"/>
            <w:vMerge w:val="restart"/>
            <w:tcBorders>
              <w:tl2br w:val="nil"/>
              <w:tr2bl w:val="nil"/>
            </w:tcBorders>
            <w:noWrap/>
            <w:vAlign w:val="center"/>
          </w:tcPr>
          <w:p>
            <w:pP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23农发10</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0" w:hRule="atLeast"/>
        </w:trPr>
        <w:tc>
          <w:tcPr>
            <w:tcW w:w="295" w:type="pct"/>
            <w:vMerge w:val="continue"/>
            <w:tcBorders>
              <w:tl2br w:val="nil"/>
              <w:tr2bl w:val="nil"/>
            </w:tcBorders>
            <w:noWrap/>
            <w:vAlign w:val="center"/>
          </w:tcPr>
          <w:p>
            <w:pPr>
              <w:rPr>
                <w:color w:val="auto"/>
                <w:highlight w:val="none"/>
              </w:rPr>
            </w:pPr>
          </w:p>
        </w:tc>
        <w:tc>
          <w:tcPr>
            <w:tcW w:w="678" w:type="pct"/>
            <w:vMerge w:val="continue"/>
            <w:tcBorders>
              <w:tl2br w:val="nil"/>
              <w:tr2bl w:val="nil"/>
            </w:tcBorders>
            <w:noWrap/>
            <w:vAlign w:val="center"/>
          </w:tcPr>
          <w:p>
            <w:pPr>
              <w:rPr>
                <w:color w:val="auto"/>
                <w:highlight w:val="none"/>
              </w:rPr>
            </w:pPr>
          </w:p>
        </w:tc>
        <w:tc>
          <w:tcPr>
            <w:tcW w:w="656" w:type="pct"/>
            <w:vMerge w:val="continue"/>
            <w:tcBorders>
              <w:tl2br w:val="nil"/>
              <w:tr2bl w:val="nil"/>
            </w:tcBorders>
            <w:noWrap w:val="0"/>
            <w:vAlign w:val="center"/>
          </w:tcPr>
          <w:p>
            <w:pPr>
              <w:rPr>
                <w:color w:val="auto"/>
                <w:highlight w:val="none"/>
              </w:rPr>
            </w:pPr>
          </w:p>
        </w:tc>
        <w:tc>
          <w:tcPr>
            <w:tcW w:w="502" w:type="pct"/>
            <w:vMerge w:val="continue"/>
            <w:tcBorders>
              <w:tl2br w:val="nil"/>
              <w:tr2bl w:val="nil"/>
            </w:tcBorders>
            <w:noWrap w:val="0"/>
            <w:vAlign w:val="center"/>
          </w:tcPr>
          <w:p>
            <w:pPr>
              <w:rPr>
                <w:color w:val="auto"/>
                <w:highlight w:val="none"/>
              </w:rPr>
            </w:pPr>
          </w:p>
        </w:tc>
        <w:tc>
          <w:tcPr>
            <w:tcW w:w="525" w:type="pct"/>
            <w:vMerge w:val="continue"/>
            <w:tcBorders>
              <w:tl2br w:val="nil"/>
              <w:tr2bl w:val="nil"/>
            </w:tcBorders>
            <w:noWrap w:val="0"/>
            <w:vAlign w:val="center"/>
          </w:tcPr>
          <w:p>
            <w:pPr>
              <w:rPr>
                <w:color w:val="auto"/>
                <w:highlight w:val="none"/>
              </w:rPr>
            </w:pPr>
          </w:p>
        </w:tc>
        <w:tc>
          <w:tcPr>
            <w:tcW w:w="275" w:type="pct"/>
            <w:vMerge w:val="continue"/>
            <w:tcBorders>
              <w:tl2br w:val="nil"/>
              <w:tr2bl w:val="nil"/>
            </w:tcBorders>
            <w:noWrap/>
            <w:vAlign w:val="center"/>
          </w:tcPr>
          <w:p>
            <w:pPr>
              <w:rPr>
                <w:color w:val="auto"/>
                <w:highlight w:val="none"/>
              </w:rPr>
            </w:pPr>
          </w:p>
        </w:tc>
        <w:tc>
          <w:tcPr>
            <w:tcW w:w="361" w:type="pct"/>
            <w:vMerge w:val="continue"/>
            <w:tcBorders>
              <w:tl2br w:val="nil"/>
              <w:tr2bl w:val="nil"/>
            </w:tcBorders>
            <w:noWrap/>
            <w:vAlign w:val="center"/>
          </w:tcPr>
          <w:p>
            <w:pPr>
              <w:rPr>
                <w:color w:val="auto"/>
                <w:highlight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24福建海峡银行CD202</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50,000,000.00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0" w:hRule="atLeast"/>
        </w:trPr>
        <w:tc>
          <w:tcPr>
            <w:tcW w:w="29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78"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56"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02"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525" w:type="pct"/>
            <w:vMerge w:val="continue"/>
            <w:tcBorders>
              <w:tl2br w:val="nil"/>
              <w:tr2bl w:val="nil"/>
            </w:tcBorders>
            <w:noWrap w:val="0"/>
            <w:vAlign w:val="center"/>
          </w:tcPr>
          <w:p>
            <w:pPr>
              <w:rPr>
                <w:rFonts w:hint="eastAsia" w:ascii="宋体" w:hAnsi="宋体" w:eastAsia="宋体" w:cs="宋体"/>
                <w:i w:val="0"/>
                <w:iCs w:val="0"/>
                <w:color w:val="auto"/>
                <w:sz w:val="15"/>
                <w:szCs w:val="15"/>
                <w:highlight w:val="none"/>
                <w:u w:val="none"/>
              </w:rPr>
            </w:pPr>
          </w:p>
        </w:tc>
        <w:tc>
          <w:tcPr>
            <w:tcW w:w="275"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361"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c>
          <w:tcPr>
            <w:tcW w:w="643" w:type="pct"/>
            <w:tcBorders>
              <w:tl2br w:val="nil"/>
              <w:tr2bl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21国开03</w:t>
            </w:r>
          </w:p>
        </w:tc>
        <w:tc>
          <w:tcPr>
            <w:tcW w:w="656" w:type="pct"/>
            <w:tcBorders>
              <w:tl2br w:val="nil"/>
              <w:tr2bl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10,000,000.00</w:t>
            </w:r>
          </w:p>
        </w:tc>
        <w:tc>
          <w:tcPr>
            <w:tcW w:w="404" w:type="pct"/>
            <w:vMerge w:val="continue"/>
            <w:tcBorders>
              <w:tl2br w:val="nil"/>
              <w:tr2bl w:val="nil"/>
            </w:tcBorders>
            <w:noWrap/>
            <w:vAlign w:val="center"/>
          </w:tcPr>
          <w:p>
            <w:pPr>
              <w:rPr>
                <w:rFonts w:hint="eastAsia" w:ascii="宋体" w:hAnsi="宋体" w:eastAsia="宋体" w:cs="宋体"/>
                <w:i w:val="0"/>
                <w:iCs w:val="0"/>
                <w:color w:val="auto"/>
                <w:sz w:val="15"/>
                <w:szCs w:val="15"/>
                <w:highlight w:val="none"/>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tcW w:w="295" w:type="pct"/>
            <w:tcBorders>
              <w:tl2br w:val="nil"/>
              <w:tr2bl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5"/>
                <w:szCs w:val="15"/>
                <w:highlight w:val="none"/>
                <w:u w:val="none"/>
                <w:lang w:val="en-US" w:eastAsia="zh-CN" w:bidi="ar"/>
              </w:rPr>
            </w:pPr>
            <w:r>
              <w:rPr>
                <w:rFonts w:hint="eastAsia" w:ascii="宋体" w:hAnsi="宋体" w:eastAsia="宋体" w:cs="宋体"/>
                <w:i w:val="0"/>
                <w:iCs w:val="0"/>
                <w:color w:val="auto"/>
                <w:kern w:val="0"/>
                <w:sz w:val="15"/>
                <w:szCs w:val="15"/>
                <w:highlight w:val="none"/>
                <w:u w:val="none"/>
                <w:lang w:val="en-US" w:eastAsia="zh-CN" w:bidi="ar"/>
              </w:rPr>
              <w:t>合计</w:t>
            </w:r>
          </w:p>
        </w:tc>
        <w:tc>
          <w:tcPr>
            <w:tcW w:w="678"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1,440,000,000.00 </w:t>
            </w:r>
          </w:p>
        </w:tc>
        <w:tc>
          <w:tcPr>
            <w:tcW w:w="65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5"/>
                <w:szCs w:val="15"/>
                <w:highlight w:val="none"/>
                <w:u w:val="none"/>
              </w:rPr>
            </w:pPr>
            <w:r>
              <w:rPr>
                <w:rFonts w:hint="eastAsia" w:ascii="宋体" w:hAnsi="宋体" w:eastAsia="宋体" w:cs="宋体"/>
                <w:i w:val="0"/>
                <w:iCs w:val="0"/>
                <w:color w:val="auto"/>
                <w:kern w:val="0"/>
                <w:sz w:val="15"/>
                <w:szCs w:val="15"/>
                <w:highlight w:val="none"/>
                <w:u w:val="none"/>
                <w:lang w:val="en-US" w:eastAsia="zh-CN" w:bidi="ar"/>
              </w:rPr>
              <w:t xml:space="preserve">1,339,000,000.00 </w:t>
            </w:r>
          </w:p>
        </w:tc>
        <w:tc>
          <w:tcPr>
            <w:tcW w:w="502" w:type="pct"/>
            <w:tcBorders>
              <w:tl2br w:val="nil"/>
              <w:tr2bl w:val="nil"/>
            </w:tcBorders>
            <w:noWrap/>
            <w:vAlign w:val="center"/>
          </w:tcPr>
          <w:p>
            <w:pPr>
              <w:jc w:val="right"/>
              <w:rPr>
                <w:rFonts w:hint="eastAsia" w:ascii="宋体" w:hAnsi="宋体" w:eastAsia="宋体" w:cs="宋体"/>
                <w:i w:val="0"/>
                <w:iCs w:val="0"/>
                <w:color w:val="auto"/>
                <w:sz w:val="15"/>
                <w:szCs w:val="15"/>
                <w:highlight w:val="none"/>
                <w:u w:val="none"/>
              </w:rPr>
            </w:pPr>
          </w:p>
        </w:tc>
        <w:tc>
          <w:tcPr>
            <w:tcW w:w="525" w:type="pct"/>
            <w:tcBorders>
              <w:tl2br w:val="nil"/>
              <w:tr2bl w:val="nil"/>
            </w:tcBorders>
            <w:noWrap/>
            <w:vAlign w:val="center"/>
          </w:tcPr>
          <w:p>
            <w:pPr>
              <w:jc w:val="right"/>
              <w:rPr>
                <w:rFonts w:hint="eastAsia" w:ascii="宋体" w:hAnsi="宋体" w:eastAsia="宋体" w:cs="宋体"/>
                <w:i w:val="0"/>
                <w:iCs w:val="0"/>
                <w:color w:val="auto"/>
                <w:sz w:val="15"/>
                <w:szCs w:val="15"/>
                <w:highlight w:val="none"/>
                <w:u w:val="none"/>
              </w:rPr>
            </w:pPr>
          </w:p>
        </w:tc>
        <w:tc>
          <w:tcPr>
            <w:tcW w:w="275"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361"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43"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656"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c>
          <w:tcPr>
            <w:tcW w:w="404" w:type="pct"/>
            <w:tcBorders>
              <w:tl2br w:val="nil"/>
              <w:tr2bl w:val="nil"/>
            </w:tcBorders>
            <w:noWrap/>
            <w:vAlign w:val="center"/>
          </w:tcPr>
          <w:p>
            <w:pPr>
              <w:jc w:val="center"/>
              <w:rPr>
                <w:rFonts w:hint="eastAsia" w:ascii="宋体" w:hAnsi="宋体" w:eastAsia="宋体" w:cs="宋体"/>
                <w:i w:val="0"/>
                <w:iCs w:val="0"/>
                <w:color w:val="auto"/>
                <w:sz w:val="15"/>
                <w:szCs w:val="15"/>
                <w:highlight w:val="none"/>
                <w:u w:val="none"/>
              </w:rPr>
            </w:pP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6</w:t>
      </w:r>
      <w:r>
        <w:rPr>
          <w:rFonts w:hint="eastAsia" w:ascii="Arial Narrow Regular" w:hAnsi="Arial Narrow Regular" w:cs="Arial Narrow Regular"/>
          <w:color w:val="auto"/>
          <w:sz w:val="24"/>
          <w:highlight w:val="none"/>
        </w:rPr>
        <w:t>联行存放款项</w:t>
      </w:r>
    </w:p>
    <w:tbl>
      <w:tblPr>
        <w:tblStyle w:val="12"/>
        <w:tblW w:w="9376" w:type="dxa"/>
        <w:tblInd w:w="250" w:type="dxa"/>
        <w:tblLayout w:type="fixed"/>
        <w:tblCellMar>
          <w:top w:w="0" w:type="dxa"/>
          <w:left w:w="108" w:type="dxa"/>
          <w:bottom w:w="0" w:type="dxa"/>
          <w:right w:w="108" w:type="dxa"/>
        </w:tblCellMar>
      </w:tblPr>
      <w:tblGrid>
        <w:gridCol w:w="3146"/>
        <w:gridCol w:w="3000"/>
        <w:gridCol w:w="3230"/>
      </w:tblGrid>
      <w:tr>
        <w:tblPrEx>
          <w:tblCellMar>
            <w:top w:w="0" w:type="dxa"/>
            <w:left w:w="108" w:type="dxa"/>
            <w:bottom w:w="0" w:type="dxa"/>
            <w:right w:w="108" w:type="dxa"/>
          </w:tblCellMar>
        </w:tblPrEx>
        <w:trPr>
          <w:trHeight w:val="340" w:hRule="atLeast"/>
          <w:tblHeader/>
        </w:trPr>
        <w:tc>
          <w:tcPr>
            <w:tcW w:w="314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单位名称</w:t>
            </w:r>
          </w:p>
        </w:tc>
        <w:tc>
          <w:tcPr>
            <w:tcW w:w="300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3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146" w:type="dxa"/>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待清算信用卡款项</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-19,000.00 </w:t>
            </w:r>
          </w:p>
        </w:tc>
        <w:tc>
          <w:tcPr>
            <w:tcW w:w="323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67,232.28 </w:t>
            </w:r>
          </w:p>
        </w:tc>
      </w:tr>
      <w:tr>
        <w:tblPrEx>
          <w:tblCellMar>
            <w:top w:w="0" w:type="dxa"/>
            <w:left w:w="108" w:type="dxa"/>
            <w:bottom w:w="0" w:type="dxa"/>
            <w:right w:w="108" w:type="dxa"/>
          </w:tblCellMar>
        </w:tblPrEx>
        <w:trPr>
          <w:trHeight w:val="340" w:hRule="atLeast"/>
        </w:trPr>
        <w:tc>
          <w:tcPr>
            <w:tcW w:w="314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300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 </w:t>
            </w:r>
            <w:r>
              <w:rPr>
                <w:rFonts w:hint="eastAsia" w:ascii="宋体" w:hAnsi="宋体" w:cs="宋体"/>
                <w:b/>
                <w:bCs/>
                <w:color w:val="auto"/>
                <w:kern w:val="0"/>
                <w:sz w:val="20"/>
                <w:szCs w:val="20"/>
                <w:highlight w:val="none"/>
                <w:lang w:bidi="ar"/>
              </w:rPr>
              <w:t xml:space="preserve">-19,000.00 </w:t>
            </w:r>
          </w:p>
        </w:tc>
        <w:tc>
          <w:tcPr>
            <w:tcW w:w="323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67,232.28 </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7</w:t>
      </w:r>
      <w:r>
        <w:rPr>
          <w:rFonts w:hint="eastAsia" w:ascii="Arial Narrow Regular" w:hAnsi="Arial Narrow Regular" w:cs="Arial Narrow Regular"/>
          <w:color w:val="auto"/>
          <w:sz w:val="24"/>
          <w:highlight w:val="none"/>
        </w:rPr>
        <w:t>吸收存款</w:t>
      </w:r>
    </w:p>
    <w:tbl>
      <w:tblPr>
        <w:tblStyle w:val="12"/>
        <w:tblW w:w="9386" w:type="dxa"/>
        <w:tblInd w:w="250" w:type="dxa"/>
        <w:tblLayout w:type="fixed"/>
        <w:tblCellMar>
          <w:top w:w="0" w:type="dxa"/>
          <w:left w:w="108" w:type="dxa"/>
          <w:bottom w:w="0" w:type="dxa"/>
          <w:right w:w="108" w:type="dxa"/>
        </w:tblCellMar>
      </w:tblPr>
      <w:tblGrid>
        <w:gridCol w:w="3466"/>
        <w:gridCol w:w="2697"/>
        <w:gridCol w:w="3223"/>
      </w:tblGrid>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项目</w:t>
            </w:r>
          </w:p>
        </w:tc>
        <w:tc>
          <w:tcPr>
            <w:tcW w:w="269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22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单位活期存款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1,336,279,217.83</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1,251,731,475.30</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单位定期存款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20,283,099.08</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17,900,169.11</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个人活期存款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4,351,673,612.69</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4,319,198,327.01</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个人定期存款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6,456,938,765.35</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6,643,846,459.49</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银行卡存款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6,249.28</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5,851.47</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财政性存款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待结算财政款项</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154,701,104.22</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68,659.93</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发行大额存单</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432,341,917.31</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934,751,917.31</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应解汇款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145,845.46</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101,262.14</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保证金存款</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34,248,135.58</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19,952,967.99</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境内同业存放活期款项</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olor w:val="auto"/>
                <w:sz w:val="20"/>
                <w:szCs w:val="20"/>
                <w:highlight w:val="none"/>
              </w:rPr>
            </w:pPr>
            <w:r>
              <w:rPr>
                <w:rFonts w:hint="eastAsia" w:ascii="宋体" w:hAnsi="宋体" w:cs="宋体"/>
                <w:color w:val="auto"/>
                <w:kern w:val="0"/>
                <w:sz w:val="20"/>
                <w:szCs w:val="20"/>
                <w:highlight w:val="none"/>
                <w:lang w:bidi="ar"/>
              </w:rPr>
              <w:t>系统内拆入资金</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存款应付利息</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7,695,116.39</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8,923,315.24</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发行同业存单</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533,253,250.00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687,695,571.48</w:t>
            </w:r>
          </w:p>
        </w:tc>
      </w:tr>
      <w:tr>
        <w:tblPrEx>
          <w:tblCellMar>
            <w:top w:w="0" w:type="dxa"/>
            <w:left w:w="108" w:type="dxa"/>
            <w:bottom w:w="0" w:type="dxa"/>
            <w:right w:w="108" w:type="dxa"/>
          </w:tblCellMar>
        </w:tblPrEx>
        <w:trPr>
          <w:trHeight w:val="34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16"/>
                <w:szCs w:val="16"/>
                <w:highlight w:val="none"/>
                <w:lang w:bidi="ar"/>
              </w:rPr>
              <w:t>其中：境内其他机构持有同业存单面值</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540,000,000.00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690,000,000.00</w:t>
            </w:r>
          </w:p>
        </w:tc>
      </w:tr>
      <w:tr>
        <w:tblPrEx>
          <w:tblCellMar>
            <w:top w:w="0" w:type="dxa"/>
            <w:left w:w="108" w:type="dxa"/>
            <w:bottom w:w="0" w:type="dxa"/>
            <w:right w:w="108" w:type="dxa"/>
          </w:tblCellMar>
        </w:tblPrEx>
        <w:trPr>
          <w:trHeight w:val="454"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widowControl/>
              <w:ind w:firstLine="480" w:firstLineChars="300"/>
              <w:jc w:val="left"/>
              <w:textAlignment w:val="center"/>
              <w:rPr>
                <w:rFonts w:hint="eastAsia" w:ascii="宋体" w:hAnsi="宋体" w:cs="宋体"/>
                <w:color w:val="auto"/>
                <w:sz w:val="20"/>
                <w:szCs w:val="20"/>
                <w:highlight w:val="none"/>
              </w:rPr>
            </w:pPr>
            <w:r>
              <w:rPr>
                <w:rFonts w:hint="eastAsia" w:ascii="宋体" w:hAnsi="宋体" w:cs="宋体"/>
                <w:color w:val="auto"/>
                <w:kern w:val="0"/>
                <w:sz w:val="16"/>
                <w:szCs w:val="16"/>
                <w:highlight w:val="none"/>
                <w:lang w:bidi="ar"/>
              </w:rPr>
              <w:t>境内其他机构持有同业存单利息调整</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-6,746,750.00</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-2,304,428.52</w:t>
            </w:r>
          </w:p>
        </w:tc>
      </w:tr>
      <w:tr>
        <w:tblPrEx>
          <w:tblCellMar>
            <w:top w:w="0" w:type="dxa"/>
            <w:left w:w="108" w:type="dxa"/>
            <w:bottom w:w="0" w:type="dxa"/>
            <w:right w:w="108" w:type="dxa"/>
          </w:tblCellMar>
        </w:tblPrEx>
        <w:trPr>
          <w:trHeight w:val="90" w:hRule="atLeast"/>
          <w:tblHeader/>
        </w:trPr>
        <w:tc>
          <w:tcPr>
            <w:tcW w:w="3466"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合计</w:t>
            </w:r>
          </w:p>
        </w:tc>
        <w:tc>
          <w:tcPr>
            <w:tcW w:w="2697" w:type="dxa"/>
            <w:tcBorders>
              <w:top w:val="single" w:color="auto" w:sz="8" w:space="0"/>
              <w:left w:val="nil"/>
              <w:bottom w:val="single" w:color="auto" w:sz="8" w:space="0"/>
              <w:right w:val="single" w:color="auto" w:sz="8" w:space="0"/>
            </w:tcBorders>
            <w:noWrap w:val="0"/>
            <w:vAlign w:val="center"/>
          </w:tcPr>
          <w:p>
            <w:pPr>
              <w:widowControl/>
              <w:jc w:val="right"/>
              <w:textAlignment w:val="bottom"/>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13,327,566,313.19</w:t>
            </w:r>
          </w:p>
        </w:tc>
        <w:tc>
          <w:tcPr>
            <w:tcW w:w="3223" w:type="dxa"/>
            <w:tcBorders>
              <w:top w:val="single" w:color="auto" w:sz="8" w:space="0"/>
              <w:left w:val="nil"/>
              <w:bottom w:val="single" w:color="auto" w:sz="8" w:space="0"/>
              <w:right w:val="single" w:color="auto" w:sz="8" w:space="0"/>
            </w:tcBorders>
            <w:noWrap w:val="0"/>
            <w:vAlign w:val="center"/>
          </w:tcPr>
          <w:p>
            <w:pPr>
              <w:widowControl/>
              <w:jc w:val="right"/>
              <w:textAlignment w:val="bottom"/>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13,884,175,976.47 </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8</w:t>
      </w:r>
      <w:r>
        <w:rPr>
          <w:rFonts w:hint="eastAsia" w:ascii="Arial Narrow Regular" w:hAnsi="Arial Narrow Regular" w:cs="Arial Narrow Regular"/>
          <w:color w:val="auto"/>
          <w:sz w:val="24"/>
          <w:highlight w:val="none"/>
        </w:rPr>
        <w:t>应付职工薪酬</w:t>
      </w:r>
    </w:p>
    <w:tbl>
      <w:tblPr>
        <w:tblStyle w:val="12"/>
        <w:tblW w:w="9322" w:type="dxa"/>
        <w:tblInd w:w="250" w:type="dxa"/>
        <w:tblLayout w:type="fixed"/>
        <w:tblCellMar>
          <w:top w:w="0" w:type="dxa"/>
          <w:left w:w="108" w:type="dxa"/>
          <w:bottom w:w="0" w:type="dxa"/>
          <w:right w:w="108" w:type="dxa"/>
        </w:tblCellMar>
      </w:tblPr>
      <w:tblGrid>
        <w:gridCol w:w="2834"/>
        <w:gridCol w:w="1590"/>
        <w:gridCol w:w="1710"/>
        <w:gridCol w:w="1635"/>
        <w:gridCol w:w="1553"/>
      </w:tblGrid>
      <w:tr>
        <w:tblPrEx>
          <w:tblCellMar>
            <w:top w:w="0" w:type="dxa"/>
            <w:left w:w="108" w:type="dxa"/>
            <w:bottom w:w="0" w:type="dxa"/>
            <w:right w:w="108" w:type="dxa"/>
          </w:tblCellMar>
        </w:tblPrEx>
        <w:trPr>
          <w:trHeight w:val="340" w:hRule="atLeast"/>
          <w:tblHeader/>
        </w:trPr>
        <w:tc>
          <w:tcPr>
            <w:tcW w:w="2834"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59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710"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rPr>
              <w:t>本年</w:t>
            </w:r>
            <w:r>
              <w:rPr>
                <w:rFonts w:hint="eastAsia" w:ascii="宋体" w:hAnsi="宋体" w:cs="宋体"/>
                <w:b/>
                <w:bCs/>
                <w:color w:val="auto"/>
                <w:kern w:val="0"/>
                <w:sz w:val="20"/>
                <w:szCs w:val="20"/>
                <w:highlight w:val="none"/>
                <w:lang w:val="en-US" w:eastAsia="zh-CN"/>
              </w:rPr>
              <w:t>借方发生额</w:t>
            </w:r>
          </w:p>
        </w:tc>
        <w:tc>
          <w:tcPr>
            <w:tcW w:w="1635"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cs="宋体"/>
                <w:b/>
                <w:bCs/>
                <w:color w:val="auto"/>
                <w:kern w:val="0"/>
                <w:sz w:val="20"/>
                <w:szCs w:val="20"/>
                <w:highlight w:val="none"/>
              </w:rPr>
              <w:t>本年</w:t>
            </w:r>
            <w:r>
              <w:rPr>
                <w:rFonts w:hint="eastAsia" w:ascii="宋体" w:hAnsi="宋体" w:cs="宋体"/>
                <w:b/>
                <w:bCs/>
                <w:color w:val="auto"/>
                <w:kern w:val="0"/>
                <w:sz w:val="20"/>
                <w:szCs w:val="20"/>
                <w:highlight w:val="none"/>
                <w:lang w:val="en-US" w:eastAsia="zh-CN"/>
              </w:rPr>
              <w:t>贷方发生额</w:t>
            </w:r>
          </w:p>
        </w:tc>
        <w:tc>
          <w:tcPr>
            <w:tcW w:w="1553"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一、工资、奖金、津贴和补贴</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18,423,474.30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107,287,300.36</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131,460,413.46</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42,596,587.40</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二、应付职工福利</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4,870,607.23</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7,870,607.23</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3,000,000.00</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三、应付职工教育经费</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231,634.50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231,634.50</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四、应付工会经费</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702,534.75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1,992,543.17</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2,172,845.88</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882,837.46</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五、应付社会保险费</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951.70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32,607,241.34</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32,637,030.08</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30,740.44</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六、应付补充养老保险</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8,310,030.12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10,251,430.39</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10,554,019.33</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8,612,619.06</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七、应付补充医疗保险应付</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6,207,527.49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6,207,527.49</w:t>
            </w:r>
          </w:p>
        </w:tc>
        <w:tc>
          <w:tcPr>
            <w:tcW w:w="1635" w:type="dxa"/>
            <w:tcBorders>
              <w:top w:val="nil"/>
              <w:left w:val="nil"/>
              <w:bottom w:val="single" w:color="auto" w:sz="8" w:space="0"/>
              <w:right w:val="single" w:color="auto" w:sz="8" w:space="0"/>
            </w:tcBorders>
            <w:noWrap w:val="0"/>
            <w:vAlign w:val="top"/>
          </w:tcPr>
          <w:p>
            <w:pP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11,891,140.04</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11,891,140.04</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八、应付住房公积金</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24,943,552.00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24,943,552.00</w:t>
            </w:r>
          </w:p>
        </w:tc>
        <w:tc>
          <w:tcPr>
            <w:tcW w:w="155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top"/>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九、应付离职后福利</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295,328.00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295,328.00</w:t>
            </w:r>
          </w:p>
        </w:tc>
        <w:tc>
          <w:tcPr>
            <w:tcW w:w="155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top"/>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十、应付辞退福利</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146,556.00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146,556.00</w:t>
            </w:r>
          </w:p>
        </w:tc>
        <w:tc>
          <w:tcPr>
            <w:tcW w:w="155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十一、其他</w:t>
            </w:r>
          </w:p>
        </w:tc>
        <w:tc>
          <w:tcPr>
            <w:tcW w:w="15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1,204,911.82</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1,204,911.82</w:t>
            </w:r>
          </w:p>
        </w:tc>
        <w:tc>
          <w:tcPr>
            <w:tcW w:w="155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40" w:hRule="atLeast"/>
        </w:trPr>
        <w:tc>
          <w:tcPr>
            <w:tcW w:w="2834"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5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33,644,518.36 </w:t>
            </w:r>
          </w:p>
        </w:tc>
        <w:tc>
          <w:tcPr>
            <w:tcW w:w="1710"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190,038,632.30</w:t>
            </w:r>
          </w:p>
        </w:tc>
        <w:tc>
          <w:tcPr>
            <w:tcW w:w="1635" w:type="dxa"/>
            <w:tcBorders>
              <w:top w:val="nil"/>
              <w:left w:val="nil"/>
              <w:bottom w:val="single" w:color="auto" w:sz="8" w:space="0"/>
              <w:right w:val="single" w:color="auto" w:sz="8" w:space="0"/>
            </w:tcBorders>
            <w:noWrap w:val="0"/>
            <w:vAlign w:val="top"/>
          </w:tcPr>
          <w:p>
            <w:pPr>
              <w:widowControl/>
              <w:jc w:val="right"/>
              <w:textAlignment w:val="bottom"/>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223,408,038.34</w:t>
            </w:r>
          </w:p>
        </w:tc>
        <w:tc>
          <w:tcPr>
            <w:tcW w:w="155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67,013,924.40</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7.1</w:t>
      </w:r>
      <w:r>
        <w:rPr>
          <w:rFonts w:hint="eastAsia" w:ascii="Arial Narrow Regular" w:hAnsi="Arial Narrow Regular" w:cs="Arial Narrow Regular"/>
          <w:color w:val="auto"/>
          <w:sz w:val="24"/>
          <w:highlight w:val="none"/>
          <w:lang w:val="en-US" w:eastAsia="zh-CN"/>
        </w:rPr>
        <w:t>9</w:t>
      </w:r>
      <w:r>
        <w:rPr>
          <w:rFonts w:hint="eastAsia" w:ascii="Arial Narrow Regular" w:hAnsi="Arial Narrow Regular" w:cs="Arial Narrow Regular"/>
          <w:color w:val="auto"/>
          <w:sz w:val="24"/>
          <w:highlight w:val="none"/>
        </w:rPr>
        <w:t>应交税费</w:t>
      </w:r>
    </w:p>
    <w:tbl>
      <w:tblPr>
        <w:tblStyle w:val="12"/>
        <w:tblW w:w="9356" w:type="dxa"/>
        <w:tblInd w:w="250" w:type="dxa"/>
        <w:tblLayout w:type="fixed"/>
        <w:tblCellMar>
          <w:top w:w="0" w:type="dxa"/>
          <w:left w:w="108" w:type="dxa"/>
          <w:bottom w:w="0" w:type="dxa"/>
          <w:right w:w="108" w:type="dxa"/>
        </w:tblCellMar>
      </w:tblPr>
      <w:tblGrid>
        <w:gridCol w:w="2816"/>
        <w:gridCol w:w="1610"/>
        <w:gridCol w:w="1720"/>
        <w:gridCol w:w="1630"/>
        <w:gridCol w:w="1580"/>
      </w:tblGrid>
      <w:tr>
        <w:tblPrEx>
          <w:tblCellMar>
            <w:top w:w="0" w:type="dxa"/>
            <w:left w:w="108" w:type="dxa"/>
            <w:bottom w:w="0" w:type="dxa"/>
            <w:right w:w="108" w:type="dxa"/>
          </w:tblCellMar>
        </w:tblPrEx>
        <w:trPr>
          <w:trHeight w:val="310" w:hRule="atLeast"/>
          <w:tblHeader/>
        </w:trPr>
        <w:tc>
          <w:tcPr>
            <w:tcW w:w="281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61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720"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本期借方发生额</w:t>
            </w:r>
          </w:p>
        </w:tc>
        <w:tc>
          <w:tcPr>
            <w:tcW w:w="1630"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rPr>
              <w:t>本期</w:t>
            </w:r>
            <w:r>
              <w:rPr>
                <w:rFonts w:hint="eastAsia" w:ascii="宋体" w:hAnsi="宋体" w:eastAsia="宋体" w:cs="宋体"/>
                <w:b/>
                <w:bCs/>
                <w:color w:val="auto"/>
                <w:kern w:val="0"/>
                <w:sz w:val="20"/>
                <w:szCs w:val="20"/>
                <w:highlight w:val="none"/>
                <w:lang w:val="en-US" w:eastAsia="zh-CN"/>
              </w:rPr>
              <w:t>贷方发生额</w:t>
            </w:r>
          </w:p>
        </w:tc>
        <w:tc>
          <w:tcPr>
            <w:tcW w:w="158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应交企业所得税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-8,376,478.72 </w:t>
            </w:r>
          </w:p>
        </w:tc>
        <w:tc>
          <w:tcPr>
            <w:tcW w:w="17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default" w:ascii="宋体" w:hAnsi="宋体" w:eastAsia="宋体" w:cs="宋体"/>
                <w:color w:val="auto"/>
                <w:kern w:val="0"/>
                <w:sz w:val="20"/>
                <w:szCs w:val="20"/>
                <w:highlight w:val="none"/>
                <w:lang w:val="en-US" w:eastAsia="zh-CN" w:bidi="ar"/>
              </w:rPr>
              <w:t xml:space="preserve"> 7,861,807.35 </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17,396,829.75</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1,158,543.68</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减免企业所得税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0.00</w:t>
            </w:r>
          </w:p>
        </w:tc>
        <w:tc>
          <w:tcPr>
            <w:tcW w:w="17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hint="default" w:ascii="宋体" w:hAnsi="宋体" w:eastAsia="宋体" w:cs="宋体"/>
                <w:color w:val="auto"/>
                <w:kern w:val="0"/>
                <w:sz w:val="20"/>
                <w:szCs w:val="20"/>
                <w:highlight w:val="none"/>
                <w:lang w:val="en-US" w:eastAsia="zh-CN" w:bidi="ar"/>
              </w:rPr>
              <w:t xml:space="preserve"> 3,374,083.94 </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3,374,083.94</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9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应交增值税</w:t>
            </w:r>
          </w:p>
        </w:tc>
        <w:tc>
          <w:tcPr>
            <w:tcW w:w="161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47,248,765.27</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47,248,765.27</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未交增值税</w:t>
            </w:r>
          </w:p>
        </w:tc>
        <w:tc>
          <w:tcPr>
            <w:tcW w:w="161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11,694,535.43</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31,385,885.44</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16,577,139.37</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-3,114,210.64</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应交城市维护建设税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317,142.38</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1,459,935.91</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1,142,793.53</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应交教育费附加</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135,918.16</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625,686.82</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489,768.66</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应交地方教育费附加</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90,612.11</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417,124.54</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326,512.43</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应交房产税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33,513.69</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3,078,782.36</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3,065,268.67</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20,000.00</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应交土地使用税</w:t>
            </w:r>
          </w:p>
        </w:tc>
        <w:tc>
          <w:tcPr>
            <w:tcW w:w="161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615,953.45</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615,953.45</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应交印花税</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124,084.24</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420,542.92</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476,458.68</w:t>
            </w:r>
          </w:p>
        </w:tc>
        <w:tc>
          <w:tcPr>
            <w:tcW w:w="15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180,000.00</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top"/>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应交残疾人就业保障金</w:t>
            </w:r>
          </w:p>
        </w:tc>
        <w:tc>
          <w:tcPr>
            <w:tcW w:w="161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0.00</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757,166.84</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757,166.84</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0.00</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应缴代扣税费</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879,169.15</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3,791,309.50</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3,370,485.74</w:t>
            </w:r>
          </w:p>
        </w:tc>
        <w:tc>
          <w:tcPr>
            <w:tcW w:w="15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458,345.39</w:t>
            </w:r>
          </w:p>
        </w:tc>
      </w:tr>
      <w:tr>
        <w:tblPrEx>
          <w:tblCellMar>
            <w:top w:w="0" w:type="dxa"/>
            <w:left w:w="108" w:type="dxa"/>
            <w:bottom w:w="0" w:type="dxa"/>
            <w:right w:w="108" w:type="dxa"/>
          </w:tblCellMar>
        </w:tblPrEx>
        <w:trPr>
          <w:trHeight w:val="310" w:hRule="atLeast"/>
        </w:trPr>
        <w:tc>
          <w:tcPr>
            <w:tcW w:w="281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6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4,898,496.44 </w:t>
            </w:r>
          </w:p>
        </w:tc>
        <w:tc>
          <w:tcPr>
            <w:tcW w:w="172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101,038,364.34 </w:t>
            </w:r>
          </w:p>
        </w:tc>
        <w:tc>
          <w:tcPr>
            <w:tcW w:w="16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94,842,546.33</w:t>
            </w:r>
          </w:p>
        </w:tc>
        <w:tc>
          <w:tcPr>
            <w:tcW w:w="158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val="en-US" w:eastAsia="zh-CN" w:bidi="ar"/>
              </w:rPr>
              <w:t>-</w:t>
            </w:r>
            <w:r>
              <w:rPr>
                <w:rFonts w:ascii="宋体" w:hAnsi="宋体" w:cs="宋体"/>
                <w:b/>
                <w:bCs/>
                <w:color w:val="auto"/>
                <w:kern w:val="0"/>
                <w:sz w:val="20"/>
                <w:szCs w:val="20"/>
                <w:highlight w:val="none"/>
                <w:lang w:bidi="ar"/>
              </w:rPr>
              <w:t>1,297,321.57</w:t>
            </w:r>
          </w:p>
        </w:tc>
      </w:tr>
    </w:tbl>
    <w:p>
      <w:pPr>
        <w:spacing w:line="360" w:lineRule="auto"/>
        <w:ind w:firstLine="240" w:firstLineChars="100"/>
        <w:jc w:val="left"/>
        <w:outlineLvl w:val="1"/>
        <w:rPr>
          <w:rFonts w:hint="eastAsia" w:ascii="宋体" w:hAnsi="宋体" w:eastAsia="宋体"/>
          <w:color w:val="auto"/>
          <w:sz w:val="24"/>
          <w:highlight w:val="none"/>
          <w:lang w:val="en-US" w:eastAsia="zh-CN"/>
        </w:rPr>
      </w:pPr>
      <w:r>
        <w:rPr>
          <w:rFonts w:hint="eastAsia" w:ascii="Arial Narrow Regular" w:hAnsi="Arial Narrow Regular" w:cs="Arial Narrow Regular"/>
          <w:color w:val="auto"/>
          <w:sz w:val="24"/>
          <w:highlight w:val="none"/>
        </w:rPr>
        <w:t>7.</w:t>
      </w:r>
      <w:r>
        <w:rPr>
          <w:rFonts w:hint="eastAsia" w:ascii="Arial Narrow Regular" w:hAnsi="Arial Narrow Regular" w:cs="Arial Narrow Regular"/>
          <w:color w:val="auto"/>
          <w:sz w:val="24"/>
          <w:highlight w:val="none"/>
          <w:lang w:val="en-US" w:eastAsia="zh-CN"/>
        </w:rPr>
        <w:t>20</w:t>
      </w:r>
      <w:r>
        <w:rPr>
          <w:rFonts w:hint="eastAsia" w:ascii="宋体" w:hAnsi="宋体"/>
          <w:color w:val="auto"/>
          <w:sz w:val="24"/>
          <w:highlight w:val="none"/>
          <w:lang w:val="en-US" w:eastAsia="zh-CN"/>
        </w:rPr>
        <w:t>租赁负债</w:t>
      </w:r>
    </w:p>
    <w:tbl>
      <w:tblPr>
        <w:tblStyle w:val="12"/>
        <w:tblW w:w="5506" w:type="pct"/>
        <w:tblInd w:w="22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473"/>
        <w:gridCol w:w="3216"/>
        <w:gridCol w:w="36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6" w:hRule="atLeast"/>
        </w:trPr>
        <w:tc>
          <w:tcPr>
            <w:tcW w:w="1317" w:type="pct"/>
            <w:tcBorders>
              <w:tl2br w:val="nil"/>
              <w:tr2bl w:val="nil"/>
            </w:tcBorders>
            <w:noWrap w:val="0"/>
            <w:vAlign w:val="center"/>
          </w:tcPr>
          <w:p>
            <w:pPr>
              <w:spacing w:line="210" w:lineRule="exact"/>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项目</w:t>
            </w:r>
          </w:p>
        </w:tc>
        <w:tc>
          <w:tcPr>
            <w:tcW w:w="1713"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年初余额</w:t>
            </w:r>
          </w:p>
        </w:tc>
        <w:tc>
          <w:tcPr>
            <w:tcW w:w="1968" w:type="pct"/>
            <w:tcBorders>
              <w:tl2br w:val="nil"/>
              <w:tr2bl w:val="nil"/>
            </w:tcBorders>
            <w:noWrap w:val="0"/>
            <w:vAlign w:val="center"/>
          </w:tcPr>
          <w:p>
            <w:pPr>
              <w:widowControl/>
              <w:spacing w:beforeLines="0" w:afterLines="0"/>
              <w:jc w:val="center"/>
              <w:rPr>
                <w:rFonts w:hint="eastAsia"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rPr>
              <w:t>年</w:t>
            </w:r>
            <w:r>
              <w:rPr>
                <w:rFonts w:hint="eastAsia" w:ascii="宋体" w:hAnsi="宋体" w:eastAsia="宋体" w:cs="宋体"/>
                <w:b/>
                <w:bCs/>
                <w:color w:val="auto"/>
                <w:kern w:val="0"/>
                <w:sz w:val="20"/>
                <w:szCs w:val="20"/>
                <w:highlight w:val="none"/>
              </w:rPr>
              <w:t>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trPr>
        <w:tc>
          <w:tcPr>
            <w:tcW w:w="1317" w:type="pct"/>
            <w:tcBorders>
              <w:tl2br w:val="nil"/>
              <w:tr2bl w:val="nil"/>
            </w:tcBorders>
            <w:noWrap w:val="0"/>
            <w:vAlign w:val="center"/>
          </w:tcPr>
          <w:p>
            <w:pPr>
              <w:spacing w:line="210" w:lineRule="exact"/>
              <w:jc w:val="both"/>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rPr>
              <w:t>租赁付款额</w:t>
            </w:r>
          </w:p>
        </w:tc>
        <w:tc>
          <w:tcPr>
            <w:tcW w:w="1713"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0.00</w:t>
            </w:r>
          </w:p>
        </w:tc>
        <w:tc>
          <w:tcPr>
            <w:tcW w:w="1968"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 1,161,382.77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trPr>
        <w:tc>
          <w:tcPr>
            <w:tcW w:w="1317" w:type="pct"/>
            <w:tcBorders>
              <w:tl2br w:val="nil"/>
              <w:tr2bl w:val="nil"/>
            </w:tcBorders>
            <w:noWrap w:val="0"/>
            <w:vAlign w:val="center"/>
          </w:tcPr>
          <w:p>
            <w:pPr>
              <w:spacing w:line="210" w:lineRule="exact"/>
              <w:jc w:val="both"/>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减：租赁未确认融资费用</w:t>
            </w:r>
          </w:p>
        </w:tc>
        <w:tc>
          <w:tcPr>
            <w:tcW w:w="1713"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0.00</w:t>
            </w:r>
          </w:p>
        </w:tc>
        <w:tc>
          <w:tcPr>
            <w:tcW w:w="1968"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color w:val="auto"/>
                <w:sz w:val="20"/>
                <w:szCs w:val="20"/>
                <w:highlight w:val="none"/>
              </w:rPr>
              <w:t>23,609.62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6" w:hRule="atLeast"/>
        </w:trPr>
        <w:tc>
          <w:tcPr>
            <w:tcW w:w="1317" w:type="pct"/>
            <w:tcBorders>
              <w:tl2br w:val="nil"/>
              <w:tr2bl w:val="nil"/>
            </w:tcBorders>
            <w:noWrap w:val="0"/>
            <w:vAlign w:val="center"/>
          </w:tcPr>
          <w:p>
            <w:pPr>
              <w:spacing w:line="210" w:lineRule="exact"/>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租赁负债净额</w:t>
            </w:r>
          </w:p>
        </w:tc>
        <w:tc>
          <w:tcPr>
            <w:tcW w:w="1713"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0.00</w:t>
            </w:r>
          </w:p>
        </w:tc>
        <w:tc>
          <w:tcPr>
            <w:tcW w:w="1968" w:type="pct"/>
            <w:tcBorders>
              <w:tl2br w:val="nil"/>
              <w:tr2bl w:val="nil"/>
            </w:tcBorders>
            <w:noWrap w:val="0"/>
            <w:vAlign w:val="center"/>
          </w:tcPr>
          <w:p>
            <w:pPr>
              <w:keepNext w:val="0"/>
              <w:keepLines w:val="0"/>
              <w:widowControl/>
              <w:suppressLineNumbers w:val="0"/>
              <w:jc w:val="righ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 xml:space="preserve"> 1,137,773.15 </w:t>
            </w:r>
          </w:p>
        </w:tc>
      </w:tr>
    </w:tbl>
    <w:p>
      <w:pPr>
        <w:spacing w:line="540" w:lineRule="exact"/>
        <w:ind w:firstLine="240" w:firstLineChars="10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lang w:val="en-US" w:eastAsia="zh-CN"/>
        </w:rPr>
        <w:t>7.21</w:t>
      </w:r>
      <w:r>
        <w:rPr>
          <w:rFonts w:hint="eastAsia" w:ascii="Arial Narrow Regular" w:hAnsi="Arial Narrow Regular" w:cs="Arial Narrow Regular"/>
          <w:color w:val="auto"/>
          <w:sz w:val="24"/>
          <w:highlight w:val="none"/>
        </w:rPr>
        <w:t>预计负债</w:t>
      </w:r>
    </w:p>
    <w:tbl>
      <w:tblPr>
        <w:tblStyle w:val="12"/>
        <w:tblW w:w="9356"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76"/>
        <w:gridCol w:w="3490"/>
        <w:gridCol w:w="31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2676"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349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19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2676" w:type="dxa"/>
            <w:noWrap w:val="0"/>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租赁恢复相关成本</w:t>
            </w:r>
          </w:p>
        </w:tc>
        <w:tc>
          <w:tcPr>
            <w:tcW w:w="3490" w:type="dxa"/>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190" w:type="dxa"/>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221,091.42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2676" w:type="dxa"/>
            <w:noWrap w:val="0"/>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信用卡未用信减值准备</w:t>
            </w:r>
          </w:p>
        </w:tc>
        <w:tc>
          <w:tcPr>
            <w:tcW w:w="3490"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16,749.35 </w:t>
            </w:r>
          </w:p>
        </w:tc>
        <w:tc>
          <w:tcPr>
            <w:tcW w:w="319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18,455.48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2676" w:type="dxa"/>
            <w:noWrap w:val="0"/>
            <w:vAlign w:val="center"/>
          </w:tcPr>
          <w:p>
            <w:pPr>
              <w:jc w:val="center"/>
              <w:rPr>
                <w:rFonts w:ascii="宋体" w:hAnsi="宋体" w:cs="宋体"/>
                <w:b/>
                <w:bCs/>
                <w:color w:val="auto"/>
                <w:sz w:val="20"/>
                <w:szCs w:val="20"/>
                <w:highlight w:val="none"/>
              </w:rPr>
            </w:pPr>
            <w:r>
              <w:rPr>
                <w:rFonts w:hint="eastAsia" w:ascii="宋体" w:hAnsi="宋体"/>
                <w:b/>
                <w:bCs/>
                <w:color w:val="auto"/>
                <w:sz w:val="20"/>
                <w:szCs w:val="20"/>
                <w:highlight w:val="none"/>
              </w:rPr>
              <w:t>合计</w:t>
            </w:r>
          </w:p>
        </w:tc>
        <w:tc>
          <w:tcPr>
            <w:tcW w:w="3490"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16,749.35 </w:t>
            </w:r>
          </w:p>
        </w:tc>
        <w:tc>
          <w:tcPr>
            <w:tcW w:w="3190"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239,546.90</w:t>
            </w:r>
          </w:p>
        </w:tc>
      </w:tr>
    </w:tbl>
    <w:p>
      <w:pPr>
        <w:spacing w:line="540" w:lineRule="exact"/>
        <w:ind w:firstLine="120" w:firstLineChars="50"/>
        <w:outlineLvl w:val="1"/>
        <w:rPr>
          <w:rFonts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2</w:t>
      </w:r>
      <w:r>
        <w:rPr>
          <w:rFonts w:hint="eastAsia" w:ascii="Arial Narrow Regular" w:hAnsi="Arial Narrow Regular" w:cs="Arial Narrow Regular"/>
          <w:color w:val="auto"/>
          <w:sz w:val="24"/>
          <w:highlight w:val="none"/>
        </w:rPr>
        <w:t>递延所得税负债</w:t>
      </w:r>
    </w:p>
    <w:tbl>
      <w:tblPr>
        <w:tblStyle w:val="12"/>
        <w:tblW w:w="9376" w:type="dxa"/>
        <w:tblInd w:w="250" w:type="dxa"/>
        <w:tblLayout w:type="fixed"/>
        <w:tblCellMar>
          <w:top w:w="0" w:type="dxa"/>
          <w:left w:w="108" w:type="dxa"/>
          <w:bottom w:w="0" w:type="dxa"/>
          <w:right w:w="108" w:type="dxa"/>
        </w:tblCellMar>
      </w:tblPr>
      <w:tblGrid>
        <w:gridCol w:w="3226"/>
        <w:gridCol w:w="2920"/>
        <w:gridCol w:w="3230"/>
      </w:tblGrid>
      <w:tr>
        <w:trPr>
          <w:trHeight w:val="340" w:hRule="atLeast"/>
          <w:tblHeader/>
        </w:trPr>
        <w:tc>
          <w:tcPr>
            <w:tcW w:w="322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单位名称</w:t>
            </w:r>
          </w:p>
        </w:tc>
        <w:tc>
          <w:tcPr>
            <w:tcW w:w="292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3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3226" w:type="dxa"/>
            <w:tcBorders>
              <w:top w:val="nil"/>
              <w:left w:val="single" w:color="auto" w:sz="8" w:space="0"/>
              <w:bottom w:val="single" w:color="auto" w:sz="8" w:space="0"/>
              <w:right w:val="single" w:color="auto" w:sz="8" w:space="0"/>
            </w:tcBorders>
            <w:noWrap w:val="0"/>
            <w:vAlign w:val="top"/>
          </w:tcPr>
          <w:p>
            <w:pPr>
              <w:widowControl/>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计入所有者权益的递延所得税负债</w:t>
            </w:r>
          </w:p>
        </w:tc>
        <w:tc>
          <w:tcPr>
            <w:tcW w:w="29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p>
        </w:tc>
        <w:tc>
          <w:tcPr>
            <w:tcW w:w="32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4,385,529.83</w:t>
            </w:r>
          </w:p>
        </w:tc>
      </w:tr>
      <w:tr>
        <w:trPr>
          <w:trHeight w:val="340" w:hRule="atLeast"/>
        </w:trPr>
        <w:tc>
          <w:tcPr>
            <w:tcW w:w="3226" w:type="dxa"/>
            <w:tcBorders>
              <w:top w:val="nil"/>
              <w:left w:val="single" w:color="auto" w:sz="8" w:space="0"/>
              <w:bottom w:val="single" w:color="auto" w:sz="8" w:space="0"/>
              <w:right w:val="single" w:color="auto" w:sz="8" w:space="0"/>
            </w:tcBorders>
            <w:noWrap w:val="0"/>
            <w:vAlign w:val="top"/>
          </w:tcPr>
          <w:p>
            <w:pPr>
              <w:widowControl/>
              <w:jc w:val="both"/>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其他递延所得税负债</w:t>
            </w:r>
          </w:p>
        </w:tc>
        <w:tc>
          <w:tcPr>
            <w:tcW w:w="2920" w:type="dxa"/>
            <w:tcBorders>
              <w:top w:val="nil"/>
              <w:left w:val="nil"/>
              <w:bottom w:val="single" w:color="auto" w:sz="8" w:space="0"/>
              <w:right w:val="single" w:color="auto" w:sz="8" w:space="0"/>
            </w:tcBorders>
            <w:noWrap w:val="0"/>
            <w:vAlign w:val="bottom"/>
          </w:tcPr>
          <w:p>
            <w:pPr>
              <w:widowControl/>
              <w:jc w:val="right"/>
              <w:textAlignment w:val="center"/>
              <w:rPr>
                <w:rFonts w:hint="eastAsia" w:ascii="宋体" w:hAnsi="宋体" w:eastAsia="宋体" w:cs="宋体"/>
                <w:color w:val="auto"/>
                <w:kern w:val="0"/>
                <w:sz w:val="20"/>
                <w:szCs w:val="20"/>
                <w:highlight w:val="none"/>
                <w:lang w:bidi="ar"/>
              </w:rPr>
            </w:pPr>
            <w:r>
              <w:rPr>
                <w:rFonts w:hint="default" w:ascii="宋体" w:hAnsi="宋体" w:eastAsia="宋体" w:cs="宋体"/>
                <w:color w:val="auto"/>
                <w:kern w:val="0"/>
                <w:sz w:val="20"/>
                <w:szCs w:val="20"/>
                <w:highlight w:val="none"/>
                <w:lang w:val="en-US" w:eastAsia="zh-CN" w:bidi="ar"/>
              </w:rPr>
              <w:t xml:space="preserve"> 14,584,281.24 </w:t>
            </w:r>
          </w:p>
        </w:tc>
        <w:tc>
          <w:tcPr>
            <w:tcW w:w="323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9,211,541.45</w:t>
            </w:r>
          </w:p>
        </w:tc>
      </w:tr>
      <w:tr>
        <w:trPr>
          <w:trHeight w:val="340" w:hRule="atLeast"/>
        </w:trPr>
        <w:tc>
          <w:tcPr>
            <w:tcW w:w="322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92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4"/>
                <w:highlight w:val="none"/>
              </w:rPr>
            </w:pPr>
            <w:r>
              <w:rPr>
                <w:rFonts w:hint="default" w:ascii="宋体" w:hAnsi="宋体" w:eastAsia="宋体" w:cs="宋体"/>
                <w:color w:val="auto"/>
                <w:kern w:val="0"/>
                <w:sz w:val="20"/>
                <w:szCs w:val="20"/>
                <w:highlight w:val="none"/>
                <w:lang w:bidi="ar"/>
              </w:rPr>
              <w:t xml:space="preserve"> 14,584,281.24</w:t>
            </w:r>
            <w:r>
              <w:rPr>
                <w:rFonts w:hint="default" w:ascii="宋体" w:hAnsi="宋体" w:eastAsia="宋体" w:cs="宋体"/>
                <w:b/>
                <w:bCs/>
                <w:color w:val="auto"/>
                <w:kern w:val="0"/>
                <w:sz w:val="20"/>
                <w:szCs w:val="20"/>
                <w:highlight w:val="none"/>
                <w:lang w:val="en-US" w:eastAsia="zh-CN" w:bidi="ar"/>
              </w:rPr>
              <w:t xml:space="preserve"> </w:t>
            </w:r>
          </w:p>
        </w:tc>
        <w:tc>
          <w:tcPr>
            <w:tcW w:w="323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13,597,071.28</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其他负债</w:t>
      </w:r>
    </w:p>
    <w:tbl>
      <w:tblPr>
        <w:tblStyle w:val="12"/>
        <w:tblW w:w="9366" w:type="dxa"/>
        <w:tblInd w:w="250" w:type="dxa"/>
        <w:tblLayout w:type="fixed"/>
        <w:tblCellMar>
          <w:top w:w="0" w:type="dxa"/>
          <w:left w:w="108" w:type="dxa"/>
          <w:bottom w:w="0" w:type="dxa"/>
          <w:right w:w="108" w:type="dxa"/>
        </w:tblCellMar>
      </w:tblPr>
      <w:tblGrid>
        <w:gridCol w:w="2703"/>
        <w:gridCol w:w="3473"/>
        <w:gridCol w:w="3190"/>
      </w:tblGrid>
      <w:tr>
        <w:trPr>
          <w:trHeight w:val="285" w:hRule="atLeast"/>
        </w:trPr>
        <w:tc>
          <w:tcPr>
            <w:tcW w:w="270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3473"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19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应付利息</w:t>
            </w:r>
          </w:p>
        </w:tc>
        <w:tc>
          <w:tcPr>
            <w:tcW w:w="3473" w:type="dxa"/>
            <w:tcBorders>
              <w:top w:val="nil"/>
              <w:left w:val="nil"/>
              <w:bottom w:val="single" w:color="auto" w:sz="8" w:space="0"/>
              <w:right w:val="single" w:color="auto" w:sz="8" w:space="0"/>
            </w:tcBorders>
            <w:noWrap w:val="0"/>
            <w:vAlign w:val="bottom"/>
          </w:tcPr>
          <w:p>
            <w:pPr>
              <w:widowControl/>
              <w:jc w:val="right"/>
              <w:textAlignment w:val="bottom"/>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377,423,999.00</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335,783,770.32</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应付股利</w:t>
            </w:r>
          </w:p>
        </w:tc>
        <w:tc>
          <w:tcPr>
            <w:tcW w:w="347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6,690,180.02 </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20,572,253.88</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其他应付款</w:t>
            </w:r>
          </w:p>
        </w:tc>
        <w:tc>
          <w:tcPr>
            <w:tcW w:w="347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t xml:space="preserve"> 35,547,304.26 </w:t>
            </w:r>
            <w:r>
              <w:rPr>
                <w:rFonts w:ascii="宋体" w:hAnsi="宋体" w:cs="宋体"/>
                <w:color w:val="auto"/>
                <w:kern w:val="0"/>
                <w:sz w:val="20"/>
                <w:szCs w:val="20"/>
                <w:highlight w:val="none"/>
                <w:lang w:bidi="ar"/>
              </w:rPr>
              <w:t xml:space="preserve"> </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31,513,877.56</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其他代理业务资产</w:t>
            </w:r>
          </w:p>
        </w:tc>
        <w:tc>
          <w:tcPr>
            <w:tcW w:w="347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-348,474,223.07 </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-348,474,223.07</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代理业务负债</w:t>
            </w:r>
          </w:p>
        </w:tc>
        <w:tc>
          <w:tcPr>
            <w:tcW w:w="3473"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348,519,874.09</w:t>
            </w:r>
          </w:p>
        </w:tc>
        <w:tc>
          <w:tcPr>
            <w:tcW w:w="3190"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color w:val="auto"/>
                <w:sz w:val="20"/>
                <w:szCs w:val="20"/>
                <w:highlight w:val="none"/>
              </w:rPr>
            </w:pPr>
            <w:r>
              <w:rPr>
                <w:rFonts w:ascii="宋体" w:hAnsi="宋体" w:cs="宋体"/>
                <w:color w:val="auto"/>
                <w:sz w:val="20"/>
                <w:szCs w:val="20"/>
                <w:highlight w:val="none"/>
              </w:rPr>
              <w:t>349,655,256.76</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长期借款</w:t>
            </w:r>
          </w:p>
        </w:tc>
        <w:tc>
          <w:tcPr>
            <w:tcW w:w="347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rPr>
              <w:t xml:space="preserve"> 11,299,708.20 </w:t>
            </w:r>
          </w:p>
        </w:tc>
        <w:tc>
          <w:tcPr>
            <w:tcW w:w="31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11,299,708.20</w:t>
            </w:r>
          </w:p>
        </w:tc>
      </w:tr>
      <w:tr>
        <w:trPr>
          <w:trHeight w:val="345" w:hRule="atLeast"/>
        </w:trPr>
        <w:tc>
          <w:tcPr>
            <w:tcW w:w="2703" w:type="dxa"/>
            <w:tcBorders>
              <w:top w:val="nil"/>
              <w:left w:val="single" w:color="auto" w:sz="8" w:space="0"/>
              <w:bottom w:val="single" w:color="auto" w:sz="8" w:space="0"/>
              <w:right w:val="single" w:color="auto" w:sz="8" w:space="0"/>
            </w:tcBorders>
            <w:noWrap w:val="0"/>
            <w:vAlign w:val="center"/>
          </w:tcPr>
          <w:p>
            <w:pPr>
              <w:jc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合计</w:t>
            </w:r>
          </w:p>
        </w:tc>
        <w:tc>
          <w:tcPr>
            <w:tcW w:w="3473"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431,006,842.50 </w:t>
            </w:r>
          </w:p>
        </w:tc>
        <w:tc>
          <w:tcPr>
            <w:tcW w:w="3190"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400,350,643.65</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.1应付利息</w:t>
      </w:r>
    </w:p>
    <w:tbl>
      <w:tblPr>
        <w:tblStyle w:val="12"/>
        <w:tblW w:w="9366" w:type="dxa"/>
        <w:tblInd w:w="250" w:type="dxa"/>
        <w:tblLayout w:type="fixed"/>
        <w:tblCellMar>
          <w:top w:w="0" w:type="dxa"/>
          <w:left w:w="108" w:type="dxa"/>
          <w:bottom w:w="0" w:type="dxa"/>
          <w:right w:w="108" w:type="dxa"/>
        </w:tblCellMar>
      </w:tblPr>
      <w:tblGrid>
        <w:gridCol w:w="2683"/>
        <w:gridCol w:w="3480"/>
        <w:gridCol w:w="3203"/>
      </w:tblGrid>
      <w:tr>
        <w:tblPrEx>
          <w:tblCellMar>
            <w:top w:w="0" w:type="dxa"/>
            <w:left w:w="108" w:type="dxa"/>
            <w:bottom w:w="0" w:type="dxa"/>
            <w:right w:w="108" w:type="dxa"/>
          </w:tblCellMar>
        </w:tblPrEx>
        <w:trPr>
          <w:trHeight w:val="340" w:hRule="atLeast"/>
          <w:tblHeader/>
        </w:trPr>
        <w:tc>
          <w:tcPr>
            <w:tcW w:w="268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  目</w:t>
            </w:r>
          </w:p>
        </w:tc>
        <w:tc>
          <w:tcPr>
            <w:tcW w:w="348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3203"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268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应计利息 </w:t>
            </w:r>
          </w:p>
        </w:tc>
        <w:tc>
          <w:tcPr>
            <w:tcW w:w="34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375,136,031.11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334,337,197.43</w:t>
            </w:r>
          </w:p>
        </w:tc>
      </w:tr>
      <w:tr>
        <w:tblPrEx>
          <w:tblCellMar>
            <w:top w:w="0" w:type="dxa"/>
            <w:left w:w="108" w:type="dxa"/>
            <w:bottom w:w="0" w:type="dxa"/>
            <w:right w:w="108" w:type="dxa"/>
          </w:tblCellMar>
        </w:tblPrEx>
        <w:trPr>
          <w:trHeight w:val="340" w:hRule="atLeast"/>
        </w:trPr>
        <w:tc>
          <w:tcPr>
            <w:tcW w:w="268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其他应付利息 </w:t>
            </w:r>
          </w:p>
        </w:tc>
        <w:tc>
          <w:tcPr>
            <w:tcW w:w="348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2,287,967.89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1,446,572.89</w:t>
            </w:r>
          </w:p>
        </w:tc>
      </w:tr>
      <w:tr>
        <w:trPr>
          <w:trHeight w:val="340" w:hRule="atLeast"/>
        </w:trPr>
        <w:tc>
          <w:tcPr>
            <w:tcW w:w="2683"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3480" w:type="dxa"/>
            <w:tcBorders>
              <w:top w:val="nil"/>
              <w:left w:val="nil"/>
              <w:bottom w:val="single" w:color="auto" w:sz="8" w:space="0"/>
              <w:right w:val="single" w:color="auto" w:sz="8" w:space="0"/>
            </w:tcBorders>
            <w:noWrap w:val="0"/>
            <w:vAlign w:val="center"/>
          </w:tcPr>
          <w:p>
            <w:pPr>
              <w:widowControl/>
              <w:jc w:val="right"/>
              <w:textAlignment w:val="bottom"/>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377,423,999.00 </w:t>
            </w:r>
          </w:p>
        </w:tc>
        <w:tc>
          <w:tcPr>
            <w:tcW w:w="320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335,783,770.32</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.2应付股利</w:t>
      </w:r>
    </w:p>
    <w:tbl>
      <w:tblPr>
        <w:tblStyle w:val="12"/>
        <w:tblW w:w="9376" w:type="dxa"/>
        <w:tblInd w:w="250" w:type="dxa"/>
        <w:tblLayout w:type="fixed"/>
        <w:tblCellMar>
          <w:top w:w="0" w:type="dxa"/>
          <w:left w:w="108" w:type="dxa"/>
          <w:bottom w:w="0" w:type="dxa"/>
          <w:right w:w="108" w:type="dxa"/>
        </w:tblCellMar>
      </w:tblPr>
      <w:tblGrid>
        <w:gridCol w:w="2156"/>
        <w:gridCol w:w="1890"/>
        <w:gridCol w:w="1876"/>
        <w:gridCol w:w="1702"/>
        <w:gridCol w:w="1752"/>
      </w:tblGrid>
      <w:tr>
        <w:tblPrEx>
          <w:tblCellMar>
            <w:top w:w="0" w:type="dxa"/>
            <w:left w:w="108" w:type="dxa"/>
            <w:bottom w:w="0" w:type="dxa"/>
            <w:right w:w="108" w:type="dxa"/>
          </w:tblCellMar>
        </w:tblPrEx>
        <w:trPr>
          <w:trHeight w:val="285" w:hRule="atLeast"/>
        </w:trPr>
        <w:tc>
          <w:tcPr>
            <w:tcW w:w="215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89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87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70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752"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285" w:hRule="atLeast"/>
        </w:trPr>
        <w:tc>
          <w:tcPr>
            <w:tcW w:w="2156" w:type="dxa"/>
            <w:tcBorders>
              <w:top w:val="single" w:color="auto" w:sz="8" w:space="0"/>
              <w:left w:val="single" w:color="auto" w:sz="8" w:space="0"/>
              <w:bottom w:val="single" w:color="auto" w:sz="8" w:space="0"/>
              <w:right w:val="single" w:color="auto" w:sz="8" w:space="0"/>
            </w:tcBorders>
            <w:noWrap w:val="0"/>
            <w:vAlign w:val="center"/>
          </w:tcPr>
          <w:p>
            <w:pPr>
              <w:widowControl/>
              <w:rPr>
                <w:rFonts w:ascii="宋体" w:hAnsi="宋体" w:cs="宋体"/>
                <w:color w:val="auto"/>
                <w:kern w:val="0"/>
                <w:sz w:val="20"/>
                <w:szCs w:val="20"/>
                <w:highlight w:val="none"/>
              </w:rPr>
            </w:pPr>
            <w:r>
              <w:rPr>
                <w:rFonts w:hint="eastAsia" w:ascii="宋体" w:hAnsi="宋体" w:cs="Arial"/>
                <w:color w:val="auto"/>
                <w:sz w:val="20"/>
                <w:szCs w:val="20"/>
                <w:highlight w:val="none"/>
              </w:rPr>
              <w:t>应付股利</w:t>
            </w:r>
          </w:p>
        </w:tc>
        <w:tc>
          <w:tcPr>
            <w:tcW w:w="189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6,690,180.02 </w:t>
            </w:r>
          </w:p>
        </w:tc>
        <w:tc>
          <w:tcPr>
            <w:tcW w:w="1876"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21,921,937.70</w:t>
            </w:r>
          </w:p>
        </w:tc>
        <w:tc>
          <w:tcPr>
            <w:tcW w:w="1702"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8,039,863.84</w:t>
            </w:r>
          </w:p>
        </w:tc>
        <w:tc>
          <w:tcPr>
            <w:tcW w:w="1752"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20,572,253.88</w:t>
            </w:r>
          </w:p>
        </w:tc>
      </w:tr>
      <w:tr>
        <w:tblPrEx>
          <w:tblCellMar>
            <w:top w:w="0" w:type="dxa"/>
            <w:left w:w="108" w:type="dxa"/>
            <w:bottom w:w="0" w:type="dxa"/>
            <w:right w:w="108" w:type="dxa"/>
          </w:tblCellMar>
        </w:tblPrEx>
        <w:trPr>
          <w:trHeight w:val="285" w:hRule="atLeast"/>
        </w:trPr>
        <w:tc>
          <w:tcPr>
            <w:tcW w:w="215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890" w:type="dxa"/>
            <w:tcBorders>
              <w:top w:val="single" w:color="auto" w:sz="8" w:space="0"/>
              <w:left w:val="single" w:color="auto" w:sz="8" w:space="0"/>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color w:val="auto"/>
                <w:kern w:val="0"/>
                <w:sz w:val="20"/>
                <w:szCs w:val="20"/>
                <w:highlight w:val="none"/>
                <w:lang w:bidi="ar"/>
              </w:rPr>
              <w:t xml:space="preserve"> 6,690,180.02 </w:t>
            </w:r>
          </w:p>
        </w:tc>
        <w:tc>
          <w:tcPr>
            <w:tcW w:w="1876"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b/>
                <w:color w:val="auto"/>
                <w:kern w:val="0"/>
                <w:sz w:val="20"/>
                <w:szCs w:val="20"/>
                <w:highlight w:val="none"/>
                <w:lang w:bidi="ar"/>
              </w:rPr>
            </w:pPr>
            <w:r>
              <w:rPr>
                <w:rFonts w:ascii="宋体" w:hAnsi="宋体" w:cs="宋体"/>
                <w:b/>
                <w:color w:val="auto"/>
                <w:kern w:val="0"/>
                <w:sz w:val="20"/>
                <w:szCs w:val="20"/>
                <w:highlight w:val="none"/>
                <w:lang w:bidi="ar"/>
              </w:rPr>
              <w:t>21,921,937.70</w:t>
            </w:r>
          </w:p>
        </w:tc>
        <w:tc>
          <w:tcPr>
            <w:tcW w:w="1702"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b/>
                <w:color w:val="auto"/>
                <w:kern w:val="0"/>
                <w:sz w:val="20"/>
                <w:szCs w:val="20"/>
                <w:highlight w:val="none"/>
                <w:lang w:bidi="ar"/>
              </w:rPr>
            </w:pPr>
            <w:r>
              <w:rPr>
                <w:rFonts w:ascii="宋体" w:hAnsi="宋体" w:cs="宋体"/>
                <w:b/>
                <w:color w:val="auto"/>
                <w:kern w:val="0"/>
                <w:sz w:val="20"/>
                <w:szCs w:val="20"/>
                <w:highlight w:val="none"/>
                <w:lang w:bidi="ar"/>
              </w:rPr>
              <w:t>8,039,863.84</w:t>
            </w:r>
          </w:p>
        </w:tc>
        <w:tc>
          <w:tcPr>
            <w:tcW w:w="1752"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b/>
                <w:color w:val="auto"/>
                <w:kern w:val="0"/>
                <w:sz w:val="20"/>
                <w:szCs w:val="20"/>
                <w:highlight w:val="none"/>
                <w:lang w:bidi="ar"/>
              </w:rPr>
            </w:pPr>
            <w:r>
              <w:rPr>
                <w:rFonts w:ascii="宋体" w:hAnsi="宋体" w:cs="宋体"/>
                <w:b/>
                <w:color w:val="auto"/>
                <w:kern w:val="0"/>
                <w:sz w:val="20"/>
                <w:szCs w:val="20"/>
                <w:highlight w:val="none"/>
                <w:lang w:bidi="ar"/>
              </w:rPr>
              <w:t>20,572,253.88</w:t>
            </w:r>
          </w:p>
        </w:tc>
      </w:tr>
    </w:tbl>
    <w:p>
      <w:pPr>
        <w:spacing w:line="540" w:lineRule="exact"/>
        <w:ind w:firstLine="120" w:firstLineChars="50"/>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3</w:t>
      </w:r>
      <w:r>
        <w:rPr>
          <w:rFonts w:hint="eastAsia" w:ascii="Arial Narrow Regular" w:hAnsi="Arial Narrow Regular" w:cs="Arial Narrow Regular"/>
          <w:color w:val="auto"/>
          <w:sz w:val="24"/>
          <w:highlight w:val="none"/>
        </w:rPr>
        <w:t>.3其他应付款</w:t>
      </w:r>
    </w:p>
    <w:tbl>
      <w:tblPr>
        <w:tblStyle w:val="12"/>
        <w:tblW w:w="9386" w:type="dxa"/>
        <w:tblInd w:w="250" w:type="dxa"/>
        <w:tblLayout w:type="fixed"/>
        <w:tblCellMar>
          <w:top w:w="0" w:type="dxa"/>
          <w:left w:w="108" w:type="dxa"/>
          <w:bottom w:w="0" w:type="dxa"/>
          <w:right w:w="108" w:type="dxa"/>
        </w:tblCellMar>
      </w:tblPr>
      <w:tblGrid>
        <w:gridCol w:w="2653"/>
        <w:gridCol w:w="3490"/>
        <w:gridCol w:w="3243"/>
      </w:tblGrid>
      <w:tr>
        <w:tblPrEx>
          <w:tblCellMar>
            <w:top w:w="0" w:type="dxa"/>
            <w:left w:w="108" w:type="dxa"/>
            <w:bottom w:w="0" w:type="dxa"/>
            <w:right w:w="108" w:type="dxa"/>
          </w:tblCellMar>
        </w:tblPrEx>
        <w:trPr>
          <w:trHeight w:val="340" w:hRule="atLeast"/>
          <w:tblHeader/>
        </w:trPr>
        <w:tc>
          <w:tcPr>
            <w:tcW w:w="265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w:t>
            </w:r>
            <w:r>
              <w:rPr>
                <w:rFonts w:ascii="宋体" w:hAnsi="宋体" w:cs="宋体"/>
                <w:b/>
                <w:bCs/>
                <w:color w:val="auto"/>
                <w:kern w:val="0"/>
                <w:sz w:val="20"/>
                <w:szCs w:val="20"/>
                <w:highlight w:val="none"/>
              </w:rPr>
              <w:t xml:space="preserve">  </w:t>
            </w:r>
            <w:r>
              <w:rPr>
                <w:rFonts w:hint="eastAsia" w:ascii="宋体" w:hAnsi="宋体" w:cs="宋体"/>
                <w:b/>
                <w:bCs/>
                <w:color w:val="auto"/>
                <w:kern w:val="0"/>
                <w:sz w:val="20"/>
                <w:szCs w:val="20"/>
                <w:highlight w:val="none"/>
              </w:rPr>
              <w:t>目</w:t>
            </w:r>
          </w:p>
        </w:tc>
        <w:tc>
          <w:tcPr>
            <w:tcW w:w="349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w:t>
            </w:r>
            <w:r>
              <w:rPr>
                <w:rFonts w:ascii="宋体" w:hAnsi="宋体" w:cs="宋体"/>
                <w:b/>
                <w:bCs/>
                <w:color w:val="auto"/>
                <w:kern w:val="0"/>
                <w:sz w:val="20"/>
                <w:szCs w:val="20"/>
                <w:highlight w:val="none"/>
              </w:rPr>
              <w:t>余额</w:t>
            </w:r>
          </w:p>
        </w:tc>
        <w:tc>
          <w:tcPr>
            <w:tcW w:w="3243"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ascii="宋体" w:hAnsi="宋体" w:cs="宋体"/>
                <w:b/>
                <w:bCs/>
                <w:color w:val="auto"/>
                <w:kern w:val="0"/>
                <w:sz w:val="20"/>
                <w:szCs w:val="20"/>
                <w:highlight w:val="none"/>
              </w:rPr>
              <w:t>年</w:t>
            </w:r>
            <w:r>
              <w:rPr>
                <w:rFonts w:hint="eastAsia" w:ascii="宋体" w:hAnsi="宋体" w:cs="宋体"/>
                <w:b/>
                <w:bCs/>
                <w:color w:val="auto"/>
                <w:kern w:val="0"/>
                <w:sz w:val="20"/>
                <w:szCs w:val="20"/>
                <w:highlight w:val="none"/>
              </w:rPr>
              <w:t>末</w:t>
            </w:r>
            <w:r>
              <w:rPr>
                <w:rFonts w:ascii="宋体" w:hAnsi="宋体" w:cs="宋体"/>
                <w:b/>
                <w:bCs/>
                <w:color w:val="auto"/>
                <w:kern w:val="0"/>
                <w:sz w:val="20"/>
                <w:szCs w:val="20"/>
                <w:highlight w:val="none"/>
              </w:rPr>
              <w:t>余额</w:t>
            </w:r>
          </w:p>
        </w:tc>
      </w:tr>
      <w:tr>
        <w:tblPrEx>
          <w:tblCellMar>
            <w:top w:w="0" w:type="dxa"/>
            <w:left w:w="108" w:type="dxa"/>
            <w:bottom w:w="0" w:type="dxa"/>
            <w:right w:w="108" w:type="dxa"/>
          </w:tblCellMar>
        </w:tblPrEx>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bidi="ar"/>
              </w:rPr>
              <w:t>应付结算长款</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24,607.11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14,500.92</w:t>
            </w:r>
          </w:p>
        </w:tc>
      </w:tr>
      <w:tr>
        <w:tblPrEx>
          <w:tblCellMar>
            <w:top w:w="0" w:type="dxa"/>
            <w:left w:w="108" w:type="dxa"/>
            <w:bottom w:w="0" w:type="dxa"/>
            <w:right w:w="108" w:type="dxa"/>
          </w:tblCellMar>
        </w:tblPrEx>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暂收结算款项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42.98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42.98</w:t>
            </w:r>
          </w:p>
        </w:tc>
      </w:tr>
      <w:tr>
        <w:trPr>
          <w:trHeight w:val="32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收回已置换不良贷款本息</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5,400.00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0.00</w:t>
            </w:r>
          </w:p>
        </w:tc>
      </w:tr>
      <w:tr>
        <w:tblPrEx>
          <w:tblCellMar>
            <w:top w:w="0" w:type="dxa"/>
            <w:left w:w="108" w:type="dxa"/>
            <w:bottom w:w="0" w:type="dxa"/>
            <w:right w:w="108" w:type="dxa"/>
          </w:tblCellMar>
        </w:tblPrEx>
        <w:trPr>
          <w:trHeight w:val="32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待清理股金</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1,205,967.80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1,202,087.80</w:t>
            </w:r>
          </w:p>
        </w:tc>
      </w:tr>
      <w:tr>
        <w:tblPrEx>
          <w:tblCellMar>
            <w:top w:w="0" w:type="dxa"/>
            <w:left w:w="108" w:type="dxa"/>
            <w:bottom w:w="0" w:type="dxa"/>
            <w:right w:w="108" w:type="dxa"/>
          </w:tblCellMar>
        </w:tblPrEx>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Arial"/>
                <w:color w:val="auto"/>
                <w:sz w:val="20"/>
                <w:szCs w:val="20"/>
                <w:highlight w:val="none"/>
              </w:rPr>
            </w:pPr>
            <w:r>
              <w:rPr>
                <w:rFonts w:hint="eastAsia" w:ascii="宋体" w:hAnsi="宋体" w:cs="宋体"/>
                <w:color w:val="auto"/>
                <w:kern w:val="0"/>
                <w:sz w:val="20"/>
                <w:szCs w:val="20"/>
                <w:highlight w:val="none"/>
                <w:lang w:bidi="ar"/>
              </w:rPr>
              <w:t>应付保证金</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2,206,088.52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1,504,219.80</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Arial"/>
                <w:color w:val="auto"/>
                <w:sz w:val="20"/>
                <w:szCs w:val="20"/>
                <w:highlight w:val="none"/>
              </w:rPr>
            </w:pPr>
            <w:r>
              <w:rPr>
                <w:rFonts w:hint="eastAsia" w:ascii="宋体" w:hAnsi="宋体" w:cs="宋体"/>
                <w:color w:val="auto"/>
                <w:kern w:val="0"/>
                <w:sz w:val="20"/>
                <w:szCs w:val="20"/>
                <w:highlight w:val="none"/>
                <w:lang w:bidi="ar"/>
              </w:rPr>
              <w:t>协助司法扣划款项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应付租赁款项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75,238.09</w:t>
            </w:r>
          </w:p>
        </w:tc>
      </w:tr>
      <w:tr>
        <w:tblPrEx>
          <w:tblCellMar>
            <w:top w:w="0" w:type="dxa"/>
            <w:left w:w="108" w:type="dxa"/>
            <w:bottom w:w="0" w:type="dxa"/>
            <w:right w:w="108" w:type="dxa"/>
          </w:tblCellMar>
        </w:tblPrEx>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应付贷款批量转让款项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5,250.22</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暂收财务经费退汇款项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16,000.00</w:t>
            </w:r>
          </w:p>
        </w:tc>
      </w:tr>
      <w:tr>
        <w:tblPrEx>
          <w:tblCellMar>
            <w:top w:w="0" w:type="dxa"/>
            <w:left w:w="108" w:type="dxa"/>
            <w:bottom w:w="0" w:type="dxa"/>
            <w:right w:w="108" w:type="dxa"/>
          </w:tblCellMar>
        </w:tblPrEx>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财务暂收及应付款项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21,167,724.49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23,154,145.04</w:t>
            </w:r>
          </w:p>
        </w:tc>
      </w:tr>
      <w:tr>
        <w:tblPrEx>
          <w:tblCellMar>
            <w:top w:w="0" w:type="dxa"/>
            <w:left w:w="108" w:type="dxa"/>
            <w:bottom w:w="0" w:type="dxa"/>
            <w:right w:w="108" w:type="dxa"/>
          </w:tblCellMar>
        </w:tblPrEx>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应付党组织工作经费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r>
              <w:rPr>
                <w:rFonts w:hint="eastAsia" w:ascii="宋体" w:hAnsi="宋体" w:cs="宋体"/>
                <w:color w:val="auto"/>
                <w:kern w:val="0"/>
                <w:sz w:val="20"/>
                <w:szCs w:val="20"/>
                <w:highlight w:val="none"/>
                <w:lang w:bidi="ar"/>
              </w:rPr>
              <w:t xml:space="preserve">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156,209.61</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其他应付款项</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t xml:space="preserve"> 10,937,473.36 </w:t>
            </w:r>
            <w:r>
              <w:rPr>
                <w:rFonts w:ascii="宋体" w:hAnsi="宋体" w:cs="宋体"/>
                <w:color w:val="auto"/>
                <w:kern w:val="0"/>
                <w:sz w:val="20"/>
                <w:szCs w:val="20"/>
                <w:highlight w:val="none"/>
                <w:lang w:bidi="ar"/>
              </w:rPr>
              <w:t xml:space="preserve">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5,386,183.10</w:t>
            </w:r>
          </w:p>
        </w:tc>
      </w:tr>
      <w:tr>
        <w:trPr>
          <w:trHeight w:val="340" w:hRule="atLeast"/>
        </w:trPr>
        <w:tc>
          <w:tcPr>
            <w:tcW w:w="2653"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349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35,547,304.26 </w:t>
            </w:r>
          </w:p>
        </w:tc>
        <w:tc>
          <w:tcPr>
            <w:tcW w:w="3243"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31,513,877.56</w:t>
            </w:r>
          </w:p>
        </w:tc>
      </w:tr>
    </w:tbl>
    <w:p>
      <w:pPr>
        <w:spacing w:line="540" w:lineRule="exact"/>
        <w:ind w:firstLine="120" w:firstLineChars="5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4</w:t>
      </w:r>
      <w:r>
        <w:rPr>
          <w:rFonts w:hint="eastAsia" w:ascii="Arial Narrow Regular" w:hAnsi="Arial Narrow Regular" w:cs="Arial Narrow Regular"/>
          <w:color w:val="auto"/>
          <w:sz w:val="24"/>
          <w:highlight w:val="none"/>
        </w:rPr>
        <w:t>实收资本</w:t>
      </w:r>
    </w:p>
    <w:tbl>
      <w:tblPr>
        <w:tblStyle w:val="12"/>
        <w:tblW w:w="9358"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76"/>
        <w:gridCol w:w="1630"/>
        <w:gridCol w:w="1610"/>
        <w:gridCol w:w="1730"/>
        <w:gridCol w:w="17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2676"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163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1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730"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712"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676" w:type="dxa"/>
            <w:noWrap w:val="0"/>
            <w:vAlign w:val="center"/>
          </w:tcPr>
          <w:p>
            <w:pPr>
              <w:widowControl/>
              <w:rPr>
                <w:rFonts w:ascii="宋体" w:hAnsi="宋体" w:cs="宋体"/>
                <w:color w:val="auto"/>
                <w:kern w:val="0"/>
                <w:sz w:val="20"/>
                <w:szCs w:val="20"/>
                <w:highlight w:val="none"/>
              </w:rPr>
            </w:pPr>
            <w:r>
              <w:rPr>
                <w:rFonts w:hint="eastAsia" w:ascii="宋体" w:hAnsi="宋体" w:cs="Arial"/>
                <w:color w:val="auto"/>
                <w:sz w:val="20"/>
                <w:szCs w:val="20"/>
                <w:highlight w:val="none"/>
              </w:rPr>
              <w:t>法人、自然人投资人</w:t>
            </w:r>
          </w:p>
        </w:tc>
        <w:tc>
          <w:tcPr>
            <w:tcW w:w="1630" w:type="dxa"/>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364,961,892.00</w:t>
            </w:r>
          </w:p>
        </w:tc>
        <w:tc>
          <w:tcPr>
            <w:tcW w:w="1610" w:type="dxa"/>
            <w:noWrap w:val="0"/>
            <w:vAlign w:val="center"/>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229,234.66</w:t>
            </w:r>
          </w:p>
        </w:tc>
        <w:tc>
          <w:tcPr>
            <w:tcW w:w="1730" w:type="dxa"/>
            <w:noWrap w:val="0"/>
            <w:vAlign w:val="center"/>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229,234.66</w:t>
            </w:r>
          </w:p>
        </w:tc>
        <w:tc>
          <w:tcPr>
            <w:tcW w:w="1712" w:type="dxa"/>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364,961,892.00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676" w:type="dxa"/>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630" w:type="dxa"/>
            <w:noWrap w:val="0"/>
            <w:vAlign w:val="top"/>
          </w:tcPr>
          <w:p>
            <w:pPr>
              <w:widowControl/>
              <w:jc w:val="right"/>
              <w:textAlignment w:val="top"/>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364,961,892.00</w:t>
            </w:r>
          </w:p>
        </w:tc>
        <w:tc>
          <w:tcPr>
            <w:tcW w:w="1610" w:type="dxa"/>
            <w:noWrap w:val="0"/>
            <w:vAlign w:val="center"/>
          </w:tcPr>
          <w:p>
            <w:pPr>
              <w:widowControl/>
              <w:jc w:val="right"/>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229,234.66</w:t>
            </w:r>
          </w:p>
        </w:tc>
        <w:tc>
          <w:tcPr>
            <w:tcW w:w="1730" w:type="dxa"/>
            <w:noWrap w:val="0"/>
            <w:vAlign w:val="center"/>
          </w:tcPr>
          <w:p>
            <w:pPr>
              <w:widowControl/>
              <w:jc w:val="right"/>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229,234.66</w:t>
            </w:r>
          </w:p>
        </w:tc>
        <w:tc>
          <w:tcPr>
            <w:tcW w:w="1712" w:type="dxa"/>
            <w:noWrap w:val="0"/>
            <w:vAlign w:val="top"/>
          </w:tcPr>
          <w:p>
            <w:pPr>
              <w:widowControl/>
              <w:jc w:val="right"/>
              <w:textAlignment w:val="top"/>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364,961,892.00</w:t>
            </w:r>
          </w:p>
        </w:tc>
      </w:tr>
    </w:tbl>
    <w:p>
      <w:pPr>
        <w:spacing w:line="540" w:lineRule="exact"/>
        <w:ind w:firstLine="120" w:firstLineChars="50"/>
        <w:outlineLvl w:val="1"/>
        <w:rPr>
          <w:rFonts w:hint="eastAsia" w:ascii="Arial Narrow Regular" w:hAnsi="Arial Narrow Regular" w:cs="Arial Narrow Regular"/>
          <w:b/>
          <w:bCs/>
          <w:color w:val="auto"/>
          <w:sz w:val="24"/>
          <w:highlight w:val="none"/>
        </w:rPr>
      </w:pPr>
      <w:r>
        <w:rPr>
          <w:rFonts w:hint="eastAsia" w:ascii="Arial Narrow Regular" w:hAnsi="Arial Narrow Regular" w:cs="Arial Narrow Regular"/>
          <w:color w:val="auto"/>
          <w:sz w:val="24"/>
          <w:highlight w:val="none"/>
        </w:rPr>
        <w:t>7.2</w:t>
      </w:r>
      <w:r>
        <w:rPr>
          <w:rFonts w:hint="eastAsia" w:ascii="Arial Narrow Regular" w:hAnsi="Arial Narrow Regular" w:cs="Arial Narrow Regular"/>
          <w:color w:val="auto"/>
          <w:sz w:val="24"/>
          <w:highlight w:val="none"/>
          <w:lang w:val="en-US" w:eastAsia="zh-CN"/>
        </w:rPr>
        <w:t>5</w:t>
      </w:r>
      <w:r>
        <w:rPr>
          <w:rFonts w:hint="eastAsia" w:ascii="Arial Narrow Regular" w:hAnsi="Arial Narrow Regular" w:cs="Arial Narrow Regular"/>
          <w:color w:val="auto"/>
          <w:sz w:val="24"/>
          <w:highlight w:val="none"/>
        </w:rPr>
        <w:t>其他综合收益</w:t>
      </w:r>
    </w:p>
    <w:tbl>
      <w:tblPr>
        <w:tblStyle w:val="12"/>
        <w:tblW w:w="9358"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16"/>
        <w:gridCol w:w="1469"/>
        <w:gridCol w:w="1641"/>
        <w:gridCol w:w="1720"/>
        <w:gridCol w:w="17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2816"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项目</w:t>
            </w:r>
          </w:p>
        </w:tc>
        <w:tc>
          <w:tcPr>
            <w:tcW w:w="1469"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年初余额</w:t>
            </w:r>
          </w:p>
        </w:tc>
        <w:tc>
          <w:tcPr>
            <w:tcW w:w="1641"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本年增加</w:t>
            </w:r>
          </w:p>
        </w:tc>
        <w:tc>
          <w:tcPr>
            <w:tcW w:w="1720"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本年减少</w:t>
            </w:r>
          </w:p>
        </w:tc>
        <w:tc>
          <w:tcPr>
            <w:tcW w:w="1712" w:type="dxa"/>
            <w:tcBorders>
              <w:tl2br w:val="nil"/>
              <w:tr2bl w:val="nil"/>
            </w:tcBorders>
            <w:noWrap w:val="0"/>
            <w:vAlign w:val="center"/>
          </w:tcPr>
          <w:p>
            <w:pPr>
              <w:widowControl/>
              <w:jc w:val="center"/>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其他债权投资公允价值变动</w:t>
            </w:r>
          </w:p>
        </w:tc>
        <w:tc>
          <w:tcPr>
            <w:tcW w:w="1469"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4,084,117.60</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61,943,125.14</w:t>
            </w:r>
          </w:p>
        </w:tc>
        <w:tc>
          <w:tcPr>
            <w:tcW w:w="1720"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13,014,878.12</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53,012,364.62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9"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公允价值计量变动计入权益的贴现资产</w:t>
            </w:r>
          </w:p>
        </w:tc>
        <w:tc>
          <w:tcPr>
            <w:tcW w:w="1469" w:type="dxa"/>
            <w:tcBorders>
              <w:tl2br w:val="nil"/>
              <w:tr2bl w:val="nil"/>
            </w:tcBorders>
            <w:noWrap w:val="0"/>
            <w:vAlign w:val="center"/>
          </w:tcPr>
          <w:p>
            <w:pPr>
              <w:widowControl/>
              <w:jc w:val="right"/>
              <w:textAlignment w:val="top"/>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0.00</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56,292.34</w:t>
            </w:r>
          </w:p>
        </w:tc>
        <w:tc>
          <w:tcPr>
            <w:tcW w:w="1720"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45,270.19</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11,022.15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其他债权投资减值准备</w:t>
            </w:r>
          </w:p>
        </w:tc>
        <w:tc>
          <w:tcPr>
            <w:tcW w:w="1469"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63,296.15</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53,552.02</w:t>
            </w:r>
          </w:p>
        </w:tc>
        <w:tc>
          <w:tcPr>
            <w:tcW w:w="1720"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102,069.50</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14,778.67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其他综合收益</w:t>
            </w:r>
          </w:p>
        </w:tc>
        <w:tc>
          <w:tcPr>
            <w:tcW w:w="1469"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val="en-US" w:eastAsia="zh-CN" w:bidi="ar"/>
              </w:rPr>
              <w:t>0.00</w:t>
            </w:r>
            <w:r>
              <w:rPr>
                <w:rFonts w:hint="eastAsia" w:ascii="宋体" w:hAnsi="宋体" w:eastAsia="宋体" w:cs="宋体"/>
                <w:color w:val="auto"/>
                <w:kern w:val="0"/>
                <w:sz w:val="20"/>
                <w:szCs w:val="20"/>
                <w:highlight w:val="none"/>
                <w:lang w:bidi="ar"/>
              </w:rPr>
              <w:t>0</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0.00</w:t>
            </w:r>
          </w:p>
        </w:tc>
        <w:tc>
          <w:tcPr>
            <w:tcW w:w="1720"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4,385,529.83</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-4,385,529.83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816" w:type="dxa"/>
            <w:tcBorders>
              <w:tl2br w:val="nil"/>
              <w:tr2bl w:val="nil"/>
            </w:tcBorders>
            <w:noWrap w:val="0"/>
            <w:vAlign w:val="center"/>
          </w:tcPr>
          <w:p>
            <w:pPr>
              <w:widowControl/>
              <w:rPr>
                <w:rFonts w:hint="eastAsia" w:ascii="宋体" w:hAnsi="宋体" w:cs="Arial"/>
                <w:color w:val="auto"/>
                <w:sz w:val="20"/>
                <w:szCs w:val="20"/>
                <w:highlight w:val="none"/>
              </w:rPr>
            </w:pPr>
            <w:r>
              <w:rPr>
                <w:rFonts w:hint="eastAsia" w:ascii="宋体" w:hAnsi="宋体" w:cs="Arial"/>
                <w:color w:val="auto"/>
                <w:sz w:val="20"/>
                <w:szCs w:val="20"/>
                <w:highlight w:val="none"/>
              </w:rPr>
              <w:t>公允价值计量变动计入权益的贴现资产减值准备</w:t>
            </w:r>
          </w:p>
        </w:tc>
        <w:tc>
          <w:tcPr>
            <w:tcW w:w="1469" w:type="dxa"/>
            <w:tcBorders>
              <w:tl2br w:val="nil"/>
              <w:tr2bl w:val="nil"/>
            </w:tcBorders>
            <w:noWrap w:val="0"/>
            <w:vAlign w:val="center"/>
          </w:tcPr>
          <w:p>
            <w:pPr>
              <w:widowControl/>
              <w:jc w:val="right"/>
              <w:textAlignment w:val="top"/>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0.00</w:t>
            </w:r>
          </w:p>
        </w:tc>
        <w:tc>
          <w:tcPr>
            <w:tcW w:w="1641"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66,199.14</w:t>
            </w:r>
          </w:p>
        </w:tc>
        <w:tc>
          <w:tcPr>
            <w:tcW w:w="1720" w:type="dxa"/>
            <w:tcBorders>
              <w:tl2br w:val="nil"/>
              <w:tr2bl w:val="nil"/>
            </w:tcBorders>
            <w:noWrap w:val="0"/>
            <w:vAlign w:val="center"/>
          </w:tcPr>
          <w:p>
            <w:pPr>
              <w:widowControl/>
              <w:jc w:val="right"/>
              <w:textAlignment w:val="top"/>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0.00</w:t>
            </w:r>
          </w:p>
        </w:tc>
        <w:tc>
          <w:tcPr>
            <w:tcW w:w="1712" w:type="dxa"/>
            <w:tcBorders>
              <w:tl2br w:val="nil"/>
              <w:tr2bl w:val="nil"/>
            </w:tcBorders>
            <w:noWrap w:val="0"/>
            <w:vAlign w:val="center"/>
          </w:tcPr>
          <w:p>
            <w:pPr>
              <w:widowControl/>
              <w:jc w:val="right"/>
              <w:textAlignment w:val="top"/>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66,199.14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816" w:type="dxa"/>
            <w:tcBorders>
              <w:tl2br w:val="nil"/>
              <w:tr2bl w:val="nil"/>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1469" w:type="dxa"/>
            <w:tcBorders>
              <w:tl2br w:val="nil"/>
              <w:tr2bl w:val="nil"/>
            </w:tcBorders>
            <w:noWrap w:val="0"/>
            <w:vAlign w:val="center"/>
          </w:tcPr>
          <w:p>
            <w:pPr>
              <w:widowControl/>
              <w:jc w:val="right"/>
              <w:textAlignment w:val="top"/>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4,147,413.75</w:t>
            </w:r>
          </w:p>
        </w:tc>
        <w:tc>
          <w:tcPr>
            <w:tcW w:w="1641" w:type="dxa"/>
            <w:tcBorders>
              <w:tl2br w:val="nil"/>
              <w:tr2bl w:val="nil"/>
            </w:tcBorders>
            <w:noWrap w:val="0"/>
            <w:vAlign w:val="center"/>
          </w:tcPr>
          <w:p>
            <w:pPr>
              <w:widowControl/>
              <w:jc w:val="right"/>
              <w:textAlignment w:val="top"/>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62,119,168.64</w:t>
            </w:r>
          </w:p>
        </w:tc>
        <w:tc>
          <w:tcPr>
            <w:tcW w:w="1720" w:type="dxa"/>
            <w:tcBorders>
              <w:tl2br w:val="nil"/>
              <w:tr2bl w:val="nil"/>
            </w:tcBorders>
            <w:noWrap w:val="0"/>
            <w:vAlign w:val="center"/>
          </w:tcPr>
          <w:p>
            <w:pPr>
              <w:widowControl/>
              <w:jc w:val="right"/>
              <w:textAlignment w:val="top"/>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17,547,747.64</w:t>
            </w:r>
          </w:p>
        </w:tc>
        <w:tc>
          <w:tcPr>
            <w:tcW w:w="1712" w:type="dxa"/>
            <w:tcBorders>
              <w:tl2br w:val="nil"/>
              <w:tr2bl w:val="nil"/>
            </w:tcBorders>
            <w:noWrap w:val="0"/>
            <w:vAlign w:val="center"/>
          </w:tcPr>
          <w:p>
            <w:pPr>
              <w:widowControl/>
              <w:jc w:val="right"/>
              <w:textAlignment w:val="top"/>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48,718,834.75</w:t>
            </w:r>
          </w:p>
        </w:tc>
      </w:tr>
    </w:tbl>
    <w:p>
      <w:pPr>
        <w:spacing w:line="540" w:lineRule="exact"/>
        <w:ind w:firstLine="105" w:firstLineChars="50"/>
        <w:outlineLvl w:val="1"/>
        <w:rPr>
          <w:rFonts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7.2</w:t>
      </w:r>
      <w:r>
        <w:rPr>
          <w:rFonts w:hint="eastAsia" w:ascii="Arial Narrow Regular" w:hAnsi="Arial Narrow Regular" w:cs="Arial Narrow Regular"/>
          <w:color w:val="auto"/>
          <w:sz w:val="21"/>
          <w:szCs w:val="21"/>
          <w:highlight w:val="none"/>
          <w:lang w:val="en-US" w:eastAsia="zh-CN"/>
        </w:rPr>
        <w:t>6</w:t>
      </w:r>
      <w:r>
        <w:rPr>
          <w:rFonts w:hint="eastAsia" w:ascii="Arial Narrow Regular" w:hAnsi="Arial Narrow Regular" w:cs="Arial Narrow Regular"/>
          <w:color w:val="auto"/>
          <w:sz w:val="21"/>
          <w:szCs w:val="21"/>
          <w:highlight w:val="none"/>
        </w:rPr>
        <w:t>资本公积</w:t>
      </w:r>
    </w:p>
    <w:tbl>
      <w:tblPr>
        <w:tblStyle w:val="12"/>
        <w:tblW w:w="9358" w:type="dxa"/>
        <w:tblInd w:w="250" w:type="dxa"/>
        <w:tblLayout w:type="fixed"/>
        <w:tblCellMar>
          <w:top w:w="0" w:type="dxa"/>
          <w:left w:w="108" w:type="dxa"/>
          <w:bottom w:w="0" w:type="dxa"/>
          <w:right w:w="108" w:type="dxa"/>
        </w:tblCellMar>
      </w:tblPr>
      <w:tblGrid>
        <w:gridCol w:w="2216"/>
        <w:gridCol w:w="2060"/>
        <w:gridCol w:w="1660"/>
        <w:gridCol w:w="1710"/>
        <w:gridCol w:w="1712"/>
      </w:tblGrid>
      <w:tr>
        <w:tblPrEx>
          <w:tblCellMar>
            <w:top w:w="0" w:type="dxa"/>
            <w:left w:w="108" w:type="dxa"/>
            <w:bottom w:w="0" w:type="dxa"/>
            <w:right w:w="108" w:type="dxa"/>
          </w:tblCellMar>
        </w:tblPrEx>
        <w:trPr>
          <w:trHeight w:val="340" w:hRule="atLeast"/>
          <w:tblHeader/>
        </w:trPr>
        <w:tc>
          <w:tcPr>
            <w:tcW w:w="221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206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66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710"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712"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221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sz w:val="20"/>
                <w:szCs w:val="20"/>
                <w:highlight w:val="none"/>
              </w:rPr>
              <w:t>资本公积</w:t>
            </w:r>
          </w:p>
        </w:tc>
        <w:tc>
          <w:tcPr>
            <w:tcW w:w="2060"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37,981,809.98</w:t>
            </w:r>
          </w:p>
        </w:tc>
        <w:tc>
          <w:tcPr>
            <w:tcW w:w="1660"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0"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712"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37,981,809.98</w:t>
            </w:r>
          </w:p>
        </w:tc>
      </w:tr>
      <w:tr>
        <w:tblPrEx>
          <w:tblCellMar>
            <w:top w:w="0" w:type="dxa"/>
            <w:left w:w="108" w:type="dxa"/>
            <w:bottom w:w="0" w:type="dxa"/>
            <w:right w:w="108" w:type="dxa"/>
          </w:tblCellMar>
        </w:tblPrEx>
        <w:trPr>
          <w:trHeight w:val="340" w:hRule="atLeast"/>
        </w:trPr>
        <w:tc>
          <w:tcPr>
            <w:tcW w:w="221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060"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37,981,809.98</w:t>
            </w:r>
          </w:p>
        </w:tc>
        <w:tc>
          <w:tcPr>
            <w:tcW w:w="1660"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710"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712" w:type="dxa"/>
            <w:tcBorders>
              <w:top w:val="nil"/>
              <w:left w:val="nil"/>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37,981,809.98</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7.2</w:t>
      </w:r>
      <w:r>
        <w:rPr>
          <w:rFonts w:hint="eastAsia" w:ascii="Arial Narrow Regular" w:hAnsi="Arial Narrow Regular" w:cs="Arial Narrow Regular"/>
          <w:color w:val="auto"/>
          <w:sz w:val="21"/>
          <w:szCs w:val="21"/>
          <w:highlight w:val="none"/>
          <w:lang w:val="en-US" w:eastAsia="zh-CN"/>
        </w:rPr>
        <w:t>7</w:t>
      </w:r>
      <w:r>
        <w:rPr>
          <w:rFonts w:hint="eastAsia" w:ascii="Arial Narrow Regular" w:hAnsi="Arial Narrow Regular" w:cs="Arial Narrow Regular"/>
          <w:color w:val="auto"/>
          <w:sz w:val="21"/>
          <w:szCs w:val="21"/>
          <w:highlight w:val="none"/>
        </w:rPr>
        <w:t xml:space="preserve">盈余公积 </w:t>
      </w:r>
    </w:p>
    <w:tbl>
      <w:tblPr>
        <w:tblStyle w:val="12"/>
        <w:tblW w:w="9331" w:type="dxa"/>
        <w:tblInd w:w="250" w:type="dxa"/>
        <w:tblLayout w:type="fixed"/>
        <w:tblCellMar>
          <w:top w:w="0" w:type="dxa"/>
          <w:left w:w="108" w:type="dxa"/>
          <w:bottom w:w="0" w:type="dxa"/>
          <w:right w:w="108" w:type="dxa"/>
        </w:tblCellMar>
      </w:tblPr>
      <w:tblGrid>
        <w:gridCol w:w="2226"/>
        <w:gridCol w:w="2010"/>
        <w:gridCol w:w="1583"/>
        <w:gridCol w:w="1847"/>
        <w:gridCol w:w="1665"/>
      </w:tblGrid>
      <w:tr>
        <w:tblPrEx>
          <w:tblCellMar>
            <w:top w:w="0" w:type="dxa"/>
            <w:left w:w="108" w:type="dxa"/>
            <w:bottom w:w="0" w:type="dxa"/>
            <w:right w:w="108" w:type="dxa"/>
          </w:tblCellMar>
        </w:tblPrEx>
        <w:trPr>
          <w:trHeight w:val="340" w:hRule="atLeast"/>
          <w:tblHeader/>
        </w:trPr>
        <w:tc>
          <w:tcPr>
            <w:tcW w:w="222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2010"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年初余额</w:t>
            </w:r>
          </w:p>
        </w:tc>
        <w:tc>
          <w:tcPr>
            <w:tcW w:w="1583"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本年增加</w:t>
            </w:r>
          </w:p>
        </w:tc>
        <w:tc>
          <w:tcPr>
            <w:tcW w:w="1847"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本年减少</w:t>
            </w:r>
          </w:p>
        </w:tc>
        <w:tc>
          <w:tcPr>
            <w:tcW w:w="1665"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年末余额</w:t>
            </w:r>
          </w:p>
        </w:tc>
      </w:tr>
      <w:tr>
        <w:tblPrEx>
          <w:tblCellMar>
            <w:top w:w="0" w:type="dxa"/>
            <w:left w:w="108" w:type="dxa"/>
            <w:bottom w:w="0" w:type="dxa"/>
            <w:right w:w="108" w:type="dxa"/>
          </w:tblCellMar>
        </w:tblPrEx>
        <w:trPr>
          <w:trHeight w:val="340" w:hRule="atLeast"/>
        </w:trPr>
        <w:tc>
          <w:tcPr>
            <w:tcW w:w="222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sz w:val="20"/>
                <w:szCs w:val="20"/>
                <w:highlight w:val="none"/>
              </w:rPr>
            </w:pPr>
            <w:r>
              <w:rPr>
                <w:rFonts w:hint="eastAsia" w:ascii="宋体" w:hAnsi="宋体" w:cs="宋体"/>
                <w:color w:val="auto"/>
                <w:sz w:val="20"/>
                <w:szCs w:val="20"/>
                <w:highlight w:val="none"/>
              </w:rPr>
              <w:t>法定盈余公积</w:t>
            </w:r>
          </w:p>
        </w:tc>
        <w:tc>
          <w:tcPr>
            <w:tcW w:w="20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103,463,334.31 </w:t>
            </w:r>
          </w:p>
        </w:tc>
        <w:tc>
          <w:tcPr>
            <w:tcW w:w="1583" w:type="dxa"/>
            <w:tcBorders>
              <w:top w:val="single" w:color="auto" w:sz="8" w:space="0"/>
              <w:left w:val="single" w:color="auto" w:sz="8" w:space="0"/>
              <w:bottom w:val="single" w:color="auto" w:sz="8" w:space="0"/>
              <w:right w:val="single" w:color="auto" w:sz="8" w:space="0"/>
            </w:tcBorders>
            <w:noWrap w:val="0"/>
            <w:vAlign w:val="top"/>
          </w:tcPr>
          <w:p>
            <w:pPr>
              <w:jc w:val="right"/>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47"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6,655,166.69</w:t>
            </w:r>
          </w:p>
        </w:tc>
        <w:tc>
          <w:tcPr>
            <w:tcW w:w="1665"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110,118,501.00</w:t>
            </w:r>
          </w:p>
        </w:tc>
      </w:tr>
      <w:tr>
        <w:tblPrEx>
          <w:tblCellMar>
            <w:top w:w="0" w:type="dxa"/>
            <w:left w:w="108" w:type="dxa"/>
            <w:bottom w:w="0" w:type="dxa"/>
            <w:right w:w="108" w:type="dxa"/>
          </w:tblCellMar>
        </w:tblPrEx>
        <w:trPr>
          <w:trHeight w:val="330" w:hRule="atLeast"/>
        </w:trPr>
        <w:tc>
          <w:tcPr>
            <w:tcW w:w="2226" w:type="dxa"/>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color w:val="auto"/>
                <w:sz w:val="20"/>
                <w:szCs w:val="20"/>
                <w:highlight w:val="none"/>
              </w:rPr>
            </w:pPr>
            <w:r>
              <w:rPr>
                <w:rFonts w:hint="eastAsia" w:ascii="宋体" w:hAnsi="宋体" w:cs="宋体"/>
                <w:color w:val="auto"/>
                <w:sz w:val="20"/>
                <w:szCs w:val="20"/>
                <w:highlight w:val="none"/>
              </w:rPr>
              <w:t>任意盈余公积</w:t>
            </w:r>
          </w:p>
        </w:tc>
        <w:tc>
          <w:tcPr>
            <w:tcW w:w="20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1,270,500.00 </w:t>
            </w:r>
          </w:p>
        </w:tc>
        <w:tc>
          <w:tcPr>
            <w:tcW w:w="1583"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47"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665" w:type="dxa"/>
            <w:tcBorders>
              <w:top w:val="nil"/>
              <w:left w:val="nil"/>
              <w:bottom w:val="single" w:color="auto" w:sz="8" w:space="0"/>
              <w:right w:val="single" w:color="auto" w:sz="8" w:space="0"/>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1,270,500.00</w:t>
            </w:r>
          </w:p>
        </w:tc>
      </w:tr>
      <w:tr>
        <w:tblPrEx>
          <w:tblCellMar>
            <w:top w:w="0" w:type="dxa"/>
            <w:left w:w="108" w:type="dxa"/>
            <w:bottom w:w="0" w:type="dxa"/>
            <w:right w:w="108" w:type="dxa"/>
          </w:tblCellMar>
        </w:tblPrEx>
        <w:trPr>
          <w:trHeight w:val="340" w:hRule="atLeast"/>
        </w:trPr>
        <w:tc>
          <w:tcPr>
            <w:tcW w:w="222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合计</w:t>
            </w:r>
          </w:p>
        </w:tc>
        <w:tc>
          <w:tcPr>
            <w:tcW w:w="2010"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 xml:space="preserve"> 104,733,834.31 </w:t>
            </w:r>
          </w:p>
        </w:tc>
        <w:tc>
          <w:tcPr>
            <w:tcW w:w="1583"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0.00</w:t>
            </w:r>
          </w:p>
        </w:tc>
        <w:tc>
          <w:tcPr>
            <w:tcW w:w="1847" w:type="dxa"/>
            <w:tcBorders>
              <w:top w:val="single" w:color="auto" w:sz="8" w:space="0"/>
              <w:left w:val="single" w:color="auto" w:sz="8" w:space="0"/>
              <w:bottom w:val="single" w:color="auto" w:sz="8" w:space="0"/>
              <w:right w:val="single" w:color="auto" w:sz="8" w:space="0"/>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6,655,166.69</w:t>
            </w:r>
          </w:p>
        </w:tc>
        <w:tc>
          <w:tcPr>
            <w:tcW w:w="1665" w:type="dxa"/>
            <w:tcBorders>
              <w:top w:val="nil"/>
              <w:left w:val="nil"/>
              <w:bottom w:val="single" w:color="auto" w:sz="8" w:space="0"/>
              <w:right w:val="single" w:color="auto" w:sz="8" w:space="0"/>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111,389,001.00</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7.2</w:t>
      </w:r>
      <w:r>
        <w:rPr>
          <w:rFonts w:hint="eastAsia" w:ascii="Arial Narrow Regular" w:hAnsi="Arial Narrow Regular" w:cs="Arial Narrow Regular"/>
          <w:color w:val="auto"/>
          <w:sz w:val="21"/>
          <w:szCs w:val="21"/>
          <w:highlight w:val="none"/>
          <w:lang w:val="en-US" w:eastAsia="zh-CN"/>
        </w:rPr>
        <w:t>8</w:t>
      </w:r>
      <w:r>
        <w:rPr>
          <w:rFonts w:hint="eastAsia" w:ascii="Arial Narrow Regular" w:hAnsi="Arial Narrow Regular" w:cs="Arial Narrow Regular"/>
          <w:color w:val="auto"/>
          <w:sz w:val="21"/>
          <w:szCs w:val="21"/>
          <w:highlight w:val="none"/>
        </w:rPr>
        <w:t>一般风险准备</w:t>
      </w:r>
    </w:p>
    <w:tbl>
      <w:tblPr>
        <w:tblStyle w:val="12"/>
        <w:tblW w:w="9342"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2239"/>
        <w:gridCol w:w="2028"/>
        <w:gridCol w:w="1560"/>
        <w:gridCol w:w="1832"/>
        <w:gridCol w:w="16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2239"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2028"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年初余额</w:t>
            </w:r>
          </w:p>
        </w:tc>
        <w:tc>
          <w:tcPr>
            <w:tcW w:w="1560"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本年增加</w:t>
            </w:r>
          </w:p>
        </w:tc>
        <w:tc>
          <w:tcPr>
            <w:tcW w:w="1832"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本年减少</w:t>
            </w:r>
          </w:p>
        </w:tc>
        <w:tc>
          <w:tcPr>
            <w:tcW w:w="1683"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年末余额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2239" w:type="dxa"/>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净利润分配一般准备 </w:t>
            </w:r>
          </w:p>
        </w:tc>
        <w:tc>
          <w:tcPr>
            <w:tcW w:w="2028"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265,260,128.40 </w:t>
            </w:r>
          </w:p>
        </w:tc>
        <w:tc>
          <w:tcPr>
            <w:tcW w:w="1560"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160,000,000.00</w:t>
            </w:r>
          </w:p>
        </w:tc>
        <w:tc>
          <w:tcPr>
            <w:tcW w:w="1832"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6,050,178.82</w:t>
            </w:r>
          </w:p>
        </w:tc>
        <w:tc>
          <w:tcPr>
            <w:tcW w:w="1683" w:type="dxa"/>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111,310,307.22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2239" w:type="dxa"/>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税收减免转增一般准备 </w:t>
            </w:r>
          </w:p>
        </w:tc>
        <w:tc>
          <w:tcPr>
            <w:tcW w:w="2028"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292,604,203.69 </w:t>
            </w:r>
          </w:p>
        </w:tc>
        <w:tc>
          <w:tcPr>
            <w:tcW w:w="1560"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32"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683"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292,604,203.69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2239" w:type="dxa"/>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其他一般风险准备 </w:t>
            </w:r>
          </w:p>
        </w:tc>
        <w:tc>
          <w:tcPr>
            <w:tcW w:w="2028"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983,599.16 </w:t>
            </w:r>
          </w:p>
        </w:tc>
        <w:tc>
          <w:tcPr>
            <w:tcW w:w="1560"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1832" w:type="dxa"/>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807,649.47</w:t>
            </w:r>
          </w:p>
        </w:tc>
        <w:tc>
          <w:tcPr>
            <w:tcW w:w="1683" w:type="dxa"/>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1,791,248.63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2239"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2028"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 558,847,931.25 </w:t>
            </w:r>
          </w:p>
        </w:tc>
        <w:tc>
          <w:tcPr>
            <w:tcW w:w="1560"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160,000,000.00</w:t>
            </w:r>
          </w:p>
        </w:tc>
        <w:tc>
          <w:tcPr>
            <w:tcW w:w="1832" w:type="dxa"/>
            <w:noWrap w:val="0"/>
            <w:vAlign w:val="top"/>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6,857,828.29</w:t>
            </w:r>
          </w:p>
        </w:tc>
        <w:tc>
          <w:tcPr>
            <w:tcW w:w="1683"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405,705,759.54</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7.2</w:t>
      </w:r>
      <w:r>
        <w:rPr>
          <w:rFonts w:hint="eastAsia" w:ascii="Arial Narrow Regular" w:hAnsi="Arial Narrow Regular" w:cs="Arial Narrow Regular"/>
          <w:color w:val="auto"/>
          <w:sz w:val="21"/>
          <w:szCs w:val="21"/>
          <w:highlight w:val="none"/>
          <w:lang w:val="en-US" w:eastAsia="zh-CN"/>
        </w:rPr>
        <w:t>9</w:t>
      </w:r>
      <w:r>
        <w:rPr>
          <w:rFonts w:hint="eastAsia" w:ascii="Arial Narrow Regular" w:hAnsi="Arial Narrow Regular" w:cs="Arial Narrow Regular"/>
          <w:color w:val="auto"/>
          <w:sz w:val="21"/>
          <w:szCs w:val="21"/>
          <w:highlight w:val="none"/>
        </w:rPr>
        <w:t>未分配利润</w:t>
      </w:r>
    </w:p>
    <w:tbl>
      <w:tblPr>
        <w:tblStyle w:val="12"/>
        <w:tblW w:w="9334" w:type="dxa"/>
        <w:tblInd w:w="1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810"/>
        <w:gridCol w:w="3224"/>
        <w:gridCol w:w="23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224"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年初余额</w:t>
            </w:r>
          </w:p>
        </w:tc>
        <w:tc>
          <w:tcPr>
            <w:tcW w:w="2300"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年末余额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b/>
                <w:color w:val="auto"/>
                <w:kern w:val="0"/>
                <w:sz w:val="20"/>
                <w:szCs w:val="20"/>
                <w:highlight w:val="none"/>
              </w:rPr>
              <w:t>一、上年年末余额</w:t>
            </w:r>
          </w:p>
        </w:tc>
        <w:tc>
          <w:tcPr>
            <w:tcW w:w="3224"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278,938,773.81</w:t>
            </w:r>
          </w:p>
        </w:tc>
        <w:tc>
          <w:tcPr>
            <w:tcW w:w="230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b/>
                <w:color w:val="auto"/>
                <w:sz w:val="20"/>
                <w:szCs w:val="20"/>
                <w:highlight w:val="none"/>
              </w:rPr>
              <w:t>235,284,329.70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加：会计政策变更</w:t>
            </w:r>
          </w:p>
        </w:tc>
        <w:tc>
          <w:tcPr>
            <w:tcW w:w="3224"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    前期差错更正</w:t>
            </w:r>
          </w:p>
        </w:tc>
        <w:tc>
          <w:tcPr>
            <w:tcW w:w="3224"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-82,751,992.35</w:t>
            </w: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二、本年年初余额</w:t>
            </w:r>
          </w:p>
        </w:tc>
        <w:tc>
          <w:tcPr>
            <w:tcW w:w="3224"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196,186,781.46</w:t>
            </w:r>
          </w:p>
        </w:tc>
        <w:tc>
          <w:tcPr>
            <w:tcW w:w="2300"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235,284,329.70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三、本期净利润</w:t>
            </w:r>
          </w:p>
        </w:tc>
        <w:tc>
          <w:tcPr>
            <w:tcW w:w="3224" w:type="dxa"/>
            <w:noWrap w:val="0"/>
            <w:vAlign w:val="center"/>
          </w:tcPr>
          <w:p>
            <w:pPr>
              <w:widowControl/>
              <w:jc w:val="right"/>
              <w:textAlignment w:val="center"/>
              <w:rPr>
                <w:rFonts w:hint="eastAsia" w:ascii="宋体" w:hAnsi="宋体" w:cs="宋体"/>
                <w:color w:val="auto"/>
                <w:sz w:val="18"/>
                <w:szCs w:val="18"/>
                <w:highlight w:val="none"/>
              </w:rPr>
            </w:pPr>
            <w:r>
              <w:rPr>
                <w:rFonts w:hint="eastAsia" w:ascii="宋体" w:hAnsi="宋体" w:cs="宋体"/>
                <w:color w:val="auto"/>
                <w:sz w:val="20"/>
                <w:szCs w:val="20"/>
                <w:highlight w:val="none"/>
              </w:rPr>
              <w:t>60,501,788.18</w:t>
            </w:r>
          </w:p>
        </w:tc>
        <w:tc>
          <w:tcPr>
            <w:tcW w:w="2300" w:type="dxa"/>
            <w:noWrap w:val="0"/>
            <w:vAlign w:val="center"/>
          </w:tcPr>
          <w:p>
            <w:pPr>
              <w:widowControl/>
              <w:jc w:val="right"/>
              <w:rPr>
                <w:rFonts w:hint="eastAsia" w:ascii="宋体" w:hAnsi="宋体" w:cs="宋体"/>
                <w:color w:val="auto"/>
                <w:kern w:val="0"/>
                <w:sz w:val="20"/>
                <w:szCs w:val="20"/>
                <w:highlight w:val="none"/>
              </w:rPr>
            </w:pPr>
            <w:r>
              <w:rPr>
                <w:rFonts w:ascii="宋体" w:hAnsi="宋体" w:cs="宋体"/>
                <w:color w:val="auto"/>
                <w:kern w:val="0"/>
                <w:sz w:val="20"/>
                <w:szCs w:val="20"/>
                <w:highlight w:val="none"/>
              </w:rPr>
              <w:t>66,551,666.88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四、利润分配</w:t>
            </w:r>
          </w:p>
        </w:tc>
        <w:tc>
          <w:tcPr>
            <w:tcW w:w="3224" w:type="dxa"/>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21,404,239.94</w:t>
            </w:r>
          </w:p>
        </w:tc>
        <w:tc>
          <w:tcPr>
            <w:tcW w:w="2300" w:type="dxa"/>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34,603,059.03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1.提取盈余公积</w:t>
            </w:r>
          </w:p>
        </w:tc>
        <w:tc>
          <w:tcPr>
            <w:tcW w:w="3224"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6,050,178.82</w:t>
            </w:r>
          </w:p>
        </w:tc>
        <w:tc>
          <w:tcPr>
            <w:tcW w:w="230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6,655,166.69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2.对所有者（股东）的分配</w:t>
            </w:r>
          </w:p>
        </w:tc>
        <w:tc>
          <w:tcPr>
            <w:tcW w:w="3224"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9,853,971.08</w:t>
            </w:r>
          </w:p>
        </w:tc>
        <w:tc>
          <w:tcPr>
            <w:tcW w:w="230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21,897,713.52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3.提取一般准备</w:t>
            </w:r>
          </w:p>
        </w:tc>
        <w:tc>
          <w:tcPr>
            <w:tcW w:w="3224" w:type="dxa"/>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5,500,090.04</w:t>
            </w:r>
          </w:p>
        </w:tc>
        <w:tc>
          <w:tcPr>
            <w:tcW w:w="2300" w:type="dxa"/>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6,050,178.82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4、其他</w:t>
            </w:r>
          </w:p>
        </w:tc>
        <w:tc>
          <w:tcPr>
            <w:tcW w:w="3224"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五、所有者权益内部结转</w:t>
            </w:r>
          </w:p>
        </w:tc>
        <w:tc>
          <w:tcPr>
            <w:tcW w:w="3224" w:type="dxa"/>
            <w:noWrap w:val="0"/>
            <w:vAlign w:val="center"/>
          </w:tcPr>
          <w:p>
            <w:pPr>
              <w:jc w:val="right"/>
              <w:rPr>
                <w:rFonts w:hint="eastAsia" w:ascii="宋体" w:hAnsi="宋体" w:cs="宋体"/>
                <w:b/>
                <w:color w:val="auto"/>
                <w:sz w:val="20"/>
                <w:szCs w:val="20"/>
                <w:highlight w:val="none"/>
              </w:rPr>
            </w:pPr>
            <w:r>
              <w:rPr>
                <w:rFonts w:hint="eastAsia" w:ascii="宋体" w:hAnsi="宋体" w:cs="宋体"/>
                <w:b/>
                <w:bCs/>
                <w:color w:val="auto"/>
                <w:sz w:val="20"/>
                <w:szCs w:val="20"/>
                <w:highlight w:val="none"/>
              </w:rPr>
              <w:t>　</w:t>
            </w:r>
          </w:p>
        </w:tc>
        <w:tc>
          <w:tcPr>
            <w:tcW w:w="2300" w:type="dxa"/>
            <w:noWrap w:val="0"/>
            <w:vAlign w:val="center"/>
          </w:tcPr>
          <w:p>
            <w:pPr>
              <w:jc w:val="right"/>
              <w:rPr>
                <w:rFonts w:hint="eastAsia" w:ascii="宋体" w:hAnsi="宋体" w:cs="宋体"/>
                <w:b/>
                <w:color w:val="auto"/>
                <w:sz w:val="20"/>
                <w:szCs w:val="20"/>
                <w:highlight w:val="none"/>
              </w:rPr>
            </w:pPr>
            <w:r>
              <w:rPr>
                <w:rFonts w:ascii="宋体" w:hAnsi="宋体" w:cs="宋体"/>
                <w:b/>
                <w:color w:val="auto"/>
                <w:sz w:val="20"/>
                <w:szCs w:val="20"/>
                <w:highlight w:val="none"/>
              </w:rPr>
              <w:t>160,000,000.00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1.盈余公积弥补亏损</w:t>
            </w:r>
          </w:p>
        </w:tc>
        <w:tc>
          <w:tcPr>
            <w:tcW w:w="3224"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810"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2.其他</w:t>
            </w:r>
          </w:p>
        </w:tc>
        <w:tc>
          <w:tcPr>
            <w:tcW w:w="3224" w:type="dxa"/>
            <w:noWrap w:val="0"/>
            <w:vAlign w:val="center"/>
          </w:tcPr>
          <w:p>
            <w:pPr>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w:t>
            </w:r>
          </w:p>
        </w:tc>
        <w:tc>
          <w:tcPr>
            <w:tcW w:w="2300" w:type="dxa"/>
            <w:noWrap w:val="0"/>
            <w:vAlign w:val="center"/>
          </w:tcPr>
          <w:p>
            <w:pPr>
              <w:jc w:val="right"/>
              <w:rPr>
                <w:rFonts w:hint="eastAsia" w:ascii="宋体" w:hAnsi="宋体" w:cs="宋体"/>
                <w:color w:val="auto"/>
                <w:sz w:val="20"/>
                <w:szCs w:val="20"/>
                <w:highlight w:val="none"/>
              </w:rPr>
            </w:pPr>
            <w:r>
              <w:rPr>
                <w:rFonts w:ascii="宋体" w:hAnsi="宋体" w:cs="宋体"/>
                <w:color w:val="auto"/>
                <w:sz w:val="20"/>
                <w:szCs w:val="20"/>
                <w:highlight w:val="none"/>
              </w:rPr>
              <w:t>160,000,000.00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405" w:hRule="atLeast"/>
        </w:trPr>
        <w:tc>
          <w:tcPr>
            <w:tcW w:w="3810" w:type="dxa"/>
            <w:noWrap w:val="0"/>
            <w:vAlign w:val="center"/>
          </w:tcPr>
          <w:p>
            <w:pPr>
              <w:widowControl/>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六、本年年末余额（二+三-四+五）</w:t>
            </w:r>
          </w:p>
        </w:tc>
        <w:tc>
          <w:tcPr>
            <w:tcW w:w="3224"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sz w:val="20"/>
                <w:szCs w:val="20"/>
                <w:highlight w:val="none"/>
              </w:rPr>
              <w:t>235,284,329.70</w:t>
            </w:r>
          </w:p>
        </w:tc>
        <w:tc>
          <w:tcPr>
            <w:tcW w:w="2300" w:type="dxa"/>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427,232,937.55</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w:t>
      </w:r>
      <w:r>
        <w:rPr>
          <w:rFonts w:hint="eastAsia" w:ascii="Arial Narrow Regular" w:hAnsi="Arial Narrow Regular" w:cs="Arial Narrow Regular"/>
          <w:color w:val="auto"/>
          <w:sz w:val="21"/>
          <w:szCs w:val="21"/>
          <w:highlight w:val="none"/>
          <w:lang w:val="en-US" w:eastAsia="zh-CN"/>
        </w:rPr>
        <w:t>30</w:t>
      </w:r>
      <w:r>
        <w:rPr>
          <w:rFonts w:hint="eastAsia" w:ascii="Arial Narrow Regular" w:hAnsi="Arial Narrow Regular" w:cs="Arial Narrow Regular"/>
          <w:color w:val="auto"/>
          <w:sz w:val="21"/>
          <w:szCs w:val="21"/>
          <w:highlight w:val="none"/>
        </w:rPr>
        <w:t>利息净收入</w:t>
      </w:r>
    </w:p>
    <w:tbl>
      <w:tblPr>
        <w:tblStyle w:val="12"/>
        <w:tblW w:w="9266" w:type="dxa"/>
        <w:tblInd w:w="249"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767"/>
        <w:gridCol w:w="3208"/>
        <w:gridCol w:w="22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tblHeader/>
        </w:trPr>
        <w:tc>
          <w:tcPr>
            <w:tcW w:w="3767" w:type="dxa"/>
            <w:tcBorders>
              <w:tl2br w:val="nil"/>
              <w:tr2bl w:val="nil"/>
            </w:tcBorders>
            <w:noWrap w:val="0"/>
            <w:vAlign w:val="center"/>
          </w:tcPr>
          <w:p>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项目</w:t>
            </w:r>
          </w:p>
        </w:tc>
        <w:tc>
          <w:tcPr>
            <w:tcW w:w="3208" w:type="dxa"/>
            <w:tcBorders>
              <w:tl2br w:val="nil"/>
              <w:tr2bl w:val="nil"/>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上期发生额</w:t>
            </w:r>
          </w:p>
        </w:tc>
        <w:tc>
          <w:tcPr>
            <w:tcW w:w="2291" w:type="dxa"/>
            <w:tcBorders>
              <w:tl2br w:val="nil"/>
              <w:tr2bl w:val="nil"/>
            </w:tcBorders>
            <w:noWrap w:val="0"/>
            <w:vAlign w:val="center"/>
          </w:tcPr>
          <w:p>
            <w:pPr>
              <w:widowControl/>
              <w:jc w:val="center"/>
              <w:rPr>
                <w:rFonts w:hint="eastAsia"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376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贷款利息收入</w:t>
            </w:r>
          </w:p>
        </w:tc>
        <w:tc>
          <w:tcPr>
            <w:tcW w:w="3208"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rPr>
              <w:t>788,652,714.28</w:t>
            </w:r>
          </w:p>
        </w:tc>
        <w:tc>
          <w:tcPr>
            <w:tcW w:w="229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816,293,986.14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3767" w:type="dxa"/>
            <w:tcBorders>
              <w:tl2br w:val="nil"/>
              <w:tr2bl w:val="nil"/>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金融机构往来收入</w:t>
            </w:r>
          </w:p>
        </w:tc>
        <w:tc>
          <w:tcPr>
            <w:tcW w:w="3208"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rPr>
              <w:t>36,569,478.93</w:t>
            </w:r>
          </w:p>
        </w:tc>
        <w:tc>
          <w:tcPr>
            <w:tcW w:w="229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17,705,103.28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3767" w:type="dxa"/>
            <w:tcBorders>
              <w:tl2br w:val="nil"/>
              <w:tr2bl w:val="nil"/>
            </w:tcBorders>
            <w:noWrap w:val="0"/>
            <w:vAlign w:val="center"/>
          </w:tcPr>
          <w:p>
            <w:pPr>
              <w:widowControl/>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利息收入小计</w:t>
            </w:r>
          </w:p>
        </w:tc>
        <w:tc>
          <w:tcPr>
            <w:tcW w:w="3208" w:type="dxa"/>
            <w:tcBorders>
              <w:tl2br w:val="nil"/>
              <w:tr2bl w:val="nil"/>
            </w:tcBorders>
            <w:noWrap w:val="0"/>
            <w:vAlign w:val="center"/>
          </w:tcPr>
          <w:p>
            <w:pPr>
              <w:widowControl/>
              <w:jc w:val="right"/>
              <w:textAlignment w:val="center"/>
              <w:rPr>
                <w:rFonts w:hint="eastAsia" w:ascii="宋体" w:hAnsi="宋体" w:cs="宋体"/>
                <w:b/>
                <w:bCs/>
                <w:color w:val="auto"/>
                <w:sz w:val="18"/>
                <w:szCs w:val="18"/>
                <w:highlight w:val="none"/>
              </w:rPr>
            </w:pPr>
            <w:r>
              <w:rPr>
                <w:rFonts w:hint="eastAsia" w:ascii="宋体" w:hAnsi="宋体" w:cs="宋体"/>
                <w:b/>
                <w:bCs/>
                <w:color w:val="auto"/>
                <w:kern w:val="0"/>
                <w:sz w:val="20"/>
                <w:szCs w:val="20"/>
                <w:highlight w:val="none"/>
                <w:lang w:bidi="ar"/>
              </w:rPr>
              <w:t>825,222,193.21</w:t>
            </w:r>
          </w:p>
        </w:tc>
        <w:tc>
          <w:tcPr>
            <w:tcW w:w="2291" w:type="dxa"/>
            <w:tcBorders>
              <w:tl2br w:val="nil"/>
              <w:tr2bl w:val="nil"/>
            </w:tcBorders>
            <w:noWrap w:val="0"/>
            <w:vAlign w:val="center"/>
          </w:tcPr>
          <w:p>
            <w:pPr>
              <w:widowControl/>
              <w:jc w:val="right"/>
              <w:textAlignment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 xml:space="preserve"> 833,999,089.42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3767" w:type="dxa"/>
            <w:tcBorders>
              <w:tl2br w:val="nil"/>
              <w:tr2bl w:val="nil"/>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存款利息支出</w:t>
            </w:r>
          </w:p>
        </w:tc>
        <w:tc>
          <w:tcPr>
            <w:tcW w:w="3208"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236,607,347.57</w:t>
            </w:r>
          </w:p>
        </w:tc>
        <w:tc>
          <w:tcPr>
            <w:tcW w:w="229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217,742,481.04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3767" w:type="dxa"/>
            <w:tcBorders>
              <w:tl2br w:val="nil"/>
              <w:tr2bl w:val="nil"/>
            </w:tcBorders>
            <w:noWrap w:val="0"/>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金融机构往来支出</w:t>
            </w:r>
          </w:p>
        </w:tc>
        <w:tc>
          <w:tcPr>
            <w:tcW w:w="3208"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39,249,341.65</w:t>
            </w:r>
          </w:p>
        </w:tc>
        <w:tc>
          <w:tcPr>
            <w:tcW w:w="229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34,082,546.90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3767" w:type="dxa"/>
            <w:tcBorders>
              <w:tl2br w:val="nil"/>
              <w:tr2bl w:val="nil"/>
            </w:tcBorders>
            <w:noWrap w:val="0"/>
            <w:vAlign w:val="center"/>
          </w:tcPr>
          <w:p>
            <w:pPr>
              <w:widowControl/>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 xml:space="preserve">利息支出小计 </w:t>
            </w:r>
          </w:p>
        </w:tc>
        <w:tc>
          <w:tcPr>
            <w:tcW w:w="3208"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275,856,689.22</w:t>
            </w:r>
          </w:p>
        </w:tc>
        <w:tc>
          <w:tcPr>
            <w:tcW w:w="2291"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251,825,027.94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3767" w:type="dxa"/>
            <w:tcBorders>
              <w:tl2br w:val="nil"/>
              <w:tr2bl w:val="nil"/>
            </w:tcBorders>
            <w:noWrap w:val="0"/>
            <w:vAlign w:val="center"/>
          </w:tcPr>
          <w:p>
            <w:pPr>
              <w:widowControl/>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利息净收入</w:t>
            </w:r>
          </w:p>
        </w:tc>
        <w:tc>
          <w:tcPr>
            <w:tcW w:w="3208"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549,365,503.99</w:t>
            </w:r>
          </w:p>
        </w:tc>
        <w:tc>
          <w:tcPr>
            <w:tcW w:w="2291"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582,174,061.48</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w:t>
      </w:r>
      <w:r>
        <w:rPr>
          <w:rFonts w:hint="eastAsia" w:ascii="Arial Narrow Regular" w:hAnsi="Arial Narrow Regular" w:cs="Arial Narrow Regular"/>
          <w:color w:val="auto"/>
          <w:sz w:val="21"/>
          <w:szCs w:val="21"/>
          <w:highlight w:val="none"/>
          <w:lang w:val="en-US" w:eastAsia="zh-CN"/>
        </w:rPr>
        <w:t>31</w:t>
      </w:r>
      <w:r>
        <w:rPr>
          <w:rFonts w:hint="eastAsia" w:ascii="Arial Narrow Regular" w:hAnsi="Arial Narrow Regular" w:cs="Arial Narrow Regular"/>
          <w:color w:val="auto"/>
          <w:sz w:val="21"/>
          <w:szCs w:val="21"/>
          <w:highlight w:val="none"/>
        </w:rPr>
        <w:t>手续费净收入</w:t>
      </w:r>
    </w:p>
    <w:tbl>
      <w:tblPr>
        <w:tblStyle w:val="12"/>
        <w:tblW w:w="9267" w:type="dxa"/>
        <w:tblInd w:w="17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747"/>
        <w:gridCol w:w="3240"/>
        <w:gridCol w:w="22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tblHeader/>
        </w:trPr>
        <w:tc>
          <w:tcPr>
            <w:tcW w:w="374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24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28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银行卡业务手续费收入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900,262.75</w:t>
            </w:r>
          </w:p>
        </w:tc>
        <w:tc>
          <w:tcPr>
            <w:tcW w:w="2280"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791,052.06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结算业务手续费收入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91,475.44</w:t>
            </w:r>
          </w:p>
        </w:tc>
        <w:tc>
          <w:tcPr>
            <w:tcW w:w="2280"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144,177.89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代理业务手续费收入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773,052.89</w:t>
            </w:r>
          </w:p>
        </w:tc>
        <w:tc>
          <w:tcPr>
            <w:tcW w:w="2280"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1,011,533.14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电子银行业务收入</w:t>
            </w:r>
          </w:p>
        </w:tc>
        <w:tc>
          <w:tcPr>
            <w:tcW w:w="3240"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4,062,405.48</w:t>
            </w:r>
          </w:p>
        </w:tc>
        <w:tc>
          <w:tcPr>
            <w:tcW w:w="228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4,093,266.08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智能收单业务手续费收入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56,072.28</w:t>
            </w:r>
          </w:p>
        </w:tc>
        <w:tc>
          <w:tcPr>
            <w:tcW w:w="228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114,430.68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其他手续费及佣金收入</w:t>
            </w:r>
          </w:p>
        </w:tc>
        <w:tc>
          <w:tcPr>
            <w:tcW w:w="324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23713.24</w:t>
            </w:r>
          </w:p>
        </w:tc>
        <w:tc>
          <w:tcPr>
            <w:tcW w:w="228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手续费收入合计</w:t>
            </w:r>
          </w:p>
        </w:tc>
        <w:tc>
          <w:tcPr>
            <w:tcW w:w="3240"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5,906,982.08</w:t>
            </w:r>
          </w:p>
        </w:tc>
        <w:tc>
          <w:tcPr>
            <w:tcW w:w="2280" w:type="dxa"/>
            <w:tcBorders>
              <w:tl2br w:val="nil"/>
              <w:tr2bl w:val="nil"/>
            </w:tcBorders>
            <w:noWrap w:val="0"/>
            <w:vAlign w:val="center"/>
          </w:tcPr>
          <w:p>
            <w:pPr>
              <w:widowControl/>
              <w:jc w:val="right"/>
              <w:textAlignment w:val="center"/>
              <w:rPr>
                <w:rFonts w:ascii="宋体" w:hAnsi="宋体" w:cs="宋体"/>
                <w:b/>
                <w:color w:val="auto"/>
                <w:sz w:val="20"/>
                <w:szCs w:val="20"/>
                <w:highlight w:val="none"/>
              </w:rPr>
            </w:pPr>
            <w:r>
              <w:rPr>
                <w:rFonts w:ascii="宋体" w:hAnsi="宋体" w:cs="宋体"/>
                <w:b/>
                <w:color w:val="auto"/>
                <w:sz w:val="20"/>
                <w:szCs w:val="20"/>
                <w:highlight w:val="none"/>
              </w:rPr>
              <w:t>6,154,459.85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银行卡业务手续费支出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220,448.10</w:t>
            </w:r>
          </w:p>
        </w:tc>
        <w:tc>
          <w:tcPr>
            <w:tcW w:w="2280"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143,177.83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结算业务手续费支出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710,960.92</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1,137,594.46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代理业务手续费支出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246,158.89</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151,506.00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电子银行业务支出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2,973,050.63</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1,498,709.17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智能收单业务手续费支出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20,921,892.04</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14,917,222.68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人力外包费</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4,174,543.84</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3,799,286.96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其他手续费及佣金支出</w:t>
            </w:r>
          </w:p>
        </w:tc>
        <w:tc>
          <w:tcPr>
            <w:tcW w:w="324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bidi="ar"/>
              </w:rPr>
              <w:t>3,003,485.73</w:t>
            </w:r>
          </w:p>
        </w:tc>
        <w:tc>
          <w:tcPr>
            <w:tcW w:w="2280" w:type="dxa"/>
            <w:tcBorders>
              <w:tl2br w:val="nil"/>
              <w:tr2bl w:val="nil"/>
            </w:tcBorders>
            <w:noWrap w:val="0"/>
            <w:vAlign w:val="top"/>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1,089,590.74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手续费支出合计</w:t>
            </w:r>
          </w:p>
        </w:tc>
        <w:tc>
          <w:tcPr>
            <w:tcW w:w="324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b/>
                <w:bCs/>
                <w:color w:val="auto"/>
                <w:kern w:val="0"/>
                <w:sz w:val="20"/>
                <w:szCs w:val="20"/>
                <w:highlight w:val="none"/>
                <w:lang w:bidi="ar"/>
              </w:rPr>
              <w:t>32,250,540.15</w:t>
            </w:r>
          </w:p>
        </w:tc>
        <w:tc>
          <w:tcPr>
            <w:tcW w:w="2280" w:type="dxa"/>
            <w:tcBorders>
              <w:tl2br w:val="nil"/>
              <w:tr2bl w:val="nil"/>
            </w:tcBorders>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22,737,087.84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47" w:type="dxa"/>
            <w:tcBorders>
              <w:tl2br w:val="nil"/>
              <w:tr2bl w:val="nil"/>
            </w:tcBorders>
            <w:noWrap w:val="0"/>
            <w:vAlign w:val="center"/>
          </w:tcPr>
          <w:p>
            <w:pPr>
              <w:widowControl/>
              <w:jc w:val="left"/>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手续费净收入</w:t>
            </w:r>
          </w:p>
        </w:tc>
        <w:tc>
          <w:tcPr>
            <w:tcW w:w="3240"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-26,343,558.07</w:t>
            </w:r>
          </w:p>
        </w:tc>
        <w:tc>
          <w:tcPr>
            <w:tcW w:w="2280" w:type="dxa"/>
            <w:tcBorders>
              <w:tl2br w:val="nil"/>
              <w:tr2bl w:val="nil"/>
            </w:tcBorders>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-16,582,627.99</w:t>
            </w:r>
          </w:p>
        </w:tc>
      </w:tr>
    </w:tbl>
    <w:p>
      <w:pPr>
        <w:spacing w:line="540" w:lineRule="exact"/>
        <w:ind w:firstLine="105" w:firstLineChars="5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2</w:t>
      </w:r>
      <w:r>
        <w:rPr>
          <w:rFonts w:hint="eastAsia" w:ascii="Arial Narrow Regular" w:hAnsi="Arial Narrow Regular" w:cs="Arial Narrow Regular"/>
          <w:color w:val="auto"/>
          <w:sz w:val="21"/>
          <w:szCs w:val="21"/>
          <w:highlight w:val="none"/>
        </w:rPr>
        <w:t>投资收益</w:t>
      </w:r>
    </w:p>
    <w:tbl>
      <w:tblPr>
        <w:tblStyle w:val="12"/>
        <w:tblW w:w="9200" w:type="dxa"/>
        <w:tblInd w:w="18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736"/>
        <w:gridCol w:w="3237"/>
        <w:gridCol w:w="22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3" w:hRule="atLeast"/>
          <w:tblHeader/>
        </w:trPr>
        <w:tc>
          <w:tcPr>
            <w:tcW w:w="373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23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22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14" w:hRule="atLeast"/>
        </w:trPr>
        <w:tc>
          <w:tcPr>
            <w:tcW w:w="3736"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长期股权投资损益</w:t>
            </w:r>
          </w:p>
        </w:tc>
        <w:tc>
          <w:tcPr>
            <w:tcW w:w="3237"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1,008,414.25</w:t>
            </w:r>
          </w:p>
        </w:tc>
        <w:tc>
          <w:tcPr>
            <w:tcW w:w="222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36"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其他权益工具投资</w:t>
            </w:r>
          </w:p>
        </w:tc>
        <w:tc>
          <w:tcPr>
            <w:tcW w:w="323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214,388.06</w:t>
            </w:r>
          </w:p>
        </w:tc>
        <w:tc>
          <w:tcPr>
            <w:tcW w:w="222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870,410.90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36"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其他债权投资损益</w:t>
            </w:r>
          </w:p>
        </w:tc>
        <w:tc>
          <w:tcPr>
            <w:tcW w:w="323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3,000,461.48</w:t>
            </w:r>
          </w:p>
        </w:tc>
        <w:tc>
          <w:tcPr>
            <w:tcW w:w="2227"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12,262,647.66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36"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贴现资产投资损益</w:t>
            </w:r>
          </w:p>
        </w:tc>
        <w:tc>
          <w:tcPr>
            <w:tcW w:w="323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9,845.56</w:t>
            </w:r>
          </w:p>
        </w:tc>
        <w:tc>
          <w:tcPr>
            <w:tcW w:w="222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13,813.47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73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237"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4,233,109.35</w:t>
            </w:r>
          </w:p>
        </w:tc>
        <w:tc>
          <w:tcPr>
            <w:tcW w:w="2227" w:type="dxa"/>
            <w:tcBorders>
              <w:tl2br w:val="nil"/>
              <w:tr2bl w:val="nil"/>
            </w:tcBorders>
            <w:noWrap w:val="0"/>
            <w:vAlign w:val="center"/>
          </w:tcPr>
          <w:p>
            <w:pPr>
              <w:widowControl/>
              <w:jc w:val="right"/>
              <w:textAlignment w:val="center"/>
              <w:rPr>
                <w:rFonts w:hint="eastAsia" w:ascii="宋体" w:hAnsi="宋体" w:cs="宋体"/>
                <w:b/>
                <w:color w:val="auto"/>
                <w:sz w:val="20"/>
                <w:szCs w:val="20"/>
                <w:highlight w:val="none"/>
              </w:rPr>
            </w:pPr>
            <w:r>
              <w:rPr>
                <w:rFonts w:ascii="宋体" w:hAnsi="宋体" w:cs="宋体"/>
                <w:b/>
                <w:color w:val="auto"/>
                <w:sz w:val="20"/>
                <w:szCs w:val="20"/>
                <w:highlight w:val="none"/>
              </w:rPr>
              <w:t>13,146,872.03</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3</w:t>
      </w:r>
      <w:r>
        <w:rPr>
          <w:rFonts w:hint="eastAsia" w:ascii="Arial Narrow Regular" w:hAnsi="Arial Narrow Regular" w:cs="Arial Narrow Regular"/>
          <w:color w:val="auto"/>
          <w:sz w:val="21"/>
          <w:szCs w:val="21"/>
          <w:highlight w:val="none"/>
        </w:rPr>
        <w:t>其他收益</w:t>
      </w:r>
    </w:p>
    <w:tbl>
      <w:tblPr>
        <w:tblStyle w:val="12"/>
        <w:tblW w:w="9173" w:type="dxa"/>
        <w:tblInd w:w="22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76"/>
        <w:gridCol w:w="3356"/>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3" w:hRule="atLeast"/>
          <w:tblHeader/>
        </w:trPr>
        <w:tc>
          <w:tcPr>
            <w:tcW w:w="367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5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76"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其他收益</w:t>
            </w:r>
          </w:p>
        </w:tc>
        <w:tc>
          <w:tcPr>
            <w:tcW w:w="3356"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173,899.78</w:t>
            </w:r>
          </w:p>
        </w:tc>
        <w:tc>
          <w:tcPr>
            <w:tcW w:w="2141"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141,793.26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7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56"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173,899.78</w:t>
            </w:r>
          </w:p>
        </w:tc>
        <w:tc>
          <w:tcPr>
            <w:tcW w:w="2141" w:type="dxa"/>
            <w:tcBorders>
              <w:tl2br w:val="nil"/>
              <w:tr2bl w:val="nil"/>
            </w:tcBorders>
            <w:noWrap w:val="0"/>
            <w:vAlign w:val="top"/>
          </w:tcPr>
          <w:p>
            <w:pPr>
              <w:widowControl/>
              <w:jc w:val="right"/>
              <w:textAlignment w:val="top"/>
              <w:rPr>
                <w:rFonts w:hint="eastAsia" w:ascii="宋体" w:hAnsi="宋体" w:cs="宋体"/>
                <w:b/>
                <w:color w:val="auto"/>
                <w:sz w:val="20"/>
                <w:szCs w:val="20"/>
                <w:highlight w:val="none"/>
              </w:rPr>
            </w:pPr>
            <w:r>
              <w:rPr>
                <w:rFonts w:ascii="宋体" w:hAnsi="宋体" w:cs="宋体"/>
                <w:b/>
                <w:color w:val="auto"/>
                <w:sz w:val="20"/>
                <w:szCs w:val="20"/>
                <w:highlight w:val="none"/>
              </w:rPr>
              <w:t>141,793.26</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4</w:t>
      </w:r>
      <w:r>
        <w:rPr>
          <w:rFonts w:hint="eastAsia" w:ascii="Arial Narrow Regular" w:hAnsi="Arial Narrow Regular" w:cs="Arial Narrow Regular"/>
          <w:color w:val="auto"/>
          <w:sz w:val="21"/>
          <w:szCs w:val="21"/>
          <w:highlight w:val="none"/>
        </w:rPr>
        <w:t>其他业务收入</w:t>
      </w:r>
    </w:p>
    <w:tbl>
      <w:tblPr>
        <w:tblStyle w:val="12"/>
        <w:tblW w:w="9146" w:type="dxa"/>
        <w:tblInd w:w="22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85"/>
        <w:gridCol w:w="3347"/>
        <w:gridCol w:w="21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8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4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14"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52" w:hRule="atLeast"/>
        </w:trPr>
        <w:tc>
          <w:tcPr>
            <w:tcW w:w="3685"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抵债资产租赁收入</w:t>
            </w:r>
          </w:p>
        </w:tc>
        <w:tc>
          <w:tcPr>
            <w:tcW w:w="3347"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1,485,288.62</w:t>
            </w:r>
          </w:p>
        </w:tc>
        <w:tc>
          <w:tcPr>
            <w:tcW w:w="2114"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1,216,580.76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85"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票据凭证出售收入</w:t>
            </w:r>
          </w:p>
        </w:tc>
        <w:tc>
          <w:tcPr>
            <w:tcW w:w="3347"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1,393.03</w:t>
            </w:r>
          </w:p>
        </w:tc>
        <w:tc>
          <w:tcPr>
            <w:tcW w:w="2114"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12,026.42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85"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信用卡违约金收入</w:t>
            </w:r>
          </w:p>
        </w:tc>
        <w:tc>
          <w:tcPr>
            <w:tcW w:w="3347"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10,712.04</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2,076.58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85"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非投资性房地产租赁收入</w:t>
            </w:r>
          </w:p>
        </w:tc>
        <w:tc>
          <w:tcPr>
            <w:tcW w:w="3347" w:type="dxa"/>
            <w:tcBorders>
              <w:tl2br w:val="nil"/>
              <w:tr2bl w:val="nil"/>
            </w:tcBorders>
            <w:noWrap w:val="0"/>
            <w:vAlign w:val="center"/>
          </w:tcPr>
          <w:p>
            <w:pPr>
              <w:widowControl/>
              <w:jc w:val="righ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1,474,201.12</w:t>
            </w:r>
          </w:p>
        </w:tc>
        <w:tc>
          <w:tcPr>
            <w:tcW w:w="2114" w:type="dxa"/>
            <w:tcBorders>
              <w:tl2br w:val="nil"/>
              <w:tr2bl w:val="nil"/>
            </w:tcBorders>
            <w:noWrap w:val="0"/>
            <w:vAlign w:val="center"/>
          </w:tcPr>
          <w:p>
            <w:pPr>
              <w:widowControl/>
              <w:jc w:val="righ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2,187,371.16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85" w:type="dxa"/>
            <w:tcBorders>
              <w:tl2br w:val="nil"/>
              <w:tr2bl w:val="nil"/>
            </w:tcBorders>
            <w:noWrap w:val="0"/>
            <w:vAlign w:val="center"/>
          </w:tcPr>
          <w:p>
            <w:pPr>
              <w:widowControl/>
              <w:textAlignment w:val="center"/>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其他业务收入</w:t>
            </w:r>
          </w:p>
        </w:tc>
        <w:tc>
          <w:tcPr>
            <w:tcW w:w="3347" w:type="dxa"/>
            <w:tcBorders>
              <w:tl2br w:val="nil"/>
              <w:tr2bl w:val="nil"/>
            </w:tcBorders>
            <w:noWrap w:val="0"/>
            <w:vAlign w:val="top"/>
          </w:tcPr>
          <w:p>
            <w:pPr>
              <w:widowControl/>
              <w:jc w:val="right"/>
              <w:textAlignment w:val="center"/>
              <w:rPr>
                <w:rFonts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0.00</w:t>
            </w:r>
          </w:p>
        </w:tc>
        <w:tc>
          <w:tcPr>
            <w:tcW w:w="2114"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107,443.40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152" w:hRule="atLeast"/>
        </w:trPr>
        <w:tc>
          <w:tcPr>
            <w:tcW w:w="368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47"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2,971,594.81</w:t>
            </w:r>
          </w:p>
        </w:tc>
        <w:tc>
          <w:tcPr>
            <w:tcW w:w="2114" w:type="dxa"/>
            <w:tcBorders>
              <w:tl2br w:val="nil"/>
              <w:tr2bl w:val="nil"/>
            </w:tcBorders>
            <w:noWrap w:val="0"/>
            <w:vAlign w:val="top"/>
          </w:tcPr>
          <w:p>
            <w:pPr>
              <w:widowControl/>
              <w:jc w:val="right"/>
              <w:textAlignment w:val="top"/>
              <w:rPr>
                <w:rFonts w:hint="eastAsia" w:ascii="宋体" w:hAnsi="宋体" w:cs="宋体"/>
                <w:b/>
                <w:color w:val="auto"/>
                <w:sz w:val="20"/>
                <w:szCs w:val="20"/>
                <w:highlight w:val="none"/>
              </w:rPr>
            </w:pPr>
            <w:r>
              <w:rPr>
                <w:rFonts w:ascii="宋体" w:hAnsi="宋体" w:cs="宋体"/>
                <w:b/>
                <w:color w:val="auto"/>
                <w:sz w:val="20"/>
                <w:szCs w:val="20"/>
                <w:highlight w:val="none"/>
              </w:rPr>
              <w:t>3,525,498.32</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5</w:t>
      </w:r>
      <w:r>
        <w:rPr>
          <w:rFonts w:hint="eastAsia" w:ascii="Arial Narrow Regular" w:hAnsi="Arial Narrow Regular" w:cs="Arial Narrow Regular"/>
          <w:color w:val="auto"/>
          <w:sz w:val="21"/>
          <w:szCs w:val="21"/>
          <w:highlight w:val="none"/>
        </w:rPr>
        <w:t>资产处置收益</w:t>
      </w:r>
    </w:p>
    <w:tbl>
      <w:tblPr>
        <w:tblStyle w:val="12"/>
        <w:tblW w:w="9133" w:type="dxa"/>
        <w:tblInd w:w="26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3637"/>
        <w:gridCol w:w="3355"/>
        <w:gridCol w:w="21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3" w:hRule="atLeast"/>
          <w:tblHeader/>
        </w:trPr>
        <w:tc>
          <w:tcPr>
            <w:tcW w:w="3637"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55"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3637" w:type="dxa"/>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固定资产处置损益</w:t>
            </w:r>
          </w:p>
        </w:tc>
        <w:tc>
          <w:tcPr>
            <w:tcW w:w="3355" w:type="dxa"/>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444,224.12</w:t>
            </w:r>
          </w:p>
        </w:tc>
        <w:tc>
          <w:tcPr>
            <w:tcW w:w="2141" w:type="dxa"/>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2,612,598.94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3637" w:type="dxa"/>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抵债资产处置损益</w:t>
            </w:r>
          </w:p>
        </w:tc>
        <w:tc>
          <w:tcPr>
            <w:tcW w:w="3355" w:type="dxa"/>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-491,575.79</w:t>
            </w:r>
          </w:p>
        </w:tc>
        <w:tc>
          <w:tcPr>
            <w:tcW w:w="2141" w:type="dxa"/>
            <w:noWrap w:val="0"/>
            <w:vAlign w:val="center"/>
          </w:tcPr>
          <w:p>
            <w:pPr>
              <w:widowControl/>
              <w:jc w:val="right"/>
              <w:textAlignment w:val="center"/>
              <w:rPr>
                <w:rFonts w:hint="eastAsia" w:ascii="宋体" w:hAnsi="宋体" w:eastAsia="宋体" w:cs="宋体"/>
                <w:color w:val="auto"/>
                <w:kern w:val="0"/>
                <w:sz w:val="20"/>
                <w:szCs w:val="20"/>
                <w:highlight w:val="none"/>
                <w:lang w:bidi="ar"/>
              </w:rPr>
            </w:pPr>
            <w:r>
              <w:rPr>
                <w:rFonts w:ascii="宋体" w:hAnsi="宋体" w:eastAsia="宋体" w:cs="宋体"/>
                <w:color w:val="auto"/>
                <w:kern w:val="0"/>
                <w:sz w:val="20"/>
                <w:szCs w:val="20"/>
                <w:highlight w:val="none"/>
                <w:lang w:bidi="ar"/>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rPr>
        <w:tc>
          <w:tcPr>
            <w:tcW w:w="3637" w:type="dxa"/>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55" w:type="dxa"/>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-47,351.67</w:t>
            </w:r>
          </w:p>
        </w:tc>
        <w:tc>
          <w:tcPr>
            <w:tcW w:w="2141" w:type="dxa"/>
            <w:noWrap w:val="0"/>
            <w:vAlign w:val="top"/>
          </w:tcPr>
          <w:p>
            <w:pPr>
              <w:widowControl/>
              <w:jc w:val="right"/>
              <w:textAlignment w:val="top"/>
              <w:rPr>
                <w:rFonts w:hint="eastAsia" w:ascii="宋体" w:hAnsi="宋体" w:cs="宋体"/>
                <w:b/>
                <w:color w:val="auto"/>
                <w:sz w:val="20"/>
                <w:szCs w:val="20"/>
                <w:highlight w:val="none"/>
              </w:rPr>
            </w:pPr>
            <w:r>
              <w:rPr>
                <w:rFonts w:ascii="宋体" w:hAnsi="宋体" w:cs="宋体"/>
                <w:b/>
                <w:color w:val="auto"/>
                <w:sz w:val="20"/>
                <w:szCs w:val="20"/>
                <w:highlight w:val="none"/>
              </w:rPr>
              <w:t>2,612,598.94</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6</w:t>
      </w:r>
      <w:r>
        <w:rPr>
          <w:rFonts w:hint="eastAsia" w:ascii="Arial Narrow Regular" w:hAnsi="Arial Narrow Regular" w:cs="Arial Narrow Regular"/>
          <w:color w:val="auto"/>
          <w:sz w:val="21"/>
          <w:szCs w:val="21"/>
          <w:highlight w:val="none"/>
        </w:rPr>
        <w:t>营业税金及附加</w:t>
      </w:r>
    </w:p>
    <w:tbl>
      <w:tblPr>
        <w:tblStyle w:val="12"/>
        <w:tblW w:w="9133" w:type="dxa"/>
        <w:tblInd w:w="24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59"/>
        <w:gridCol w:w="3360"/>
        <w:gridCol w:w="21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3" w:hRule="atLeast"/>
          <w:tblHeader/>
        </w:trPr>
        <w:tc>
          <w:tcPr>
            <w:tcW w:w="365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6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14"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(1)城市维护建设税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1,094,035.05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1,142,793.53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(2)教育费附加</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468,872.16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489,768.66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(3)地方教育费附加</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312,581.45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326,512.43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(4)房产税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2,904,066.49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3,065,268.67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(5)土地使用税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586,513.01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615,953.45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(6)印花税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473,200.23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476,458.68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(7)车船税</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4,377.00 </w:t>
            </w:r>
          </w:p>
        </w:tc>
        <w:tc>
          <w:tcPr>
            <w:tcW w:w="2114"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rPr>
            </w:pPr>
            <w:r>
              <w:rPr>
                <w:rFonts w:hint="default" w:ascii="宋体" w:hAnsi="宋体" w:eastAsia="宋体" w:cs="宋体"/>
                <w:color w:val="auto"/>
                <w:kern w:val="0"/>
                <w:sz w:val="20"/>
                <w:szCs w:val="20"/>
                <w:highlight w:val="none"/>
                <w:lang w:val="en-US" w:eastAsia="zh-CN"/>
              </w:rPr>
              <w:t xml:space="preserve"> 5,386.20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(8)其他税金及附加</w:t>
            </w:r>
          </w:p>
        </w:tc>
        <w:tc>
          <w:tcPr>
            <w:tcW w:w="3360"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1,827.00 </w:t>
            </w:r>
          </w:p>
        </w:tc>
        <w:tc>
          <w:tcPr>
            <w:tcW w:w="2114"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5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60"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b/>
                <w:bCs/>
                <w:color w:val="auto"/>
                <w:kern w:val="0"/>
                <w:sz w:val="20"/>
                <w:szCs w:val="20"/>
                <w:highlight w:val="none"/>
                <w:lang w:bidi="ar"/>
              </w:rPr>
              <w:t xml:space="preserve"> </w:t>
            </w:r>
            <w:r>
              <w:rPr>
                <w:rFonts w:hint="eastAsia" w:ascii="宋体" w:hAnsi="宋体" w:cs="宋体"/>
                <w:b/>
                <w:color w:val="auto"/>
                <w:kern w:val="0"/>
                <w:sz w:val="20"/>
                <w:szCs w:val="20"/>
                <w:highlight w:val="none"/>
              </w:rPr>
              <w:t xml:space="preserve">5,845,472.39 </w:t>
            </w:r>
          </w:p>
        </w:tc>
        <w:tc>
          <w:tcPr>
            <w:tcW w:w="2114" w:type="dxa"/>
            <w:tcBorders>
              <w:tl2br w:val="nil"/>
              <w:tr2bl w:val="nil"/>
            </w:tcBorders>
            <w:noWrap w:val="0"/>
            <w:vAlign w:val="center"/>
          </w:tcPr>
          <w:p>
            <w:pPr>
              <w:widowControl/>
              <w:jc w:val="right"/>
              <w:textAlignment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 xml:space="preserve"> 6,122,141.62 </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7</w:t>
      </w:r>
      <w:r>
        <w:rPr>
          <w:rFonts w:hint="eastAsia" w:ascii="Arial Narrow Regular" w:hAnsi="Arial Narrow Regular" w:cs="Arial Narrow Regular"/>
          <w:color w:val="auto"/>
          <w:sz w:val="21"/>
          <w:szCs w:val="21"/>
          <w:highlight w:val="none"/>
        </w:rPr>
        <w:t>业务及管理费</w:t>
      </w:r>
    </w:p>
    <w:tbl>
      <w:tblPr>
        <w:tblStyle w:val="12"/>
        <w:tblW w:w="9106" w:type="dxa"/>
        <w:tblInd w:w="26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27"/>
        <w:gridCol w:w="3273"/>
        <w:gridCol w:w="22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3" w:hRule="atLeast"/>
          <w:tblHeader/>
        </w:trPr>
        <w:tc>
          <w:tcPr>
            <w:tcW w:w="362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273"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20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业务宣传费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11,200,223.40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12,375,362.65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广告费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506,739.56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126,402.88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印刷费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219,594.91</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18,198.66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业务招待费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电子设备运转费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1,368,195.02</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1,172,074.30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钞币运送费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安全防卫费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1,364,118.47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823,845.45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保险费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16,369,326.63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6,499,694.88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邮电费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1,615,758.11</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1,550,026.73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诉讼费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596,957.09</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3,283,197.00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公证费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181,530.84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431,167.39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咨询费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212,928.66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1,439,681.41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审计费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39,863.27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40,692.77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公杂费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735,534.31</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798,774.87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差旅费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161,498.67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196,112.96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水电气费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1,523,901.44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1,409,738.64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会议费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23,947.13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18,517.11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绿化费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90,842.17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57,671.76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理（董）监事会费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213,000.00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228,000.00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会费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30,970.69</w:t>
            </w:r>
          </w:p>
        </w:tc>
        <w:tc>
          <w:tcPr>
            <w:tcW w:w="2206"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93,501.81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交通工具耗用费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193,081.36</w:t>
            </w:r>
          </w:p>
        </w:tc>
        <w:tc>
          <w:tcPr>
            <w:tcW w:w="2206" w:type="dxa"/>
            <w:tcBorders>
              <w:tl2br w:val="nil"/>
              <w:tr2bl w:val="nil"/>
            </w:tcBorders>
            <w:noWrap w:val="0"/>
            <w:vAlign w:val="center"/>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125,160.13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物业管理费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1,780,904.35</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2,430,827.39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职工工资</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129,176,807.13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108,642,293.79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职工福利费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17,658,918.22</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11,755,848.25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职工教育经费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436,021.56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230,458.66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工会经费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2,583,536.14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2,172,845.88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劳动保护费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13,546.05</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13,866.34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基本养老保险金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14,010,184.33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14,423,315.13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基本医疗保险金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6,800,567.80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6,945,509.65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工伤保险金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365,004.74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374,092.37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失业保险金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638,758.29</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654,843.62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补充养老保险金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12,991,880.70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8,691,679.50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补充医疗保险金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6,207,527.49</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11,891,140.04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住房公积金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18,325,898.50</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12,471,776.00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劳务派遣费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717,959.11</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976,911.82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租赁费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3,568,513.17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1,279,281.67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修理费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3,129,458.96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3,720,116.82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低值易耗品购置</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854,727.63</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543,354.44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其他长期待摊费用摊销</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68,570.24</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45,740.42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无形资产摊销</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763,877.16</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871,905.17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固定资产折旧费</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11,047,049.35</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20,132,219.42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服务费分摊</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2,336,674.79</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2,204,603.53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残疾人就业保障金</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788,985.02</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757,166.84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其他费用</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lang w:bidi="ar"/>
              </w:rPr>
              <w:t>2,321,342.27</w:t>
            </w:r>
          </w:p>
        </w:tc>
        <w:tc>
          <w:tcPr>
            <w:tcW w:w="2206" w:type="dxa"/>
            <w:tcBorders>
              <w:tl2br w:val="nil"/>
              <w:tr2bl w:val="nil"/>
            </w:tcBorders>
            <w:noWrap w:val="0"/>
            <w:vAlign w:val="top"/>
          </w:tcPr>
          <w:p>
            <w:pPr>
              <w:widowControl/>
              <w:jc w:val="right"/>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4,409,736.64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27" w:type="dxa"/>
            <w:tcBorders>
              <w:tl2br w:val="nil"/>
              <w:tr2bl w:val="nil"/>
            </w:tcBorders>
            <w:noWrap w:val="0"/>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b/>
                <w:color w:val="auto"/>
                <w:kern w:val="0"/>
                <w:sz w:val="20"/>
                <w:szCs w:val="20"/>
                <w:highlight w:val="none"/>
              </w:rPr>
              <w:t>合计</w:t>
            </w:r>
          </w:p>
        </w:tc>
        <w:tc>
          <w:tcPr>
            <w:tcW w:w="3273"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b/>
                <w:bCs/>
                <w:color w:val="auto"/>
                <w:kern w:val="0"/>
                <w:sz w:val="20"/>
                <w:szCs w:val="20"/>
                <w:highlight w:val="none"/>
                <w:lang w:bidi="ar"/>
              </w:rPr>
              <w:t>273,234,724.73</w:t>
            </w:r>
          </w:p>
        </w:tc>
        <w:tc>
          <w:tcPr>
            <w:tcW w:w="2206" w:type="dxa"/>
            <w:tcBorders>
              <w:tl2br w:val="nil"/>
              <w:tr2bl w:val="nil"/>
            </w:tcBorders>
            <w:noWrap w:val="0"/>
            <w:vAlign w:val="center"/>
          </w:tcPr>
          <w:p>
            <w:pPr>
              <w:widowControl/>
              <w:jc w:val="right"/>
              <w:textAlignment w:val="center"/>
              <w:rPr>
                <w:rFonts w:hint="eastAsia" w:ascii="宋体" w:hAnsi="宋体" w:eastAsia="宋体" w:cs="宋体"/>
                <w:b/>
                <w:bCs/>
                <w:color w:val="auto"/>
                <w:kern w:val="0"/>
                <w:sz w:val="20"/>
                <w:szCs w:val="20"/>
                <w:highlight w:val="none"/>
                <w:lang w:bidi="ar"/>
              </w:rPr>
            </w:pPr>
            <w:r>
              <w:rPr>
                <w:rFonts w:hint="eastAsia" w:ascii="宋体" w:hAnsi="宋体" w:eastAsia="宋体" w:cs="宋体"/>
                <w:b/>
                <w:bCs/>
                <w:color w:val="auto"/>
                <w:kern w:val="0"/>
                <w:sz w:val="20"/>
                <w:szCs w:val="20"/>
                <w:highlight w:val="none"/>
                <w:lang w:bidi="ar"/>
              </w:rPr>
              <w:t>262,315,918.55</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8</w:t>
      </w:r>
      <w:r>
        <w:rPr>
          <w:rFonts w:hint="eastAsia" w:ascii="Arial Narrow Regular" w:hAnsi="Arial Narrow Regular" w:cs="Arial Narrow Regular"/>
          <w:color w:val="auto"/>
          <w:sz w:val="21"/>
          <w:szCs w:val="21"/>
          <w:highlight w:val="none"/>
        </w:rPr>
        <w:t>信用减值损失</w:t>
      </w:r>
    </w:p>
    <w:tbl>
      <w:tblPr>
        <w:tblStyle w:val="12"/>
        <w:tblW w:w="9147" w:type="dxa"/>
        <w:tblInd w:w="25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39"/>
        <w:gridCol w:w="3367"/>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3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6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3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坏账损失</w:t>
            </w:r>
          </w:p>
        </w:tc>
        <w:tc>
          <w:tcPr>
            <w:tcW w:w="3367"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0.00</w:t>
            </w:r>
          </w:p>
        </w:tc>
        <w:tc>
          <w:tcPr>
            <w:tcW w:w="2141" w:type="dxa"/>
            <w:tcBorders>
              <w:tl2br w:val="nil"/>
              <w:tr2bl w:val="nil"/>
            </w:tcBorders>
            <w:noWrap w:val="0"/>
            <w:vAlign w:val="center"/>
          </w:tcPr>
          <w:p>
            <w:pPr>
              <w:widowControl/>
              <w:jc w:val="right"/>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4,300,000.00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3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信贷资产减值损失</w:t>
            </w:r>
          </w:p>
        </w:tc>
        <w:tc>
          <w:tcPr>
            <w:tcW w:w="3367"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90,096,083.32</w:t>
            </w:r>
          </w:p>
        </w:tc>
        <w:tc>
          <w:tcPr>
            <w:tcW w:w="214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190,844,114.58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3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其他债权投资减值损失</w:t>
            </w:r>
          </w:p>
        </w:tc>
        <w:tc>
          <w:tcPr>
            <w:tcW w:w="3367" w:type="dxa"/>
            <w:tcBorders>
              <w:tl2br w:val="nil"/>
              <w:tr2bl w:val="nil"/>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6,800,000.00</w:t>
            </w:r>
          </w:p>
        </w:tc>
        <w:tc>
          <w:tcPr>
            <w:tcW w:w="214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14,778.67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39"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表外资产减值损失</w:t>
            </w:r>
          </w:p>
        </w:tc>
        <w:tc>
          <w:tcPr>
            <w:tcW w:w="3367"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-2,304.19</w:t>
            </w:r>
          </w:p>
        </w:tc>
        <w:tc>
          <w:tcPr>
            <w:tcW w:w="2141" w:type="dxa"/>
            <w:tcBorders>
              <w:tl2br w:val="nil"/>
              <w:tr2bl w:val="nil"/>
            </w:tcBorders>
            <w:noWrap w:val="0"/>
            <w:vAlign w:val="center"/>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1,706.13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trPr>
        <w:tc>
          <w:tcPr>
            <w:tcW w:w="363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67"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96,893,779.13</w:t>
            </w:r>
          </w:p>
        </w:tc>
        <w:tc>
          <w:tcPr>
            <w:tcW w:w="2141" w:type="dxa"/>
            <w:tcBorders>
              <w:tl2br w:val="nil"/>
              <w:tr2bl w:val="nil"/>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236,705,134.10</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7.3</w:t>
      </w:r>
      <w:r>
        <w:rPr>
          <w:rFonts w:hint="eastAsia" w:ascii="Arial Narrow Regular" w:hAnsi="Arial Narrow Regular" w:cs="Arial Narrow Regular"/>
          <w:color w:val="auto"/>
          <w:sz w:val="21"/>
          <w:szCs w:val="21"/>
          <w:highlight w:val="none"/>
          <w:lang w:val="en-US" w:eastAsia="zh-CN"/>
        </w:rPr>
        <w:t>9</w:t>
      </w:r>
      <w:r>
        <w:rPr>
          <w:rFonts w:hint="eastAsia" w:ascii="Arial Narrow Regular" w:hAnsi="Arial Narrow Regular" w:cs="Arial Narrow Regular"/>
          <w:color w:val="auto"/>
          <w:sz w:val="21"/>
          <w:szCs w:val="21"/>
          <w:highlight w:val="none"/>
        </w:rPr>
        <w:t>资产减值损失</w:t>
      </w:r>
    </w:p>
    <w:tbl>
      <w:tblPr>
        <w:tblStyle w:val="12"/>
        <w:tblW w:w="9133" w:type="dxa"/>
        <w:tblInd w:w="26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17"/>
        <w:gridCol w:w="3375"/>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3" w:hRule="atLeast"/>
          <w:tblHeader/>
        </w:trPr>
        <w:tc>
          <w:tcPr>
            <w:tcW w:w="361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7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7"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在建工程减值损失</w:t>
            </w:r>
          </w:p>
        </w:tc>
        <w:tc>
          <w:tcPr>
            <w:tcW w:w="3375"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3,000,000.00</w:t>
            </w:r>
          </w:p>
        </w:tc>
        <w:tc>
          <w:tcPr>
            <w:tcW w:w="2141" w:type="dxa"/>
            <w:tcBorders>
              <w:tl2br w:val="nil"/>
              <w:tr2bl w:val="nil"/>
            </w:tcBorders>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抵债资产减值损失</w:t>
            </w:r>
          </w:p>
        </w:tc>
        <w:tc>
          <w:tcPr>
            <w:tcW w:w="3375" w:type="dxa"/>
            <w:tcBorders>
              <w:tl2br w:val="nil"/>
              <w:tr2bl w:val="nil"/>
            </w:tcBorders>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54,000,000.00</w:t>
            </w:r>
          </w:p>
        </w:tc>
        <w:tc>
          <w:tcPr>
            <w:tcW w:w="2141" w:type="dxa"/>
            <w:tcBorders>
              <w:tl2br w:val="nil"/>
              <w:tr2bl w:val="nil"/>
            </w:tcBorders>
            <w:noWrap w:val="0"/>
            <w:vAlign w:val="top"/>
          </w:tcPr>
          <w:p>
            <w:pPr>
              <w:widowControl/>
              <w:jc w:val="right"/>
              <w:textAlignment w:val="center"/>
              <w:rPr>
                <w:rFonts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75" w:type="dxa"/>
            <w:tcBorders>
              <w:tl2br w:val="nil"/>
              <w:tr2bl w:val="nil"/>
            </w:tcBorders>
            <w:noWrap w:val="0"/>
            <w:vAlign w:val="top"/>
          </w:tcPr>
          <w:p>
            <w:pPr>
              <w:widowControl/>
              <w:jc w:val="right"/>
              <w:textAlignment w:val="top"/>
              <w:rPr>
                <w:rFonts w:ascii="宋体" w:hAnsi="宋体" w:cs="宋体"/>
                <w:b/>
                <w:color w:val="auto"/>
                <w:sz w:val="20"/>
                <w:szCs w:val="20"/>
                <w:highlight w:val="none"/>
              </w:rPr>
            </w:pPr>
            <w:r>
              <w:rPr>
                <w:rFonts w:hint="eastAsia" w:ascii="宋体" w:hAnsi="宋体" w:cs="宋体"/>
                <w:b/>
                <w:color w:val="auto"/>
                <w:sz w:val="20"/>
                <w:szCs w:val="20"/>
                <w:highlight w:val="none"/>
              </w:rPr>
              <w:t>57,000,000.00</w:t>
            </w:r>
          </w:p>
        </w:tc>
        <w:tc>
          <w:tcPr>
            <w:tcW w:w="2141" w:type="dxa"/>
            <w:tcBorders>
              <w:tl2br w:val="nil"/>
              <w:tr2bl w:val="nil"/>
            </w:tcBorders>
            <w:noWrap w:val="0"/>
            <w:vAlign w:val="top"/>
          </w:tcPr>
          <w:p>
            <w:pPr>
              <w:widowControl/>
              <w:jc w:val="right"/>
              <w:textAlignment w:val="top"/>
              <w:rPr>
                <w:rFonts w:ascii="宋体" w:hAnsi="宋体" w:cs="宋体"/>
                <w:b/>
                <w:color w:val="auto"/>
                <w:sz w:val="20"/>
                <w:szCs w:val="20"/>
                <w:highlight w:val="none"/>
              </w:rPr>
            </w:pPr>
            <w:r>
              <w:rPr>
                <w:color w:val="auto"/>
                <w:highlight w:val="none"/>
              </w:rPr>
              <w:t>0.00</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w:t>
      </w:r>
      <w:r>
        <w:rPr>
          <w:rFonts w:hint="eastAsia" w:ascii="Arial Narrow Regular" w:hAnsi="Arial Narrow Regular" w:cs="Arial Narrow Regular"/>
          <w:color w:val="auto"/>
          <w:sz w:val="21"/>
          <w:szCs w:val="21"/>
          <w:highlight w:val="none"/>
          <w:lang w:val="en-US" w:eastAsia="zh-CN"/>
        </w:rPr>
        <w:t>40</w:t>
      </w:r>
      <w:r>
        <w:rPr>
          <w:rFonts w:hint="eastAsia" w:ascii="Arial Narrow Regular" w:hAnsi="Arial Narrow Regular" w:cs="Arial Narrow Regular"/>
          <w:color w:val="auto"/>
          <w:sz w:val="21"/>
          <w:szCs w:val="21"/>
          <w:highlight w:val="none"/>
        </w:rPr>
        <w:t>其他业务成本</w:t>
      </w:r>
    </w:p>
    <w:tbl>
      <w:tblPr>
        <w:tblStyle w:val="12"/>
        <w:tblW w:w="9160" w:type="dxa"/>
        <w:tblInd w:w="241"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42"/>
        <w:gridCol w:w="3377"/>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2"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7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2" w:type="dxa"/>
            <w:tcBorders>
              <w:tl2br w:val="nil"/>
              <w:tr2bl w:val="nil"/>
            </w:tcBorders>
            <w:noWrap w:val="0"/>
            <w:vAlign w:val="center"/>
          </w:tcPr>
          <w:p>
            <w:pPr>
              <w:widowControl/>
              <w:tabs>
                <w:tab w:val="left" w:pos="721"/>
              </w:tabs>
              <w:jc w:val="left"/>
              <w:textAlignment w:val="center"/>
              <w:rPr>
                <w:rFonts w:hint="eastAsia" w:ascii="宋体" w:hAnsi="宋体" w:cs="宋体"/>
                <w:b/>
                <w:color w:val="auto"/>
                <w:kern w:val="0"/>
                <w:sz w:val="20"/>
                <w:szCs w:val="20"/>
                <w:highlight w:val="none"/>
              </w:rPr>
            </w:pPr>
            <w:r>
              <w:rPr>
                <w:rFonts w:hint="eastAsia" w:ascii="宋体" w:hAnsi="宋体" w:cs="宋体"/>
                <w:color w:val="auto"/>
                <w:kern w:val="0"/>
                <w:sz w:val="20"/>
                <w:szCs w:val="20"/>
                <w:highlight w:val="none"/>
              </w:rPr>
              <w:t>抵债资产保管费用</w:t>
            </w:r>
          </w:p>
        </w:tc>
        <w:tc>
          <w:tcPr>
            <w:tcW w:w="337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20,043.80</w:t>
            </w:r>
          </w:p>
        </w:tc>
        <w:tc>
          <w:tcPr>
            <w:tcW w:w="2141"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2" w:type="dxa"/>
            <w:tcBorders>
              <w:tl2br w:val="nil"/>
              <w:tr2bl w:val="nil"/>
            </w:tcBorders>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票据凭证购买支出</w:t>
            </w:r>
          </w:p>
        </w:tc>
        <w:tc>
          <w:tcPr>
            <w:tcW w:w="337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99,818.59</w:t>
            </w:r>
          </w:p>
        </w:tc>
        <w:tc>
          <w:tcPr>
            <w:tcW w:w="2141"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256,501.15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2" w:type="dxa"/>
            <w:tcBorders>
              <w:tl2br w:val="nil"/>
              <w:tr2bl w:val="nil"/>
            </w:tcBorders>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其他业务支出</w:t>
            </w:r>
          </w:p>
        </w:tc>
        <w:tc>
          <w:tcPr>
            <w:tcW w:w="337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828,118.27</w:t>
            </w:r>
          </w:p>
        </w:tc>
        <w:tc>
          <w:tcPr>
            <w:tcW w:w="2141" w:type="dxa"/>
            <w:tcBorders>
              <w:tl2br w:val="nil"/>
              <w:tr2bl w:val="nil"/>
            </w:tcBorders>
            <w:noWrap w:val="0"/>
            <w:vAlign w:val="center"/>
          </w:tcPr>
          <w:p>
            <w:pPr>
              <w:jc w:val="right"/>
              <w:rPr>
                <w:rFonts w:hint="eastAsia" w:ascii="宋体" w:hAnsi="宋体" w:cs="宋体"/>
                <w:color w:val="auto"/>
                <w:sz w:val="20"/>
                <w:szCs w:val="20"/>
                <w:highlight w:val="none"/>
              </w:rPr>
            </w:pPr>
            <w:r>
              <w:rPr>
                <w:rFonts w:ascii="宋体" w:hAnsi="宋体" w:cs="宋体"/>
                <w:color w:val="auto"/>
                <w:sz w:val="20"/>
                <w:szCs w:val="20"/>
                <w:highlight w:val="none"/>
              </w:rPr>
              <w:t>361,415.87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2"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77" w:type="dxa"/>
            <w:tcBorders>
              <w:tl2br w:val="nil"/>
              <w:tr2bl w:val="nil"/>
            </w:tcBorders>
            <w:noWrap w:val="0"/>
            <w:vAlign w:val="center"/>
          </w:tcPr>
          <w:p>
            <w:pPr>
              <w:widowControl/>
              <w:jc w:val="right"/>
              <w:textAlignment w:val="center"/>
              <w:rPr>
                <w:rFonts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947,980.66</w:t>
            </w:r>
          </w:p>
        </w:tc>
        <w:tc>
          <w:tcPr>
            <w:tcW w:w="2141" w:type="dxa"/>
            <w:tcBorders>
              <w:tl2br w:val="nil"/>
              <w:tr2bl w:val="nil"/>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617,917.02</w:t>
            </w:r>
          </w:p>
        </w:tc>
      </w:tr>
    </w:tbl>
    <w:p>
      <w:pPr>
        <w:spacing w:line="540" w:lineRule="exact"/>
        <w:ind w:firstLine="210" w:firstLineChars="100"/>
        <w:outlineLvl w:val="1"/>
        <w:rPr>
          <w:rFonts w:hint="eastAsia" w:ascii="Arial Narrow Regular" w:hAnsi="Arial Narrow Regular" w:cs="Arial Narrow Regular"/>
          <w:color w:val="auto"/>
          <w:sz w:val="21"/>
          <w:szCs w:val="21"/>
          <w:highlight w:val="none"/>
        </w:rPr>
      </w:pPr>
      <w:r>
        <w:rPr>
          <w:rFonts w:hint="eastAsia" w:ascii="Arial Narrow Regular" w:hAnsi="Arial Narrow Regular" w:cs="Arial Narrow Regular"/>
          <w:color w:val="auto"/>
          <w:sz w:val="21"/>
          <w:szCs w:val="21"/>
          <w:highlight w:val="none"/>
        </w:rPr>
        <w:t>7.</w:t>
      </w:r>
      <w:r>
        <w:rPr>
          <w:rFonts w:hint="eastAsia" w:ascii="Arial Narrow Regular" w:hAnsi="Arial Narrow Regular" w:cs="Arial Narrow Regular"/>
          <w:color w:val="auto"/>
          <w:sz w:val="21"/>
          <w:szCs w:val="21"/>
          <w:highlight w:val="none"/>
          <w:lang w:val="en-US" w:eastAsia="zh-CN"/>
        </w:rPr>
        <w:t>41</w:t>
      </w:r>
      <w:r>
        <w:rPr>
          <w:rFonts w:hint="eastAsia" w:ascii="Arial Narrow Regular" w:hAnsi="Arial Narrow Regular" w:cs="Arial Narrow Regular"/>
          <w:color w:val="auto"/>
          <w:sz w:val="21"/>
          <w:szCs w:val="21"/>
          <w:highlight w:val="none"/>
        </w:rPr>
        <w:t>营业外收入</w:t>
      </w:r>
    </w:p>
    <w:tbl>
      <w:tblPr>
        <w:tblStyle w:val="12"/>
        <w:tblW w:w="9134" w:type="dxa"/>
        <w:tblInd w:w="25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19"/>
        <w:gridCol w:w="3387"/>
        <w:gridCol w:w="21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8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28"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资产盘盈及清理收入</w:t>
            </w:r>
          </w:p>
        </w:tc>
        <w:tc>
          <w:tcPr>
            <w:tcW w:w="338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22,133.33</w:t>
            </w:r>
          </w:p>
        </w:tc>
        <w:tc>
          <w:tcPr>
            <w:tcW w:w="2128"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长款收入</w:t>
            </w:r>
          </w:p>
        </w:tc>
        <w:tc>
          <w:tcPr>
            <w:tcW w:w="338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24,185.13</w:t>
            </w:r>
          </w:p>
        </w:tc>
        <w:tc>
          <w:tcPr>
            <w:tcW w:w="2128"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11,202.78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罚没款收入</w:t>
            </w:r>
          </w:p>
        </w:tc>
        <w:tc>
          <w:tcPr>
            <w:tcW w:w="3387"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438,620.00</w:t>
            </w:r>
          </w:p>
        </w:tc>
        <w:tc>
          <w:tcPr>
            <w:tcW w:w="2128" w:type="dxa"/>
            <w:tcBorders>
              <w:tl2br w:val="nil"/>
              <w:tr2bl w:val="nil"/>
            </w:tcBorders>
            <w:noWrap w:val="0"/>
            <w:vAlign w:val="center"/>
          </w:tcPr>
          <w:p>
            <w:pPr>
              <w:widowControl/>
              <w:jc w:val="right"/>
              <w:textAlignment w:val="center"/>
              <w:rPr>
                <w:rFonts w:ascii="宋体" w:hAnsi="宋体" w:cs="宋体"/>
                <w:color w:val="auto"/>
                <w:kern w:val="0"/>
                <w:sz w:val="20"/>
                <w:szCs w:val="20"/>
                <w:highlight w:val="none"/>
              </w:rPr>
            </w:pPr>
            <w:r>
              <w:rPr>
                <w:rFonts w:ascii="宋体" w:hAnsi="宋体" w:cs="宋体"/>
                <w:color w:val="auto"/>
                <w:kern w:val="0"/>
                <w:sz w:val="20"/>
                <w:szCs w:val="20"/>
                <w:highlight w:val="none"/>
              </w:rPr>
              <w:t>395,400.00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久悬未取款项收入</w:t>
            </w:r>
          </w:p>
        </w:tc>
        <w:tc>
          <w:tcPr>
            <w:tcW w:w="3387"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206,722.87</w:t>
            </w:r>
          </w:p>
        </w:tc>
        <w:tc>
          <w:tcPr>
            <w:tcW w:w="2128"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非投资性房地产租赁收入</w:t>
            </w:r>
          </w:p>
        </w:tc>
        <w:tc>
          <w:tcPr>
            <w:tcW w:w="3387"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c>
          <w:tcPr>
            <w:tcW w:w="2128"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ascii="宋体" w:hAnsi="宋体" w:cs="宋体"/>
                <w:color w:val="auto"/>
                <w:kern w:val="0"/>
                <w:sz w:val="20"/>
                <w:szCs w:val="20"/>
                <w:highlight w:val="none"/>
                <w:lang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其他营业外收入</w:t>
            </w:r>
          </w:p>
        </w:tc>
        <w:tc>
          <w:tcPr>
            <w:tcW w:w="3387"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1,356,945.76</w:t>
            </w:r>
          </w:p>
        </w:tc>
        <w:tc>
          <w:tcPr>
            <w:tcW w:w="2128"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5,741,821.59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19"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87" w:type="dxa"/>
            <w:tcBorders>
              <w:tl2br w:val="nil"/>
              <w:tr2bl w:val="nil"/>
            </w:tcBorders>
            <w:noWrap w:val="0"/>
            <w:vAlign w:val="center"/>
          </w:tcPr>
          <w:p>
            <w:pPr>
              <w:widowControl/>
              <w:jc w:val="right"/>
              <w:textAlignment w:val="center"/>
              <w:rPr>
                <w:rFonts w:hint="eastAsia" w:ascii="宋体" w:hAnsi="宋体" w:cs="宋体"/>
                <w:b/>
                <w:bCs/>
                <w:color w:val="auto"/>
                <w:sz w:val="20"/>
                <w:szCs w:val="20"/>
                <w:highlight w:val="none"/>
              </w:rPr>
            </w:pPr>
            <w:r>
              <w:rPr>
                <w:rFonts w:ascii="宋体" w:hAnsi="宋体" w:cs="宋体"/>
                <w:b/>
                <w:bCs/>
                <w:color w:val="auto"/>
                <w:kern w:val="0"/>
                <w:sz w:val="20"/>
                <w:szCs w:val="20"/>
                <w:highlight w:val="none"/>
                <w:lang w:bidi="ar"/>
              </w:rPr>
              <w:t>2,048,607.09</w:t>
            </w:r>
          </w:p>
        </w:tc>
        <w:tc>
          <w:tcPr>
            <w:tcW w:w="2128" w:type="dxa"/>
            <w:tcBorders>
              <w:tl2br w:val="nil"/>
              <w:tr2bl w:val="nil"/>
            </w:tcBorders>
            <w:noWrap w:val="0"/>
            <w:vAlign w:val="top"/>
          </w:tcPr>
          <w:p>
            <w:pPr>
              <w:widowControl/>
              <w:jc w:val="right"/>
              <w:textAlignment w:val="top"/>
              <w:rPr>
                <w:rFonts w:ascii="宋体" w:hAnsi="宋体" w:cs="宋体"/>
                <w:b/>
                <w:color w:val="auto"/>
                <w:sz w:val="20"/>
                <w:szCs w:val="20"/>
                <w:highlight w:val="none"/>
              </w:rPr>
            </w:pPr>
            <w:r>
              <w:rPr>
                <w:rFonts w:ascii="宋体" w:hAnsi="宋体" w:cs="宋体"/>
                <w:b/>
                <w:color w:val="auto"/>
                <w:sz w:val="20"/>
                <w:szCs w:val="20"/>
                <w:highlight w:val="none"/>
              </w:rPr>
              <w:t>6,148,424.37</w:t>
            </w:r>
          </w:p>
        </w:tc>
      </w:tr>
    </w:tbl>
    <w:p>
      <w:pPr>
        <w:spacing w:line="540" w:lineRule="exact"/>
        <w:ind w:firstLine="240" w:firstLineChars="100"/>
        <w:outlineLvl w:val="1"/>
        <w:rPr>
          <w:rFonts w:hint="eastAsia" w:ascii="Arial Narrow Regular" w:hAnsi="Arial Narrow Regular" w:cs="Arial Narrow Regular"/>
          <w:color w:val="auto"/>
          <w:sz w:val="24"/>
          <w:highlight w:val="none"/>
        </w:rPr>
      </w:pPr>
      <w:r>
        <w:rPr>
          <w:rFonts w:hint="eastAsia" w:ascii="Arial Narrow Regular" w:hAnsi="Arial Narrow Regular" w:cs="Arial Narrow Regular"/>
          <w:color w:val="auto"/>
          <w:sz w:val="24"/>
          <w:highlight w:val="none"/>
        </w:rPr>
        <w:t>7.4</w:t>
      </w:r>
      <w:r>
        <w:rPr>
          <w:rFonts w:hint="eastAsia" w:ascii="Arial Narrow Regular" w:hAnsi="Arial Narrow Regular" w:cs="Arial Narrow Regular"/>
          <w:color w:val="auto"/>
          <w:sz w:val="24"/>
          <w:highlight w:val="none"/>
          <w:lang w:val="en-US" w:eastAsia="zh-CN"/>
        </w:rPr>
        <w:t>2</w:t>
      </w:r>
      <w:r>
        <w:rPr>
          <w:rFonts w:hint="eastAsia" w:ascii="Arial Narrow Regular" w:hAnsi="Arial Narrow Regular" w:cs="Arial Narrow Regular"/>
          <w:color w:val="auto"/>
          <w:sz w:val="24"/>
          <w:highlight w:val="none"/>
        </w:rPr>
        <w:t>营业外支出</w:t>
      </w:r>
    </w:p>
    <w:tbl>
      <w:tblPr>
        <w:tblStyle w:val="12"/>
        <w:tblW w:w="9133" w:type="dxa"/>
        <w:tblInd w:w="26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597"/>
        <w:gridCol w:w="3395"/>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3" w:hRule="atLeast"/>
          <w:tblHeader/>
        </w:trPr>
        <w:tc>
          <w:tcPr>
            <w:tcW w:w="359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9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59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资产盘亏及清理损失</w:t>
            </w:r>
          </w:p>
        </w:tc>
        <w:tc>
          <w:tcPr>
            <w:tcW w:w="3395"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85,733.51</w:t>
            </w:r>
          </w:p>
        </w:tc>
        <w:tc>
          <w:tcPr>
            <w:tcW w:w="2141"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597"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滞纳金及罚没支出</w:t>
            </w:r>
          </w:p>
        </w:tc>
        <w:tc>
          <w:tcPr>
            <w:tcW w:w="3395"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450,661.22</w:t>
            </w:r>
          </w:p>
        </w:tc>
        <w:tc>
          <w:tcPr>
            <w:tcW w:w="214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rPr>
            </w:pPr>
            <w:r>
              <w:rPr>
                <w:rFonts w:ascii="宋体" w:hAnsi="宋体" w:cs="宋体"/>
                <w:color w:val="auto"/>
                <w:kern w:val="0"/>
                <w:sz w:val="20"/>
                <w:szCs w:val="20"/>
                <w:highlight w:val="none"/>
              </w:rPr>
              <w:t>863,001.34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597" w:type="dxa"/>
            <w:tcBorders>
              <w:tl2br w:val="nil"/>
              <w:tr2bl w:val="nil"/>
            </w:tcBorders>
            <w:noWrap w:val="0"/>
            <w:vAlign w:val="center"/>
          </w:tcPr>
          <w:p>
            <w:pPr>
              <w:widowControl/>
              <w:tabs>
                <w:tab w:val="left" w:pos="972"/>
              </w:tabs>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已转出收益存款支出</w:t>
            </w:r>
          </w:p>
        </w:tc>
        <w:tc>
          <w:tcPr>
            <w:tcW w:w="3395"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775.73</w:t>
            </w:r>
          </w:p>
        </w:tc>
        <w:tc>
          <w:tcPr>
            <w:tcW w:w="2141"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491.18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59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捐赠支出</w:t>
            </w:r>
          </w:p>
        </w:tc>
        <w:tc>
          <w:tcPr>
            <w:tcW w:w="3395"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kern w:val="0"/>
                <w:sz w:val="20"/>
                <w:szCs w:val="20"/>
                <w:highlight w:val="none"/>
                <w:lang w:bidi="ar"/>
              </w:rPr>
              <w:t>150,000.00</w:t>
            </w:r>
          </w:p>
        </w:tc>
        <w:tc>
          <w:tcPr>
            <w:tcW w:w="2141" w:type="dxa"/>
            <w:tcBorders>
              <w:tl2br w:val="nil"/>
              <w:tr2bl w:val="nil"/>
            </w:tcBorders>
            <w:noWrap w:val="0"/>
            <w:vAlign w:val="center"/>
          </w:tcPr>
          <w:p>
            <w:pPr>
              <w:widowControl/>
              <w:jc w:val="right"/>
              <w:textAlignment w:val="center"/>
              <w:rPr>
                <w:rFonts w:ascii="宋体" w:hAnsi="宋体" w:cs="宋体"/>
                <w:color w:val="auto"/>
                <w:sz w:val="20"/>
                <w:szCs w:val="20"/>
                <w:highlight w:val="none"/>
              </w:rPr>
            </w:pPr>
            <w:r>
              <w:rPr>
                <w:rFonts w:ascii="宋体" w:hAnsi="宋体" w:cs="宋体"/>
                <w:color w:val="auto"/>
                <w:sz w:val="20"/>
                <w:szCs w:val="20"/>
                <w:highlight w:val="none"/>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597"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其他营业外支出</w:t>
            </w:r>
          </w:p>
        </w:tc>
        <w:tc>
          <w:tcPr>
            <w:tcW w:w="3395"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kern w:val="0"/>
                <w:sz w:val="20"/>
                <w:szCs w:val="20"/>
                <w:highlight w:val="none"/>
                <w:lang w:bidi="ar"/>
              </w:rPr>
              <w:t>5,561,616.58</w:t>
            </w:r>
          </w:p>
        </w:tc>
        <w:tc>
          <w:tcPr>
            <w:tcW w:w="2141" w:type="dxa"/>
            <w:tcBorders>
              <w:tl2br w:val="nil"/>
              <w:tr2bl w:val="nil"/>
            </w:tcBorders>
            <w:noWrap w:val="0"/>
            <w:vAlign w:val="center"/>
          </w:tcPr>
          <w:p>
            <w:pPr>
              <w:widowControl/>
              <w:jc w:val="right"/>
              <w:textAlignment w:val="center"/>
              <w:rPr>
                <w:rFonts w:hint="eastAsia" w:ascii="宋体" w:hAnsi="宋体" w:cs="宋体"/>
                <w:color w:val="auto"/>
                <w:sz w:val="20"/>
                <w:szCs w:val="20"/>
                <w:highlight w:val="none"/>
              </w:rPr>
            </w:pPr>
            <w:r>
              <w:rPr>
                <w:rFonts w:ascii="宋体" w:hAnsi="宋体" w:cs="宋体"/>
                <w:color w:val="auto"/>
                <w:sz w:val="20"/>
                <w:szCs w:val="20"/>
                <w:highlight w:val="none"/>
              </w:rPr>
              <w:t>7,941,067.56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597"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95" w:type="dxa"/>
            <w:tcBorders>
              <w:tl2br w:val="nil"/>
              <w:tr2bl w:val="nil"/>
            </w:tcBorders>
            <w:noWrap w:val="0"/>
            <w:vAlign w:val="center"/>
          </w:tcPr>
          <w:p>
            <w:pPr>
              <w:widowControl/>
              <w:jc w:val="right"/>
              <w:textAlignment w:val="center"/>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6,248,787.04</w:t>
            </w:r>
          </w:p>
        </w:tc>
        <w:tc>
          <w:tcPr>
            <w:tcW w:w="2141" w:type="dxa"/>
            <w:tcBorders>
              <w:tl2br w:val="nil"/>
              <w:tr2bl w:val="nil"/>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8,804,560.08</w:t>
            </w:r>
          </w:p>
        </w:tc>
      </w:tr>
    </w:tbl>
    <w:p>
      <w:pPr>
        <w:spacing w:line="540" w:lineRule="exact"/>
        <w:ind w:firstLine="240" w:firstLineChars="100"/>
        <w:outlineLvl w:val="1"/>
        <w:rPr>
          <w:rFonts w:hint="eastAsia" w:ascii="Arial Narrow Regular" w:hAnsi="Arial Narrow Regular" w:eastAsia="宋体" w:cs="Arial Narrow Regular"/>
          <w:color w:val="auto"/>
          <w:sz w:val="24"/>
          <w:highlight w:val="none"/>
        </w:rPr>
      </w:pPr>
      <w:r>
        <w:rPr>
          <w:rFonts w:hint="eastAsia" w:ascii="Arial Narrow Regular" w:hAnsi="Arial Narrow Regular" w:eastAsia="宋体" w:cs="Arial Narrow Regular"/>
          <w:color w:val="auto"/>
          <w:sz w:val="24"/>
          <w:highlight w:val="none"/>
        </w:rPr>
        <w:t>7.4</w:t>
      </w:r>
      <w:r>
        <w:rPr>
          <w:rFonts w:hint="eastAsia" w:ascii="Arial Narrow Regular" w:hAnsi="Arial Narrow Regular" w:eastAsia="宋体" w:cs="Arial Narrow Regular"/>
          <w:color w:val="auto"/>
          <w:sz w:val="24"/>
          <w:highlight w:val="none"/>
          <w:lang w:val="en-US" w:eastAsia="zh-CN"/>
        </w:rPr>
        <w:t>3</w:t>
      </w:r>
      <w:r>
        <w:rPr>
          <w:rFonts w:hint="eastAsia" w:ascii="Arial Narrow Regular" w:hAnsi="Arial Narrow Regular" w:eastAsia="宋体" w:cs="Arial Narrow Regular"/>
          <w:color w:val="auto"/>
          <w:sz w:val="24"/>
          <w:highlight w:val="none"/>
        </w:rPr>
        <w:t>所得税费用</w:t>
      </w:r>
    </w:p>
    <w:tbl>
      <w:tblPr>
        <w:tblStyle w:val="12"/>
        <w:tblW w:w="9173" w:type="dxa"/>
        <w:tblInd w:w="22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46"/>
        <w:gridCol w:w="3386"/>
        <w:gridCol w:w="21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3" w:hRule="atLeast"/>
          <w:tblHeader/>
        </w:trPr>
        <w:tc>
          <w:tcPr>
            <w:tcW w:w="364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项目</w:t>
            </w:r>
          </w:p>
        </w:tc>
        <w:tc>
          <w:tcPr>
            <w:tcW w:w="338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上期发生额</w:t>
            </w:r>
          </w:p>
        </w:tc>
        <w:tc>
          <w:tcPr>
            <w:tcW w:w="2141"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本期发生额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6" w:type="dxa"/>
            <w:tcBorders>
              <w:tl2br w:val="nil"/>
              <w:tr2bl w:val="nil"/>
            </w:tcBorders>
            <w:noWrap w:val="0"/>
            <w:vAlign w:val="top"/>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当期所得税费用</w:t>
            </w:r>
          </w:p>
        </w:tc>
        <w:tc>
          <w:tcPr>
            <w:tcW w:w="3386"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31,729,273.15</w:t>
            </w:r>
          </w:p>
        </w:tc>
        <w:tc>
          <w:tcPr>
            <w:tcW w:w="2141"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5,884,301.16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6" w:type="dxa"/>
            <w:tcBorders>
              <w:tl2br w:val="nil"/>
              <w:tr2bl w:val="nil"/>
            </w:tcBorders>
            <w:noWrap w:val="0"/>
            <w:vAlign w:val="top"/>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递延所得税费用</w:t>
            </w:r>
          </w:p>
        </w:tc>
        <w:tc>
          <w:tcPr>
            <w:tcW w:w="3386"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0.00</w:t>
            </w:r>
          </w:p>
        </w:tc>
        <w:tc>
          <w:tcPr>
            <w:tcW w:w="2141" w:type="dxa"/>
            <w:tcBorders>
              <w:tl2br w:val="nil"/>
              <w:tr2bl w:val="nil"/>
            </w:tcBorders>
            <w:noWrap w:val="0"/>
            <w:vAlign w:val="top"/>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4,164,981.00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6"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年初审计调整</w:t>
            </w:r>
          </w:p>
        </w:tc>
        <w:tc>
          <w:tcPr>
            <w:tcW w:w="3386"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31,729,273.15</w:t>
            </w:r>
          </w:p>
        </w:tc>
        <w:tc>
          <w:tcPr>
            <w:tcW w:w="2141" w:type="dxa"/>
            <w:tcBorders>
              <w:tl2br w:val="nil"/>
              <w:tr2bl w:val="nil"/>
            </w:tcBorders>
            <w:noWrap w:val="0"/>
            <w:vAlign w:val="center"/>
          </w:tcPr>
          <w:p>
            <w:pPr>
              <w:widowControl/>
              <w:jc w:val="right"/>
              <w:textAlignment w:val="center"/>
              <w:rPr>
                <w:rFonts w:hint="eastAsia" w:ascii="宋体" w:hAnsi="宋体" w:cs="宋体"/>
                <w:color w:val="auto"/>
                <w:kern w:val="0"/>
                <w:sz w:val="20"/>
                <w:szCs w:val="20"/>
                <w:highlight w:val="none"/>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46"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合计</w:t>
            </w:r>
          </w:p>
        </w:tc>
        <w:tc>
          <w:tcPr>
            <w:tcW w:w="3386" w:type="dxa"/>
            <w:tcBorders>
              <w:tl2br w:val="nil"/>
              <w:tr2bl w:val="nil"/>
            </w:tcBorders>
            <w:noWrap w:val="0"/>
            <w:vAlign w:val="center"/>
          </w:tcPr>
          <w:p>
            <w:pPr>
              <w:widowControl/>
              <w:jc w:val="right"/>
              <w:textAlignment w:val="top"/>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0.00</w:t>
            </w:r>
          </w:p>
        </w:tc>
        <w:tc>
          <w:tcPr>
            <w:tcW w:w="2141" w:type="dxa"/>
            <w:tcBorders>
              <w:tl2br w:val="nil"/>
              <w:tr2bl w:val="nil"/>
            </w:tcBorders>
            <w:noWrap w:val="0"/>
            <w:vAlign w:val="top"/>
          </w:tcPr>
          <w:p>
            <w:pPr>
              <w:widowControl/>
              <w:jc w:val="right"/>
              <w:textAlignment w:val="top"/>
              <w:rPr>
                <w:rFonts w:hint="eastAsia" w:ascii="宋体" w:hAnsi="宋体" w:cs="宋体"/>
                <w:b/>
                <w:bCs/>
                <w:color w:val="auto"/>
                <w:kern w:val="0"/>
                <w:sz w:val="20"/>
                <w:szCs w:val="20"/>
                <w:highlight w:val="none"/>
                <w:lang w:bidi="ar"/>
              </w:rPr>
            </w:pPr>
            <w:r>
              <w:rPr>
                <w:rFonts w:ascii="宋体" w:hAnsi="宋体" w:cs="宋体"/>
                <w:b/>
                <w:bCs/>
                <w:color w:val="auto"/>
                <w:kern w:val="0"/>
                <w:sz w:val="20"/>
                <w:szCs w:val="20"/>
                <w:highlight w:val="none"/>
                <w:lang w:bidi="ar"/>
              </w:rPr>
              <w:t>10,049,282.16</w:t>
            </w:r>
          </w:p>
        </w:tc>
      </w:tr>
    </w:tbl>
    <w:p>
      <w:pPr>
        <w:spacing w:line="520" w:lineRule="exact"/>
        <w:ind w:firstLine="480" w:firstLineChars="200"/>
        <w:rPr>
          <w:rFonts w:hint="eastAsia" w:ascii="Arial Narrow" w:hAnsi="Arial Narrow"/>
          <w:color w:val="auto"/>
          <w:sz w:val="24"/>
          <w:highlight w:val="none"/>
        </w:rPr>
      </w:pPr>
      <w:r>
        <w:rPr>
          <w:rFonts w:ascii="Arial Narrow" w:hAnsi="Arial Narrow"/>
          <w:color w:val="auto"/>
          <w:sz w:val="24"/>
          <w:highlight w:val="none"/>
        </w:rPr>
        <w:t>注：</w:t>
      </w:r>
      <w:r>
        <w:rPr>
          <w:rFonts w:hint="eastAsia" w:ascii="Arial Narrow" w:hAnsi="Arial Narrow"/>
          <w:color w:val="auto"/>
          <w:sz w:val="24"/>
          <w:highlight w:val="none"/>
        </w:rPr>
        <w:t>因涉农贷款利息减免收入需以税务局后期认定为准，</w:t>
      </w:r>
      <w:r>
        <w:rPr>
          <w:rFonts w:ascii="Arial Narrow" w:hAnsi="Arial Narrow"/>
          <w:color w:val="auto"/>
          <w:sz w:val="24"/>
          <w:highlight w:val="none"/>
        </w:rPr>
        <w:t>本年度应交所得税</w:t>
      </w:r>
      <w:r>
        <w:rPr>
          <w:rFonts w:hint="eastAsia" w:ascii="Arial Narrow" w:hAnsi="Arial Narrow"/>
          <w:color w:val="auto"/>
          <w:sz w:val="24"/>
          <w:highlight w:val="none"/>
        </w:rPr>
        <w:t>在</w:t>
      </w:r>
      <w:r>
        <w:rPr>
          <w:rFonts w:ascii="Arial Narrow" w:hAnsi="Arial Narrow"/>
          <w:color w:val="auto"/>
          <w:sz w:val="24"/>
          <w:highlight w:val="none"/>
        </w:rPr>
        <w:t>进行汇算清缴</w:t>
      </w:r>
      <w:r>
        <w:rPr>
          <w:rFonts w:hint="eastAsia" w:ascii="Arial Narrow" w:hAnsi="Arial Narrow"/>
          <w:color w:val="auto"/>
          <w:sz w:val="24"/>
          <w:highlight w:val="none"/>
        </w:rPr>
        <w:t>后再行调整。</w:t>
      </w:r>
    </w:p>
    <w:p>
      <w:pPr>
        <w:numPr>
          <w:ilvl w:val="0"/>
          <w:numId w:val="9"/>
        </w:numPr>
        <w:spacing w:line="520" w:lineRule="exact"/>
        <w:ind w:firstLine="482" w:firstLineChars="200"/>
        <w:jc w:val="left"/>
        <w:outlineLvl w:val="0"/>
        <w:rPr>
          <w:rFonts w:hint="eastAsia" w:ascii="Arial Narrow" w:hAnsi="宋体"/>
          <w:b/>
          <w:color w:val="auto"/>
          <w:sz w:val="24"/>
          <w:highlight w:val="none"/>
        </w:rPr>
      </w:pPr>
      <w:r>
        <w:rPr>
          <w:rFonts w:ascii="Arial Narrow" w:hAnsi="宋体"/>
          <w:b/>
          <w:color w:val="auto"/>
          <w:sz w:val="24"/>
          <w:highlight w:val="none"/>
        </w:rPr>
        <w:t>表外科目余额列示如下：</w:t>
      </w:r>
    </w:p>
    <w:tbl>
      <w:tblPr>
        <w:tblStyle w:val="12"/>
        <w:tblW w:w="9225" w:type="dxa"/>
        <w:tblInd w:w="20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15" w:type="dxa"/>
          <w:left w:w="15" w:type="dxa"/>
          <w:bottom w:w="15" w:type="dxa"/>
          <w:right w:w="15" w:type="dxa"/>
        </w:tblCellMar>
      </w:tblPr>
      <w:tblGrid>
        <w:gridCol w:w="3690"/>
        <w:gridCol w:w="3390"/>
        <w:gridCol w:w="21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 xml:space="preserve"> 项目 </w:t>
            </w:r>
          </w:p>
        </w:tc>
        <w:tc>
          <w:tcPr>
            <w:tcW w:w="3390"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 xml:space="preserve"> 年初余额 </w:t>
            </w:r>
          </w:p>
        </w:tc>
        <w:tc>
          <w:tcPr>
            <w:tcW w:w="2145" w:type="dxa"/>
            <w:tcBorders>
              <w:tl2br w:val="nil"/>
              <w:tr2bl w:val="nil"/>
            </w:tcBorders>
            <w:noWrap w:val="0"/>
            <w:vAlign w:val="center"/>
          </w:tcPr>
          <w:p>
            <w:pPr>
              <w:widowControl/>
              <w:jc w:val="center"/>
              <w:textAlignment w:val="center"/>
              <w:rPr>
                <w:rFonts w:hint="eastAsia" w:ascii="宋体" w:hAnsi="宋体" w:cs="宋体"/>
                <w:b/>
                <w:color w:val="auto"/>
                <w:sz w:val="20"/>
                <w:szCs w:val="20"/>
                <w:highlight w:val="none"/>
              </w:rPr>
            </w:pPr>
            <w:r>
              <w:rPr>
                <w:rFonts w:hint="eastAsia" w:ascii="宋体" w:hAnsi="宋体" w:cs="宋体"/>
                <w:b/>
                <w:color w:val="auto"/>
                <w:kern w:val="0"/>
                <w:sz w:val="20"/>
                <w:szCs w:val="20"/>
                <w:highlight w:val="none"/>
              </w:rPr>
              <w:t xml:space="preserve"> 年末余额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承兑汇票</w:t>
            </w:r>
          </w:p>
        </w:tc>
        <w:tc>
          <w:tcPr>
            <w:tcW w:w="3390"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0.00</w:t>
            </w:r>
          </w:p>
        </w:tc>
        <w:tc>
          <w:tcPr>
            <w:tcW w:w="2145" w:type="dxa"/>
            <w:tcBorders>
              <w:tl2br w:val="nil"/>
              <w:tr2bl w:val="nil"/>
            </w:tcBorders>
            <w:noWrap w:val="0"/>
            <w:vAlign w:val="center"/>
          </w:tcPr>
          <w:p>
            <w:pPr>
              <w:widowControl/>
              <w:jc w:val="right"/>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卖断式转（再）贴现</w:t>
            </w:r>
          </w:p>
        </w:tc>
        <w:tc>
          <w:tcPr>
            <w:tcW w:w="3390"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bidi="ar"/>
              </w:rPr>
              <w:t>15,765,932.52</w:t>
            </w:r>
          </w:p>
        </w:tc>
        <w:tc>
          <w:tcPr>
            <w:tcW w:w="2145"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55,410,978.69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重要物品 </w:t>
            </w:r>
          </w:p>
        </w:tc>
        <w:tc>
          <w:tcPr>
            <w:tcW w:w="3390"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bidi="ar"/>
              </w:rPr>
              <w:t>7,196,7</w:t>
            </w:r>
            <w:r>
              <w:rPr>
                <w:rFonts w:hint="eastAsia" w:ascii="宋体" w:hAnsi="宋体" w:eastAsia="宋体" w:cs="宋体"/>
                <w:color w:val="auto"/>
                <w:kern w:val="0"/>
                <w:sz w:val="18"/>
                <w:szCs w:val="18"/>
                <w:highlight w:val="none"/>
                <w:lang w:bidi="ar"/>
              </w:rPr>
              <w:t>58</w:t>
            </w:r>
            <w:r>
              <w:rPr>
                <w:rFonts w:ascii="宋体" w:hAnsi="宋体" w:eastAsia="宋体" w:cs="宋体"/>
                <w:color w:val="auto"/>
                <w:kern w:val="0"/>
                <w:sz w:val="18"/>
                <w:szCs w:val="18"/>
                <w:highlight w:val="none"/>
                <w:lang w:bidi="ar"/>
              </w:rPr>
              <w:t>.00</w:t>
            </w:r>
          </w:p>
        </w:tc>
        <w:tc>
          <w:tcPr>
            <w:tcW w:w="2145"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7,196,840.00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重要空白凭证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27</w:t>
            </w:r>
            <w:r>
              <w:rPr>
                <w:rFonts w:hint="eastAsia" w:ascii="宋体" w:hAnsi="宋体" w:cs="宋体"/>
                <w:color w:val="auto"/>
                <w:kern w:val="0"/>
                <w:sz w:val="18"/>
                <w:szCs w:val="18"/>
                <w:highlight w:val="none"/>
                <w:lang w:bidi="ar"/>
              </w:rPr>
              <w:t>3</w:t>
            </w:r>
            <w:r>
              <w:rPr>
                <w:rFonts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bidi="ar"/>
              </w:rPr>
              <w:t>933</w:t>
            </w:r>
            <w:r>
              <w:rPr>
                <w:rFonts w:ascii="宋体" w:hAnsi="宋体" w:cs="宋体"/>
                <w:color w:val="auto"/>
                <w:kern w:val="0"/>
                <w:sz w:val="18"/>
                <w:szCs w:val="18"/>
                <w:highlight w:val="none"/>
                <w:lang w:bidi="ar"/>
              </w:rPr>
              <w:t>.00</w:t>
            </w:r>
          </w:p>
        </w:tc>
        <w:tc>
          <w:tcPr>
            <w:tcW w:w="2145" w:type="dxa"/>
            <w:tcBorders>
              <w:tl2br w:val="nil"/>
              <w:tr2bl w:val="nil"/>
            </w:tcBorders>
            <w:noWrap w:val="0"/>
            <w:vAlign w:val="center"/>
          </w:tcPr>
          <w:p>
            <w:pPr>
              <w:widowControl/>
              <w:jc w:val="right"/>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292,155.00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有价单证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59,178,902.92</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54,575,674.52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68"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抵押物品价值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95,967,789,181.42</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val="en-US" w:eastAsia="zh-CN" w:bidi="ar"/>
              </w:rPr>
              <w:t>97,443,280,637.80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质押物品价值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12,716,578,605.40</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val="en-US" w:eastAsia="zh-CN" w:bidi="ar"/>
              </w:rPr>
              <w:t>13,410,897,286.38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已转收益存款</w:t>
            </w:r>
          </w:p>
        </w:tc>
        <w:tc>
          <w:tcPr>
            <w:tcW w:w="3390" w:type="dxa"/>
            <w:tcBorders>
              <w:tl2br w:val="nil"/>
              <w:tr2bl w:val="nil"/>
            </w:tcBorders>
            <w:noWrap w:val="0"/>
            <w:vAlign w:val="center"/>
          </w:tcPr>
          <w:p>
            <w:pPr>
              <w:widowControl/>
              <w:jc w:val="right"/>
              <w:textAlignment w:val="center"/>
              <w:rPr>
                <w:rFonts w:ascii="宋体" w:hAnsi="宋体" w:cs="宋体"/>
                <w:color w:val="auto"/>
                <w:sz w:val="18"/>
                <w:szCs w:val="18"/>
                <w:highlight w:val="none"/>
              </w:rPr>
            </w:pPr>
            <w:r>
              <w:rPr>
                <w:rFonts w:ascii="宋体" w:hAnsi="宋体" w:cs="宋体"/>
                <w:color w:val="auto"/>
                <w:kern w:val="0"/>
                <w:sz w:val="18"/>
                <w:szCs w:val="18"/>
                <w:highlight w:val="none"/>
                <w:lang w:bidi="ar"/>
              </w:rPr>
              <w:t>205,947.14</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val="en-US" w:eastAsia="zh-CN" w:bidi="ar"/>
              </w:rPr>
              <w:t>205,455.96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表外应收费用 </w:t>
            </w:r>
          </w:p>
        </w:tc>
        <w:tc>
          <w:tcPr>
            <w:tcW w:w="3390" w:type="dxa"/>
            <w:tcBorders>
              <w:tl2br w:val="nil"/>
              <w:tr2bl w:val="nil"/>
            </w:tcBorders>
            <w:noWrap w:val="0"/>
            <w:vAlign w:val="center"/>
          </w:tcPr>
          <w:p>
            <w:pPr>
              <w:widowControl/>
              <w:jc w:val="right"/>
              <w:textAlignment w:val="center"/>
              <w:rPr>
                <w:rFonts w:ascii="宋体" w:hAnsi="宋体" w:cs="宋体"/>
                <w:color w:val="auto"/>
                <w:kern w:val="0"/>
                <w:sz w:val="18"/>
                <w:szCs w:val="18"/>
                <w:highlight w:val="none"/>
                <w:lang w:bidi="ar"/>
              </w:rPr>
            </w:pPr>
            <w:r>
              <w:rPr>
                <w:rFonts w:ascii="宋体" w:hAnsi="宋体" w:cs="宋体"/>
                <w:color w:val="auto"/>
                <w:kern w:val="0"/>
                <w:sz w:val="18"/>
                <w:szCs w:val="18"/>
                <w:highlight w:val="none"/>
                <w:lang w:bidi="ar"/>
              </w:rPr>
              <w:t>47,597.78</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val="en-US" w:eastAsia="zh-CN" w:bidi="ar"/>
              </w:rPr>
              <w:t>68,310.82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表外应收利息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387,009,340.19</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418,484,916.94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已核销资产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1,091,036,055.02</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1,369,767,560.88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已置换资产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144,083,391.83</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147,828,546.99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rPr>
              <w:t xml:space="preserve">低值易耗品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ascii="宋体" w:hAnsi="宋体" w:cs="宋体"/>
                <w:color w:val="auto"/>
                <w:kern w:val="0"/>
                <w:sz w:val="18"/>
                <w:szCs w:val="18"/>
                <w:highlight w:val="none"/>
                <w:lang w:bidi="ar"/>
              </w:rPr>
              <w:t>16,243,831.72</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15,510,728.25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285" w:hRule="atLeast"/>
        </w:trPr>
        <w:tc>
          <w:tcPr>
            <w:tcW w:w="3690" w:type="dxa"/>
            <w:tcBorders>
              <w:tl2br w:val="nil"/>
              <w:tr2bl w:val="nil"/>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b/>
                <w:color w:val="auto"/>
                <w:kern w:val="0"/>
                <w:sz w:val="20"/>
                <w:szCs w:val="20"/>
                <w:highlight w:val="none"/>
              </w:rPr>
              <w:t xml:space="preserve"> 合计 </w:t>
            </w:r>
          </w:p>
        </w:tc>
        <w:tc>
          <w:tcPr>
            <w:tcW w:w="3390" w:type="dxa"/>
            <w:tcBorders>
              <w:tl2br w:val="nil"/>
              <w:tr2bl w:val="nil"/>
            </w:tcBorders>
            <w:noWrap w:val="0"/>
            <w:vAlign w:val="center"/>
          </w:tcPr>
          <w:p>
            <w:pPr>
              <w:widowControl/>
              <w:jc w:val="right"/>
              <w:textAlignment w:val="center"/>
              <w:rPr>
                <w:rFonts w:hint="eastAsia" w:ascii="宋体" w:hAnsi="宋体" w:cs="宋体"/>
                <w:color w:val="auto"/>
                <w:sz w:val="18"/>
                <w:szCs w:val="18"/>
                <w:highlight w:val="none"/>
              </w:rPr>
            </w:pPr>
            <w:r>
              <w:rPr>
                <w:rFonts w:hint="eastAsia" w:ascii="宋体" w:hAnsi="宋体" w:cs="宋体"/>
                <w:b/>
                <w:color w:val="auto"/>
                <w:kern w:val="0"/>
                <w:sz w:val="20"/>
                <w:szCs w:val="20"/>
                <w:highlight w:val="none"/>
              </w:rPr>
              <w:t>110,405,409,476.94</w:t>
            </w:r>
          </w:p>
        </w:tc>
        <w:tc>
          <w:tcPr>
            <w:tcW w:w="2145" w:type="dxa"/>
            <w:tcBorders>
              <w:tl2br w:val="nil"/>
              <w:tr2bl w:val="nil"/>
            </w:tcBorders>
            <w:noWrap w:val="0"/>
            <w:vAlign w:val="center"/>
          </w:tcPr>
          <w:p>
            <w:pPr>
              <w:widowControl/>
              <w:jc w:val="righ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b/>
                <w:bCs/>
                <w:color w:val="auto"/>
                <w:kern w:val="0"/>
                <w:sz w:val="18"/>
                <w:szCs w:val="18"/>
                <w:highlight w:val="none"/>
                <w:lang w:bidi="ar"/>
              </w:rPr>
              <w:t>112,923,519,092.23</w:t>
            </w:r>
          </w:p>
        </w:tc>
      </w:tr>
    </w:tbl>
    <w:p>
      <w:pPr>
        <w:spacing w:line="520" w:lineRule="exact"/>
        <w:ind w:firstLine="482" w:firstLineChars="200"/>
        <w:jc w:val="left"/>
        <w:outlineLvl w:val="0"/>
        <w:rPr>
          <w:rFonts w:ascii="Arial Narrow" w:hAnsi="宋体"/>
          <w:b/>
          <w:color w:val="auto"/>
          <w:sz w:val="24"/>
          <w:highlight w:val="none"/>
        </w:rPr>
      </w:pPr>
      <w:r>
        <w:rPr>
          <w:rFonts w:hint="eastAsia" w:ascii="Arial Narrow" w:hAnsi="宋体"/>
          <w:b/>
          <w:color w:val="auto"/>
          <w:sz w:val="24"/>
          <w:highlight w:val="none"/>
        </w:rPr>
        <w:t>九、资本充足状况</w:t>
      </w:r>
    </w:p>
    <w:tbl>
      <w:tblPr>
        <w:tblStyle w:val="12"/>
        <w:tblW w:w="9250" w:type="dxa"/>
        <w:tblInd w:w="27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687"/>
        <w:gridCol w:w="3393"/>
        <w:gridCol w:w="21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3687" w:type="dxa"/>
            <w:tcBorders>
              <w:tl2br w:val="nil"/>
              <w:tr2bl w:val="nil"/>
            </w:tcBorders>
            <w:noWrap w:val="0"/>
            <w:vAlign w:val="center"/>
          </w:tcPr>
          <w:p>
            <w:pPr>
              <w:widowControl/>
              <w:jc w:val="center"/>
              <w:rPr>
                <w:rFonts w:hint="eastAsia" w:ascii="宋体" w:hAnsi="宋体" w:cs="宋体"/>
                <w:b/>
                <w:color w:val="auto"/>
                <w:kern w:val="0"/>
                <w:sz w:val="20"/>
                <w:szCs w:val="20"/>
                <w:highlight w:val="none"/>
              </w:rPr>
            </w:pPr>
            <w:r>
              <w:rPr>
                <w:rFonts w:hint="eastAsia" w:ascii="宋体" w:hAnsi="宋体" w:cs="宋体"/>
                <w:b/>
                <w:color w:val="auto"/>
                <w:kern w:val="0"/>
                <w:sz w:val="20"/>
                <w:szCs w:val="20"/>
                <w:highlight w:val="none"/>
              </w:rPr>
              <w:t>项    目</w:t>
            </w:r>
          </w:p>
        </w:tc>
        <w:tc>
          <w:tcPr>
            <w:tcW w:w="3393" w:type="dxa"/>
            <w:tcBorders>
              <w:tl2br w:val="nil"/>
              <w:tr2bl w:val="nil"/>
            </w:tcBorders>
            <w:noWrap w:val="0"/>
            <w:vAlign w:val="center"/>
          </w:tcPr>
          <w:p>
            <w:pPr>
              <w:widowControl/>
              <w:jc w:val="center"/>
              <w:rPr>
                <w:rFonts w:hint="default" w:ascii="宋体" w:hAnsi="宋体" w:eastAsia="宋体" w:cs="宋体"/>
                <w:b/>
                <w:color w:val="auto"/>
                <w:kern w:val="0"/>
                <w:sz w:val="20"/>
                <w:szCs w:val="20"/>
                <w:highlight w:val="none"/>
                <w:lang w:val="en-US" w:eastAsia="zh-CN"/>
              </w:rPr>
            </w:pPr>
            <w:r>
              <w:rPr>
                <w:rFonts w:hint="eastAsia" w:ascii="宋体" w:hAnsi="宋体" w:cs="宋体"/>
                <w:b/>
                <w:color w:val="auto"/>
                <w:kern w:val="0"/>
                <w:sz w:val="20"/>
                <w:szCs w:val="20"/>
                <w:highlight w:val="none"/>
              </w:rPr>
              <w:t>2023年12月31日</w:t>
            </w:r>
          </w:p>
        </w:tc>
        <w:tc>
          <w:tcPr>
            <w:tcW w:w="2170" w:type="dxa"/>
            <w:tcBorders>
              <w:tl2br w:val="nil"/>
              <w:tr2bl w:val="nil"/>
            </w:tcBorders>
            <w:noWrap w:val="0"/>
            <w:vAlign w:val="center"/>
          </w:tcPr>
          <w:p>
            <w:pPr>
              <w:widowControl/>
              <w:jc w:val="center"/>
              <w:rPr>
                <w:rFonts w:hint="default" w:ascii="宋体" w:hAnsi="宋体" w:eastAsia="宋体" w:cs="宋体"/>
                <w:b/>
                <w:color w:val="auto"/>
                <w:kern w:val="0"/>
                <w:sz w:val="20"/>
                <w:szCs w:val="20"/>
                <w:highlight w:val="none"/>
                <w:lang w:val="en-US" w:eastAsia="zh-CN"/>
              </w:rPr>
            </w:pPr>
            <w:r>
              <w:rPr>
                <w:rFonts w:hint="eastAsia" w:ascii="宋体" w:hAnsi="宋体" w:cs="宋体"/>
                <w:b/>
                <w:color w:val="auto"/>
                <w:kern w:val="0"/>
                <w:sz w:val="20"/>
                <w:szCs w:val="20"/>
                <w:highlight w:val="none"/>
              </w:rPr>
              <w:t>2024年12月31日</w:t>
            </w:r>
            <w:r>
              <w:rPr>
                <w:rFonts w:hint="eastAsia" w:ascii="宋体" w:hAnsi="宋体" w:cs="宋体"/>
                <w:b/>
                <w:color w:val="auto"/>
                <w:kern w:val="0"/>
                <w:sz w:val="20"/>
                <w:szCs w:val="20"/>
                <w:highlight w:val="none"/>
                <w:lang w:eastAsia="zh-CN"/>
              </w:rPr>
              <w:t>（</w:t>
            </w:r>
            <w:r>
              <w:rPr>
                <w:rFonts w:hint="eastAsia" w:ascii="宋体" w:hAnsi="宋体" w:cs="宋体"/>
                <w:b/>
                <w:color w:val="auto"/>
                <w:kern w:val="0"/>
                <w:sz w:val="20"/>
                <w:szCs w:val="20"/>
                <w:highlight w:val="none"/>
                <w:lang w:val="en-US" w:eastAsia="zh-CN"/>
              </w:rPr>
              <w:t>新规）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核心</w:t>
            </w:r>
            <w:r>
              <w:rPr>
                <w:rFonts w:hint="eastAsia" w:ascii="宋体" w:hAnsi="宋体" w:cs="宋体"/>
                <w:color w:val="auto"/>
                <w:kern w:val="0"/>
                <w:sz w:val="20"/>
                <w:szCs w:val="20"/>
                <w:highlight w:val="none"/>
                <w:lang w:val="en-US" w:eastAsia="zh-CN"/>
              </w:rPr>
              <w:t>一级</w:t>
            </w:r>
            <w:r>
              <w:rPr>
                <w:rFonts w:hint="eastAsia" w:ascii="宋体" w:hAnsi="宋体" w:cs="宋体"/>
                <w:color w:val="auto"/>
                <w:kern w:val="0"/>
                <w:sz w:val="20"/>
                <w:szCs w:val="20"/>
                <w:highlight w:val="none"/>
              </w:rPr>
              <w:t>资本净额</w:t>
            </w:r>
            <w:r>
              <w:rPr>
                <w:rFonts w:hint="eastAsia" w:ascii="宋体" w:hAnsi="宋体" w:cs="宋体"/>
                <w:b/>
                <w:color w:val="auto"/>
                <w:kern w:val="0"/>
                <w:sz w:val="20"/>
                <w:szCs w:val="20"/>
                <w:highlight w:val="none"/>
                <w:lang w:eastAsia="zh-CN"/>
              </w:rPr>
              <w:t>（</w:t>
            </w:r>
            <w:r>
              <w:rPr>
                <w:rFonts w:hint="eastAsia" w:ascii="宋体" w:hAnsi="宋体" w:cs="宋体"/>
                <w:b/>
                <w:color w:val="auto"/>
                <w:kern w:val="0"/>
                <w:sz w:val="20"/>
                <w:szCs w:val="20"/>
                <w:highlight w:val="none"/>
                <w:lang w:val="en-US" w:eastAsia="zh-CN"/>
              </w:rPr>
              <w:t>万元）</w:t>
            </w:r>
          </w:p>
        </w:tc>
        <w:tc>
          <w:tcPr>
            <w:tcW w:w="3393"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135,115.79</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91,414.51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资本净额</w:t>
            </w:r>
            <w:r>
              <w:rPr>
                <w:rFonts w:hint="eastAsia" w:ascii="宋体" w:hAnsi="宋体" w:cs="宋体"/>
                <w:b/>
                <w:color w:val="auto"/>
                <w:kern w:val="0"/>
                <w:sz w:val="20"/>
                <w:szCs w:val="20"/>
                <w:highlight w:val="none"/>
                <w:lang w:eastAsia="zh-CN"/>
              </w:rPr>
              <w:t>（</w:t>
            </w:r>
            <w:r>
              <w:rPr>
                <w:rFonts w:hint="eastAsia" w:ascii="宋体" w:hAnsi="宋体" w:cs="宋体"/>
                <w:b/>
                <w:color w:val="auto"/>
                <w:kern w:val="0"/>
                <w:sz w:val="20"/>
                <w:szCs w:val="20"/>
                <w:highlight w:val="none"/>
                <w:lang w:val="en-US" w:eastAsia="zh-CN"/>
              </w:rPr>
              <w:t>万元）</w:t>
            </w:r>
          </w:p>
        </w:tc>
        <w:tc>
          <w:tcPr>
            <w:tcW w:w="3393" w:type="dxa"/>
            <w:tcBorders>
              <w:tl2br w:val="nil"/>
              <w:tr2bl w:val="nil"/>
            </w:tcBorders>
            <w:noWrap w:val="0"/>
            <w:vAlign w:val="top"/>
          </w:tcPr>
          <w:p>
            <w:pPr>
              <w:widowControl/>
              <w:jc w:val="righ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150,163.35</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113,875.49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应用资本底线及校准后的风险加权资产合计</w:t>
            </w:r>
            <w:r>
              <w:rPr>
                <w:rFonts w:hint="eastAsia" w:ascii="宋体" w:hAnsi="宋体" w:cs="宋体"/>
                <w:b/>
                <w:color w:val="auto"/>
                <w:kern w:val="0"/>
                <w:sz w:val="20"/>
                <w:szCs w:val="20"/>
                <w:highlight w:val="none"/>
                <w:lang w:eastAsia="zh-CN"/>
              </w:rPr>
              <w:t>（</w:t>
            </w:r>
            <w:r>
              <w:rPr>
                <w:rFonts w:hint="eastAsia" w:ascii="宋体" w:hAnsi="宋体" w:cs="宋体"/>
                <w:b/>
                <w:color w:val="auto"/>
                <w:kern w:val="0"/>
                <w:sz w:val="20"/>
                <w:szCs w:val="20"/>
                <w:highlight w:val="none"/>
                <w:lang w:val="en-US" w:eastAsia="zh-CN"/>
              </w:rPr>
              <w:t>万元）</w:t>
            </w:r>
          </w:p>
        </w:tc>
        <w:tc>
          <w:tcPr>
            <w:tcW w:w="3393"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1,320,115.03</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 xml:space="preserve"> 1,021,223.58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核心</w:t>
            </w:r>
            <w:r>
              <w:rPr>
                <w:rFonts w:hint="eastAsia" w:ascii="宋体" w:hAnsi="宋体" w:cs="宋体"/>
                <w:color w:val="auto"/>
                <w:kern w:val="0"/>
                <w:sz w:val="20"/>
                <w:szCs w:val="20"/>
                <w:highlight w:val="none"/>
                <w:lang w:val="en-US" w:eastAsia="zh-CN"/>
              </w:rPr>
              <w:t>一级</w:t>
            </w:r>
            <w:r>
              <w:rPr>
                <w:rFonts w:hint="eastAsia" w:ascii="宋体" w:hAnsi="宋体" w:cs="宋体"/>
                <w:color w:val="auto"/>
                <w:kern w:val="0"/>
                <w:sz w:val="20"/>
                <w:szCs w:val="20"/>
                <w:highlight w:val="none"/>
              </w:rPr>
              <w:t>资本充足率</w:t>
            </w:r>
          </w:p>
        </w:tc>
        <w:tc>
          <w:tcPr>
            <w:tcW w:w="3393"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10.24%</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8.95%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687" w:type="dxa"/>
            <w:tcBorders>
              <w:tl2br w:val="nil"/>
              <w:tr2bl w:val="nil"/>
            </w:tcBorders>
            <w:noWrap w:val="0"/>
            <w:vAlign w:val="center"/>
          </w:tcPr>
          <w:p>
            <w:pPr>
              <w:widowControl/>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资本充足率</w:t>
            </w:r>
          </w:p>
        </w:tc>
        <w:tc>
          <w:tcPr>
            <w:tcW w:w="3393"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11.38%</w:t>
            </w:r>
          </w:p>
        </w:tc>
        <w:tc>
          <w:tcPr>
            <w:tcW w:w="2170" w:type="dxa"/>
            <w:tcBorders>
              <w:tl2br w:val="nil"/>
              <w:tr2bl w:val="nil"/>
            </w:tcBorders>
            <w:noWrap w:val="0"/>
            <w:vAlign w:val="top"/>
          </w:tcPr>
          <w:p>
            <w:pPr>
              <w:widowControl/>
              <w:jc w:val="right"/>
              <w:textAlignment w:val="top"/>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11.15%</w:t>
            </w:r>
          </w:p>
        </w:tc>
      </w:tr>
    </w:tbl>
    <w:p>
      <w:pPr>
        <w:spacing w:line="520" w:lineRule="exact"/>
        <w:ind w:firstLine="482" w:firstLineChars="200"/>
        <w:jc w:val="left"/>
        <w:outlineLvl w:val="0"/>
        <w:rPr>
          <w:rFonts w:hint="eastAsia" w:ascii="Arial Narrow" w:hAnsi="Arial Narrow"/>
          <w:color w:val="auto"/>
          <w:sz w:val="24"/>
          <w:highlight w:val="none"/>
        </w:rPr>
      </w:pPr>
      <w:r>
        <w:rPr>
          <w:rFonts w:hint="eastAsia" w:ascii="Arial Narrow" w:hAnsi="宋体"/>
          <w:b/>
          <w:color w:val="auto"/>
          <w:sz w:val="24"/>
          <w:highlight w:val="none"/>
        </w:rPr>
        <w:t>十、</w:t>
      </w:r>
      <w:r>
        <w:rPr>
          <w:rFonts w:ascii="Arial Narrow" w:hAnsi="宋体"/>
          <w:b/>
          <w:color w:val="auto"/>
          <w:sz w:val="24"/>
          <w:highlight w:val="none"/>
        </w:rPr>
        <w:t>关联交易：</w:t>
      </w:r>
      <w:r>
        <w:rPr>
          <w:rFonts w:hint="eastAsia" w:ascii="宋体" w:hAnsi="宋体"/>
          <w:b/>
          <w:color w:val="auto"/>
          <w:sz w:val="24"/>
          <w:highlight w:val="none"/>
        </w:rPr>
        <w:t xml:space="preserve"> </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加强关联方名单管理，根据最新监管规定，及时、全面、完整识别关联方，强化对日常关联交易额度的监测、管理，严格执行关联交易事项备案及审批流程，抓好关联交易的报告、披露工作，进一步提升关联交易管理水平</w:t>
      </w:r>
      <w:r>
        <w:rPr>
          <w:rFonts w:hint="eastAsia" w:ascii="Arial Narrow" w:hAnsi="Arial Narrow"/>
          <w:color w:val="auto"/>
          <w:sz w:val="24"/>
          <w:highlight w:val="none"/>
          <w:lang w:eastAsia="zh-CN"/>
        </w:rPr>
        <w:t>，</w:t>
      </w:r>
      <w:r>
        <w:rPr>
          <w:rFonts w:hint="eastAsia" w:ascii="Arial Narrow" w:hAnsi="Arial Narrow"/>
          <w:color w:val="auto"/>
          <w:sz w:val="24"/>
          <w:highlight w:val="none"/>
        </w:rPr>
        <w:t>董事会及关联交易控制委员会认真贯彻落实监管规定及内部管理制度要求，有效统筹开展关联交易管理工作，持续规范完善内部管理流程</w:t>
      </w:r>
      <w:r>
        <w:rPr>
          <w:rFonts w:hint="eastAsia" w:ascii="Arial Narrow" w:hAnsi="Arial Narrow"/>
          <w:color w:val="auto"/>
          <w:sz w:val="24"/>
          <w:highlight w:val="none"/>
          <w:lang w:eastAsia="zh-CN"/>
        </w:rPr>
        <w:t>，</w:t>
      </w:r>
      <w:r>
        <w:rPr>
          <w:rFonts w:hint="eastAsia" w:ascii="Arial Narrow" w:hAnsi="Arial Narrow"/>
          <w:color w:val="auto"/>
          <w:sz w:val="24"/>
          <w:highlight w:val="none"/>
          <w:lang w:val="en-US" w:eastAsia="zh-CN"/>
        </w:rPr>
        <w:t>截至2024年末，本行关联交易类型为</w:t>
      </w:r>
      <w:r>
        <w:rPr>
          <w:rFonts w:hint="eastAsia" w:ascii="Arial Narrow" w:hAnsi="Arial Narrow"/>
          <w:color w:val="auto"/>
          <w:sz w:val="24"/>
          <w:highlight w:val="none"/>
        </w:rPr>
        <w:t>授信类关联交易。</w:t>
      </w:r>
    </w:p>
    <w:p>
      <w:pPr>
        <w:numPr>
          <w:ilvl w:val="0"/>
          <w:numId w:val="0"/>
        </w:num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截至 202</w:t>
      </w:r>
      <w:r>
        <w:rPr>
          <w:rFonts w:hint="eastAsia" w:ascii="Arial Narrow" w:hAnsi="Arial Narrow"/>
          <w:color w:val="auto"/>
          <w:sz w:val="24"/>
          <w:highlight w:val="none"/>
          <w:lang w:val="en-US" w:eastAsia="zh-CN"/>
        </w:rPr>
        <w:t>4</w:t>
      </w:r>
      <w:r>
        <w:rPr>
          <w:rFonts w:hint="eastAsia" w:ascii="Arial Narrow" w:hAnsi="Arial Narrow"/>
          <w:color w:val="auto"/>
          <w:sz w:val="24"/>
          <w:highlight w:val="none"/>
        </w:rPr>
        <w:t> 年末，</w:t>
      </w:r>
      <w:r>
        <w:rPr>
          <w:rFonts w:hint="eastAsia" w:ascii="Arial Narrow" w:hAnsi="Arial Narrow"/>
          <w:color w:val="auto"/>
          <w:sz w:val="24"/>
          <w:highlight w:val="none"/>
          <w:lang w:val="en-US" w:eastAsia="zh-CN"/>
        </w:rPr>
        <w:t>本行</w:t>
      </w:r>
      <w:r>
        <w:rPr>
          <w:rFonts w:hint="eastAsia" w:ascii="Arial Narrow" w:hAnsi="Arial Narrow"/>
          <w:color w:val="auto"/>
          <w:sz w:val="24"/>
          <w:highlight w:val="none"/>
        </w:rPr>
        <w:t>全部关联方的关联交易</w:t>
      </w:r>
      <w:r>
        <w:rPr>
          <w:rFonts w:hint="eastAsia" w:ascii="Arial Narrow" w:hAnsi="Arial Narrow"/>
          <w:color w:val="auto"/>
          <w:sz w:val="24"/>
          <w:highlight w:val="none"/>
          <w:lang w:val="en-US" w:eastAsia="zh-CN"/>
        </w:rPr>
        <w:t>授信总额为16,535.24万元，</w:t>
      </w:r>
      <w:r>
        <w:rPr>
          <w:rFonts w:hint="eastAsia" w:ascii="Arial Narrow" w:hAnsi="Arial Narrow"/>
          <w:color w:val="auto"/>
          <w:sz w:val="24"/>
          <w:highlight w:val="none"/>
        </w:rPr>
        <w:t>授信余额为  16</w:t>
      </w:r>
      <w:r>
        <w:rPr>
          <w:rFonts w:hint="eastAsia" w:ascii="Arial Narrow" w:hAnsi="Arial Narrow"/>
          <w:color w:val="auto"/>
          <w:sz w:val="24"/>
          <w:highlight w:val="none"/>
          <w:lang w:val="en-US" w:eastAsia="zh-CN"/>
        </w:rPr>
        <w:t>,</w:t>
      </w:r>
      <w:r>
        <w:rPr>
          <w:rFonts w:hint="eastAsia" w:ascii="Arial Narrow" w:hAnsi="Arial Narrow"/>
          <w:color w:val="auto"/>
          <w:sz w:val="24"/>
          <w:highlight w:val="none"/>
        </w:rPr>
        <w:t>059.4</w:t>
      </w:r>
      <w:r>
        <w:rPr>
          <w:rFonts w:hint="eastAsia" w:ascii="Arial Narrow" w:hAnsi="Arial Narrow"/>
          <w:color w:val="auto"/>
          <w:sz w:val="24"/>
          <w:highlight w:val="none"/>
          <w:lang w:val="en-US" w:eastAsia="zh-CN"/>
        </w:rPr>
        <w:t>1</w:t>
      </w:r>
      <w:r>
        <w:rPr>
          <w:rFonts w:hint="eastAsia" w:ascii="Arial Narrow" w:hAnsi="Arial Narrow"/>
          <w:color w:val="auto"/>
          <w:sz w:val="24"/>
          <w:highlight w:val="none"/>
        </w:rPr>
        <w:t>万元，本行</w:t>
      </w:r>
      <w:r>
        <w:rPr>
          <w:rFonts w:hint="eastAsia" w:ascii="Arial Narrow" w:hAnsi="Arial Narrow"/>
          <w:color w:val="auto"/>
          <w:sz w:val="24"/>
          <w:highlight w:val="none"/>
          <w:lang w:val="en-US" w:eastAsia="zh-CN"/>
        </w:rPr>
        <w:t>2024年第三季度末资本净额为157,314.4万元，</w:t>
      </w:r>
      <w:r>
        <w:rPr>
          <w:rFonts w:hint="eastAsia" w:ascii="Arial Narrow" w:hAnsi="Arial Narrow"/>
          <w:color w:val="auto"/>
          <w:sz w:val="24"/>
          <w:highlight w:val="none"/>
        </w:rPr>
        <w:t>授信余额</w:t>
      </w:r>
      <w:r>
        <w:rPr>
          <w:rFonts w:hint="eastAsia" w:ascii="Arial Narrow" w:hAnsi="Arial Narrow"/>
          <w:color w:val="auto"/>
          <w:sz w:val="24"/>
          <w:highlight w:val="none"/>
          <w:lang w:val="en-US" w:eastAsia="zh-CN"/>
        </w:rPr>
        <w:t>占</w:t>
      </w:r>
      <w:r>
        <w:rPr>
          <w:rFonts w:hint="eastAsia" w:ascii="Arial Narrow" w:hAnsi="Arial Narrow"/>
          <w:color w:val="auto"/>
          <w:sz w:val="24"/>
          <w:highlight w:val="none"/>
        </w:rPr>
        <w:t>上季度末资本净额的10.21%，其中关联法人授信余额为 15</w:t>
      </w:r>
      <w:r>
        <w:rPr>
          <w:rFonts w:hint="eastAsia" w:ascii="Arial Narrow" w:hAnsi="Arial Narrow"/>
          <w:color w:val="auto"/>
          <w:sz w:val="24"/>
          <w:highlight w:val="none"/>
          <w:lang w:val="en-US" w:eastAsia="zh-CN"/>
        </w:rPr>
        <w:t>,</w:t>
      </w:r>
      <w:r>
        <w:rPr>
          <w:rFonts w:hint="eastAsia" w:ascii="Arial Narrow" w:hAnsi="Arial Narrow"/>
          <w:color w:val="auto"/>
          <w:sz w:val="24"/>
          <w:highlight w:val="none"/>
        </w:rPr>
        <w:t>088.59万元，关联自然人授信余额为 </w:t>
      </w:r>
      <w:r>
        <w:rPr>
          <w:rFonts w:hint="eastAsia" w:ascii="Arial Narrow" w:hAnsi="Arial Narrow"/>
          <w:color w:val="auto"/>
          <w:sz w:val="24"/>
          <w:highlight w:val="none"/>
          <w:lang w:val="en-US" w:eastAsia="zh-CN"/>
        </w:rPr>
        <w:t>970.82</w:t>
      </w:r>
      <w:r>
        <w:rPr>
          <w:rFonts w:hint="eastAsia" w:ascii="Arial Narrow" w:hAnsi="Arial Narrow"/>
          <w:color w:val="auto"/>
          <w:sz w:val="24"/>
          <w:highlight w:val="none"/>
        </w:rPr>
        <w:t> 万元。具体情况如下： </w:t>
      </w:r>
    </w:p>
    <w:tbl>
      <w:tblPr>
        <w:tblStyle w:val="12"/>
        <w:tblW w:w="5082" w:type="pct"/>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6"/>
        <w:gridCol w:w="3300"/>
        <w:gridCol w:w="1245"/>
        <w:gridCol w:w="1260"/>
        <w:gridCol w:w="1275"/>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blHeader/>
        </w:trPr>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序号</w:t>
            </w:r>
          </w:p>
        </w:tc>
        <w:tc>
          <w:tcPr>
            <w:tcW w:w="19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关联方名称</w:t>
            </w:r>
          </w:p>
        </w:tc>
        <w:tc>
          <w:tcPr>
            <w:tcW w:w="7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业务类型</w:t>
            </w:r>
          </w:p>
        </w:tc>
        <w:tc>
          <w:tcPr>
            <w:tcW w:w="7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授信总额（万元）</w:t>
            </w:r>
          </w:p>
        </w:tc>
        <w:tc>
          <w:tcPr>
            <w:tcW w:w="7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授信余额（万元）</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占上季度资本净额比例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贵州省安顺交通运输集团有限公司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5,550.00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5,549.60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安顺市国有资本运营有限责任公司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3,628.00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3,628.00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贵州省安顺市远大房地产开发有限公司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2,700.00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2,700.00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贵州顺健制药有限公司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2,280.00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2,280.00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贵州省安顺市智达公共安全技术有限责任公司</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930.99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930.99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陈健</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张静</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127.7</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127.70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罗泽</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63</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56.78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郭润民</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60.9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56.15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毛雷雪</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47.1</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41.29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梁小江</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12.18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杨虎</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43</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35.89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张盛</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6.66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李杰</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38</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27.34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程红</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37</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28.52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刘影</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37</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4.94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娄勇</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36</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33.06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熊梅</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34</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13.16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陈小昌</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31</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25.52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邓婕</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李虎超</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11.50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李萍</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吴生才</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吴应达</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27.00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袁雯娜</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24.09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0.0153%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张金汉</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9.75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赵欢</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30.00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邹雪静</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25.81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范雪</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29.00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杨宁武</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27.3</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21.11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张渝</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王立平</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6.17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齐庆芳</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陶金</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杨红</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14.83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周寿喜</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11.11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吴桐</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7.15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黄彦</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16.00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姜君</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11.63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王龙超</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12.00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王利娟</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10.00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胡一平</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4.00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齐陆林</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9.00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周航</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8.00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陈发波</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7.00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尚发刚</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5.90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班佳丽</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马玲</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5.00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肖沛</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4.90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帅瑞琥</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3.25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张厚荣</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0.80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齐瑶</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2.50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郭海燕</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2.00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w:t>
            </w: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李冰</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贷款</w:t>
            </w: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0.6988</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0.12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90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0"/>
                <w:szCs w:val="20"/>
                <w:highlight w:val="none"/>
                <w:u w:val="none"/>
                <w:lang w:val="en-US" w:eastAsia="zh-CN" w:bidi="ar"/>
              </w:rPr>
            </w:pPr>
            <w:r>
              <w:rPr>
                <w:rFonts w:hint="eastAsia" w:ascii="仿宋" w:hAnsi="仿宋" w:eastAsia="仿宋" w:cs="仿宋"/>
                <w:b/>
                <w:bCs/>
                <w:i w:val="0"/>
                <w:iCs w:val="0"/>
                <w:color w:val="auto"/>
                <w:kern w:val="0"/>
                <w:sz w:val="20"/>
                <w:szCs w:val="20"/>
                <w:highlight w:val="none"/>
                <w:u w:val="none"/>
                <w:lang w:val="en-US" w:eastAsia="zh-CN" w:bidi="ar"/>
              </w:rPr>
              <w:t>合计</w:t>
            </w:r>
          </w:p>
        </w:tc>
        <w:tc>
          <w:tcPr>
            <w:tcW w:w="7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0"/>
                <w:szCs w:val="20"/>
                <w:highlight w:val="none"/>
                <w:u w:val="none"/>
                <w:lang w:val="en-US" w:eastAsia="zh-CN" w:bidi="ar"/>
              </w:rPr>
            </w:pPr>
          </w:p>
        </w:tc>
        <w:tc>
          <w:tcPr>
            <w:tcW w:w="7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b/>
                <w:bCs/>
                <w:i w:val="0"/>
                <w:iCs w:val="0"/>
                <w:color w:val="auto"/>
                <w:kern w:val="0"/>
                <w:sz w:val="20"/>
                <w:szCs w:val="20"/>
                <w:highlight w:val="none"/>
                <w:u w:val="none"/>
                <w:lang w:val="en-US" w:eastAsia="zh-CN" w:bidi="ar"/>
              </w:rPr>
            </w:pPr>
            <w:r>
              <w:rPr>
                <w:rFonts w:hint="eastAsia" w:ascii="仿宋" w:hAnsi="仿宋" w:eastAsia="仿宋" w:cs="仿宋"/>
                <w:b/>
                <w:bCs/>
                <w:i w:val="0"/>
                <w:iCs w:val="0"/>
                <w:color w:val="auto"/>
                <w:kern w:val="0"/>
                <w:sz w:val="20"/>
                <w:szCs w:val="20"/>
                <w:highlight w:val="none"/>
                <w:u w:val="none"/>
                <w:lang w:val="en-US" w:eastAsia="zh-CN" w:bidi="ar"/>
              </w:rPr>
              <w:t xml:space="preserve">16,535.24 </w:t>
            </w:r>
          </w:p>
        </w:tc>
        <w:tc>
          <w:tcPr>
            <w:tcW w:w="7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b/>
                <w:bCs/>
                <w:i w:val="0"/>
                <w:iCs w:val="0"/>
                <w:color w:val="auto"/>
                <w:kern w:val="0"/>
                <w:sz w:val="20"/>
                <w:szCs w:val="20"/>
                <w:highlight w:val="none"/>
                <w:u w:val="none"/>
                <w:lang w:val="en-US" w:eastAsia="zh-CN" w:bidi="ar"/>
              </w:rPr>
            </w:pPr>
            <w:r>
              <w:rPr>
                <w:rFonts w:hint="eastAsia" w:ascii="仿宋" w:hAnsi="仿宋" w:eastAsia="仿宋" w:cs="仿宋"/>
                <w:b/>
                <w:bCs/>
                <w:i w:val="0"/>
                <w:iCs w:val="0"/>
                <w:color w:val="auto"/>
                <w:kern w:val="0"/>
                <w:sz w:val="20"/>
                <w:szCs w:val="20"/>
                <w:highlight w:val="none"/>
                <w:u w:val="none"/>
                <w:lang w:val="en-US" w:eastAsia="zh-CN" w:bidi="ar"/>
              </w:rPr>
              <w:t xml:space="preserve"> 16,059.41 </w:t>
            </w:r>
          </w:p>
        </w:tc>
        <w:tc>
          <w:tcPr>
            <w:tcW w:w="6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 w:hAnsi="仿宋" w:eastAsia="仿宋" w:cs="仿宋"/>
                <w:b/>
                <w:bCs/>
                <w:i w:val="0"/>
                <w:iCs w:val="0"/>
                <w:color w:val="auto"/>
                <w:kern w:val="0"/>
                <w:sz w:val="20"/>
                <w:szCs w:val="20"/>
                <w:highlight w:val="none"/>
                <w:u w:val="none"/>
                <w:lang w:val="en-US" w:eastAsia="zh-CN" w:bidi="ar"/>
              </w:rPr>
            </w:pPr>
            <w:r>
              <w:rPr>
                <w:rFonts w:hint="eastAsia" w:ascii="仿宋" w:hAnsi="仿宋" w:eastAsia="仿宋" w:cs="仿宋"/>
                <w:b/>
                <w:bCs/>
                <w:i w:val="0"/>
                <w:iCs w:val="0"/>
                <w:color w:val="auto"/>
                <w:kern w:val="0"/>
                <w:sz w:val="20"/>
                <w:szCs w:val="20"/>
                <w:highlight w:val="none"/>
                <w:u w:val="none"/>
                <w:lang w:val="en-US" w:eastAsia="zh-CN" w:bidi="ar"/>
              </w:rPr>
              <w:t>10.21%</w:t>
            </w:r>
          </w:p>
        </w:tc>
      </w:tr>
    </w:tbl>
    <w:p>
      <w:pPr>
        <w:spacing w:line="520" w:lineRule="exact"/>
        <w:ind w:firstLine="482" w:firstLineChars="200"/>
        <w:jc w:val="left"/>
        <w:outlineLvl w:val="0"/>
        <w:rPr>
          <w:rFonts w:hint="eastAsia" w:ascii="Arial Narrow" w:hAnsi="宋体"/>
          <w:b/>
          <w:color w:val="auto"/>
          <w:sz w:val="24"/>
          <w:highlight w:val="none"/>
        </w:rPr>
      </w:pPr>
      <w:r>
        <w:rPr>
          <w:rFonts w:hint="eastAsia" w:ascii="Arial Narrow" w:hAnsi="宋体"/>
          <w:b/>
          <w:color w:val="auto"/>
          <w:sz w:val="24"/>
          <w:highlight w:val="none"/>
        </w:rPr>
        <w:t>十一、担保事项</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本行无担保事项。</w:t>
      </w:r>
    </w:p>
    <w:p>
      <w:pPr>
        <w:spacing w:line="520" w:lineRule="exact"/>
        <w:ind w:firstLine="482" w:firstLineChars="200"/>
        <w:outlineLvl w:val="0"/>
        <w:rPr>
          <w:rFonts w:hint="eastAsia" w:ascii="Arial Narrow" w:hAnsi="Arial Narrow"/>
          <w:b/>
          <w:bCs/>
          <w:color w:val="auto"/>
          <w:sz w:val="24"/>
          <w:highlight w:val="none"/>
        </w:rPr>
      </w:pPr>
      <w:r>
        <w:rPr>
          <w:rFonts w:hint="eastAsia" w:ascii="Arial Narrow" w:hAnsi="Arial Narrow"/>
          <w:b/>
          <w:bCs/>
          <w:color w:val="auto"/>
          <w:sz w:val="24"/>
          <w:highlight w:val="none"/>
        </w:rPr>
        <w:t>十二、呆账核销及贷款减免情况</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（一）呆账核销</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除采取现金收回外，本行还通过核销方式对不良贷款进行处置。2024年本行共计核销不良贷款</w:t>
      </w:r>
      <w:r>
        <w:rPr>
          <w:rFonts w:hint="eastAsia" w:ascii="Arial Narrow" w:hAnsi="Arial Narrow"/>
          <w:color w:val="auto"/>
          <w:sz w:val="24"/>
          <w:highlight w:val="none"/>
          <w:lang w:val="en-US" w:eastAsia="zh-CN"/>
        </w:rPr>
        <w:t>1525户、2083</w:t>
      </w:r>
      <w:r>
        <w:rPr>
          <w:rFonts w:hint="eastAsia" w:ascii="Arial Narrow" w:hAnsi="Arial Narrow"/>
          <w:color w:val="auto"/>
          <w:sz w:val="24"/>
          <w:highlight w:val="none"/>
        </w:rPr>
        <w:t>笔、金额</w:t>
      </w:r>
      <w:r>
        <w:rPr>
          <w:rFonts w:hint="eastAsia" w:ascii="Arial Narrow" w:hAnsi="Arial Narrow"/>
          <w:color w:val="auto"/>
          <w:sz w:val="24"/>
          <w:highlight w:val="none"/>
          <w:lang w:val="en-US" w:eastAsia="zh-CN"/>
        </w:rPr>
        <w:t>23438.23</w:t>
      </w:r>
      <w:r>
        <w:rPr>
          <w:rFonts w:hint="eastAsia" w:ascii="Arial Narrow" w:hAnsi="Arial Narrow"/>
          <w:color w:val="auto"/>
          <w:sz w:val="24"/>
          <w:highlight w:val="none"/>
        </w:rPr>
        <w:t>万元。</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本行已核销贷款严格按</w:t>
      </w:r>
      <w:r>
        <w:rPr>
          <w:rFonts w:ascii="宋体" w:hAnsi="宋体" w:cs="宋体"/>
          <w:color w:val="auto"/>
          <w:sz w:val="24"/>
          <w:highlight w:val="none"/>
        </w:rPr>
        <w:t>《安顺农村商业银行股份有限公司呆账核销管理实施细则（2023年版）》（安农商办发〔2023〕41号）</w:t>
      </w:r>
      <w:r>
        <w:rPr>
          <w:rFonts w:hint="eastAsia" w:ascii="宋体" w:hAnsi="宋体" w:cs="宋体"/>
          <w:color w:val="auto"/>
          <w:sz w:val="24"/>
          <w:highlight w:val="none"/>
          <w:lang w:eastAsia="zh-CN"/>
        </w:rPr>
        <w:t>、《贵州省农村信用社关于加强呆账核销管理的意见》（黔农信办函〔2024〕20号）</w:t>
      </w:r>
      <w:r>
        <w:rPr>
          <w:rFonts w:hint="eastAsia" w:ascii="Arial Narrow" w:hAnsi="Arial Narrow"/>
          <w:color w:val="auto"/>
          <w:sz w:val="24"/>
          <w:highlight w:val="none"/>
        </w:rPr>
        <w:t>规定执行。</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（二）贷款减免情况</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2024年度</w:t>
      </w:r>
      <w:r>
        <w:rPr>
          <w:rFonts w:hint="eastAsia" w:ascii="Arial Narrow" w:hAnsi="Arial Narrow"/>
          <w:color w:val="auto"/>
          <w:sz w:val="24"/>
          <w:highlight w:val="none"/>
          <w:lang w:eastAsia="zh-CN"/>
        </w:rPr>
        <w:t>本行无</w:t>
      </w:r>
      <w:r>
        <w:rPr>
          <w:rFonts w:hint="eastAsia" w:ascii="Arial Narrow" w:hAnsi="Arial Narrow"/>
          <w:color w:val="auto"/>
          <w:sz w:val="24"/>
          <w:highlight w:val="none"/>
        </w:rPr>
        <w:t>贷款减免业务</w:t>
      </w:r>
      <w:r>
        <w:rPr>
          <w:rFonts w:hint="eastAsia" w:ascii="Arial Narrow" w:hAnsi="Arial Narrow"/>
          <w:color w:val="auto"/>
          <w:sz w:val="24"/>
          <w:highlight w:val="none"/>
          <w:lang w:eastAsia="zh-CN"/>
        </w:rPr>
        <w:t>。</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3、或有应收金额。无</w:t>
      </w:r>
    </w:p>
    <w:p>
      <w:pPr>
        <w:numPr>
          <w:ilvl w:val="0"/>
          <w:numId w:val="10"/>
        </w:numPr>
        <w:spacing w:line="520" w:lineRule="exact"/>
        <w:ind w:firstLine="482" w:firstLineChars="200"/>
        <w:outlineLvl w:val="0"/>
        <w:rPr>
          <w:rFonts w:hint="eastAsia" w:ascii="Arial Narrow" w:hAnsi="Arial Narrow"/>
          <w:b/>
          <w:bCs/>
          <w:color w:val="auto"/>
          <w:sz w:val="24"/>
          <w:highlight w:val="none"/>
        </w:rPr>
      </w:pPr>
      <w:r>
        <w:rPr>
          <w:rFonts w:hint="eastAsia" w:ascii="Arial Narrow" w:hAnsi="Arial Narrow"/>
          <w:b/>
          <w:bCs/>
          <w:color w:val="auto"/>
          <w:sz w:val="24"/>
          <w:highlight w:val="none"/>
        </w:rPr>
        <w:t>或有事项</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截至2024年12月31日，本行存在正常业务中发生的法律诉讼事项，截至2024年底针对不良贷款的诉讼案件共133件，涉案的贷款余额本金2,154.05万元。其明细情况如下：</w:t>
      </w:r>
    </w:p>
    <w:tbl>
      <w:tblPr>
        <w:tblStyle w:val="12"/>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15" w:type="dxa"/>
          <w:left w:w="15" w:type="dxa"/>
          <w:bottom w:w="15" w:type="dxa"/>
          <w:right w:w="15" w:type="dxa"/>
        </w:tblCellMar>
      </w:tblPr>
      <w:tblGrid>
        <w:gridCol w:w="1963"/>
        <w:gridCol w:w="1801"/>
        <w:gridCol w:w="1344"/>
        <w:gridCol w:w="1344"/>
        <w:gridCol w:w="18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44"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被告</w:t>
            </w:r>
          </w:p>
        </w:tc>
        <w:tc>
          <w:tcPr>
            <w:tcW w:w="1080"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借款金额（万元）</w:t>
            </w:r>
          </w:p>
        </w:tc>
        <w:tc>
          <w:tcPr>
            <w:tcW w:w="806"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借款余额（万元）</w:t>
            </w:r>
          </w:p>
        </w:tc>
        <w:tc>
          <w:tcPr>
            <w:tcW w:w="806"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立案诉讼时间</w:t>
            </w:r>
          </w:p>
        </w:tc>
        <w:tc>
          <w:tcPr>
            <w:tcW w:w="1128" w:type="pct"/>
            <w:noWrap w:val="0"/>
            <w:vAlign w:val="center"/>
          </w:tcPr>
          <w:p>
            <w:pPr>
              <w:keepNext w:val="0"/>
              <w:keepLines w:val="0"/>
              <w:widowControl/>
              <w:suppressLineNumbers w:val="0"/>
              <w:jc w:val="center"/>
              <w:textAlignment w:val="center"/>
              <w:rPr>
                <w:rFonts w:hint="eastAsia" w:ascii="宋体" w:hAnsi="宋体" w:cs="宋体"/>
                <w:b/>
                <w:color w:val="auto"/>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案件进度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夏艳、韩达武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卿正将</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张俊</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秦昌龙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撤诉结案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王国祥、杨文琼</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2023.4.25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鲍泽毅</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2023.4.20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王家英</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吕玉刚</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王天浩</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4.18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4.17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陈朋</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罗啟龙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严达添</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雷进铜</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2023.4.19</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5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13.4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10.03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薛琴英</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陈浩东</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驳回起诉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程云龙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42.76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谷磊</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郭春林</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黄益英</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李用武、朱忠仪</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刘凯、陈文豪</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刘宇、陈文豪</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2023.06.15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汪雄</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龙滔</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2023.06.05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19"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胡修勋</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张克胜</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0"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曾倩</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韩彦龙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谢兴江、张敏</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王德祥、刘俊秀</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1.96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吴彬、汪林波、陈堂务、曾锦秀</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9.06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2023.7.31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张兴林</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2023.8.18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陈兰兰、陈怀芬、史亚芸</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余文文、王艳菲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吴德林</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罗港</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13.02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吴春鹏</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准予撤诉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陈祖荣</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撤诉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潘璐诗</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姜德顺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47.86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裁定驳回</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鲁凡阳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47"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宋静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已开庭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樊婷</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胡永江</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已开庭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翁先芳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已开庭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陈丹</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方成学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赵孟</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汪强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2023.10.26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判决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陈彩彩</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撤诉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田汝明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2023.12.11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已开庭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牟乔保</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17.97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郭宝三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胡海军</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2023.1.16</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陈江湖</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14.99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汪振楠</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冯鑫</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刘飞飞</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2023.2.8</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梁正元</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全圣恒</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挂息</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全圣恒</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路双龙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曾新龙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杨秀帅</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2.83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陈平安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陈学海</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余万群</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李顺祥</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周春秀</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刘异</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周昌富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许猜猜</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罗涛</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黄全超</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2023.3.27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卢东三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李发成</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26.8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26.39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向蕴玮</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赵晨</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杨小英</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陈敏</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3.38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吴俊芸</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雷洪书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严生刚</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严生刚</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2023.5.4</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袁国安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9.58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2023.4.13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庞瑛</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罗铮</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2.76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王发明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460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石飞艳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2.69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2.88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王发友</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秦福红</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3.53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屈安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3.83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韦虎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李宪仁</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李宪仁</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安啟芬</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2023.5.22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姜锦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刘丽</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39.46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刘艳妮</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刘艳妮</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喻秀莲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3.95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潘健</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4.96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鲍光富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3.94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鲍行</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7.31</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勾红红</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苏露</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2023.6.25</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曾华平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5.96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刘同增</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徐立虎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1.29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1.29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徐立虎</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2023.8.7</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蒙付刚</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2.99</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2023.8.11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张宇</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1.76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1.75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2023.8.11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鲍优忠</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2023.8.21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冯德顺</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2023.8.21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黄洋</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陈道春</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2023.9.11</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王金成</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2023.10.19</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吴继红</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严兴平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2023.11.9</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杨桂义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0"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雷聆</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王建玉</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执行已结案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刘明静</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4.18</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2023.11.23</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雷兴平</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9.82</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4.77</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王健</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85" w:hRule="atLeast"/>
          <w:tblHeader/>
        </w:trPr>
        <w:tc>
          <w:tcPr>
            <w:tcW w:w="1178"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付文武</w:t>
            </w:r>
          </w:p>
        </w:tc>
        <w:tc>
          <w:tcPr>
            <w:tcW w:w="1080"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806" w:type="pct"/>
            <w:noWrap w:val="0"/>
            <w:vAlign w:val="center"/>
          </w:tcPr>
          <w:p>
            <w:pPr>
              <w:keepNext w:val="0"/>
              <w:keepLines w:val="0"/>
              <w:widowControl/>
              <w:suppressLineNumbers w:val="0"/>
              <w:jc w:val="center"/>
              <w:textAlignment w:val="center"/>
              <w:rPr>
                <w:rFonts w:hint="eastAsia" w:ascii="宋体" w:hAnsi="宋体" w:cs="宋体"/>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2023.11.30</w:t>
            </w:r>
          </w:p>
        </w:tc>
        <w:tc>
          <w:tcPr>
            <w:tcW w:w="1128" w:type="pct"/>
            <w:noWrap w:val="0"/>
            <w:vAlign w:val="center"/>
          </w:tcPr>
          <w:p>
            <w:pPr>
              <w:keepNext w:val="0"/>
              <w:keepLines w:val="0"/>
              <w:widowControl/>
              <w:suppressLineNumbers w:val="0"/>
              <w:jc w:val="center"/>
              <w:textAlignment w:val="center"/>
              <w:rPr>
                <w:rFonts w:hint="eastAsia" w:ascii="宋体" w:hAnsi="宋体" w:cs="宋体"/>
                <w:color w:val="auto"/>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调解结案</w:t>
            </w:r>
          </w:p>
        </w:tc>
      </w:tr>
    </w:tbl>
    <w:p>
      <w:pPr>
        <w:spacing w:line="520" w:lineRule="exact"/>
        <w:ind w:firstLine="482" w:firstLineChars="200"/>
        <w:outlineLvl w:val="0"/>
        <w:rPr>
          <w:rFonts w:hint="eastAsia" w:ascii="Arial Narrow" w:hAnsi="Arial Narrow"/>
          <w:b/>
          <w:bCs/>
          <w:color w:val="auto"/>
          <w:sz w:val="24"/>
          <w:highlight w:val="none"/>
        </w:rPr>
      </w:pPr>
    </w:p>
    <w:p>
      <w:pPr>
        <w:spacing w:line="520" w:lineRule="exact"/>
        <w:ind w:firstLine="482" w:firstLineChars="200"/>
        <w:outlineLvl w:val="0"/>
        <w:rPr>
          <w:rFonts w:hint="eastAsia" w:ascii="Arial Narrow" w:hAnsi="Arial Narrow"/>
          <w:b/>
          <w:bCs/>
          <w:color w:val="auto"/>
          <w:sz w:val="24"/>
          <w:highlight w:val="none"/>
        </w:rPr>
      </w:pPr>
      <w:r>
        <w:rPr>
          <w:rFonts w:hint="eastAsia" w:ascii="Arial Narrow" w:hAnsi="Arial Narrow"/>
          <w:b/>
          <w:bCs/>
          <w:color w:val="auto"/>
          <w:sz w:val="24"/>
          <w:highlight w:val="none"/>
        </w:rPr>
        <w:t>十四、贷款指标</w:t>
      </w:r>
    </w:p>
    <w:p>
      <w:pPr>
        <w:overflowPunct w:val="0"/>
        <w:adjustRightInd w:val="0"/>
        <w:snapToGrid w:val="0"/>
        <w:spacing w:line="520" w:lineRule="exact"/>
        <w:ind w:firstLine="482" w:firstLineChars="200"/>
        <w:rPr>
          <w:rFonts w:hint="eastAsia" w:ascii="Arial" w:hAnsi="宋体" w:cs="Arial"/>
          <w:color w:val="auto"/>
          <w:sz w:val="24"/>
          <w:highlight w:val="none"/>
        </w:rPr>
      </w:pPr>
      <w:r>
        <w:rPr>
          <w:rFonts w:hint="eastAsia" w:ascii="Arial Narrow" w:hAnsi="Arial Narrow"/>
          <w:b/>
          <w:bCs/>
          <w:color w:val="auto"/>
          <w:sz w:val="24"/>
          <w:highlight w:val="none"/>
        </w:rPr>
        <w:t>14.1贷款质量</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2024年末，本行各项贷款余额</w:t>
      </w:r>
      <w:r>
        <w:rPr>
          <w:rFonts w:hint="eastAsia" w:ascii="Arial Narrow" w:hAnsi="Arial Narrow"/>
          <w:color w:val="auto"/>
          <w:sz w:val="24"/>
          <w:highlight w:val="none"/>
          <w:lang w:val="en-US" w:eastAsia="zh-CN"/>
        </w:rPr>
        <w:t>1,161,713</w:t>
      </w:r>
      <w:r>
        <w:rPr>
          <w:rFonts w:hint="eastAsia" w:ascii="Arial Narrow" w:hAnsi="Arial Narrow"/>
          <w:color w:val="auto"/>
          <w:sz w:val="24"/>
          <w:highlight w:val="none"/>
        </w:rPr>
        <w:t>万元，比年初</w:t>
      </w:r>
      <w:r>
        <w:rPr>
          <w:rFonts w:hint="eastAsia" w:ascii="Arial Narrow" w:hAnsi="Arial Narrow"/>
          <w:color w:val="auto"/>
          <w:sz w:val="24"/>
          <w:highlight w:val="none"/>
          <w:lang w:eastAsia="zh-CN"/>
        </w:rPr>
        <w:t>减少</w:t>
      </w:r>
      <w:r>
        <w:rPr>
          <w:rFonts w:hint="eastAsia" w:ascii="Arial Narrow" w:hAnsi="Arial Narrow"/>
          <w:color w:val="auto"/>
          <w:sz w:val="24"/>
          <w:highlight w:val="none"/>
          <w:lang w:val="en-US" w:eastAsia="zh-CN"/>
        </w:rPr>
        <w:t>28,123.18</w:t>
      </w:r>
      <w:r>
        <w:rPr>
          <w:rFonts w:hint="eastAsia" w:ascii="Arial Narrow" w:hAnsi="Arial Narrow"/>
          <w:color w:val="auto"/>
          <w:sz w:val="24"/>
          <w:highlight w:val="none"/>
        </w:rPr>
        <w:t>万元。不良贷款余额（按五级分类）</w:t>
      </w:r>
      <w:r>
        <w:rPr>
          <w:rFonts w:hint="eastAsia" w:ascii="Arial Narrow" w:hAnsi="Arial Narrow"/>
          <w:color w:val="auto"/>
          <w:sz w:val="24"/>
          <w:highlight w:val="none"/>
          <w:lang w:val="en-US" w:eastAsia="zh-CN"/>
        </w:rPr>
        <w:t>47,639.71</w:t>
      </w:r>
      <w:r>
        <w:rPr>
          <w:rFonts w:hint="eastAsia" w:ascii="Arial Narrow" w:hAnsi="Arial Narrow"/>
          <w:color w:val="auto"/>
          <w:sz w:val="24"/>
          <w:highlight w:val="none"/>
        </w:rPr>
        <w:t>万元，比年初</w:t>
      </w:r>
      <w:r>
        <w:rPr>
          <w:rFonts w:hint="eastAsia" w:ascii="Arial Narrow" w:hAnsi="Arial Narrow"/>
          <w:color w:val="auto"/>
          <w:sz w:val="24"/>
          <w:highlight w:val="none"/>
          <w:lang w:eastAsia="zh-CN"/>
        </w:rPr>
        <w:t>减少</w:t>
      </w:r>
      <w:r>
        <w:rPr>
          <w:rFonts w:hint="eastAsia" w:ascii="Arial Narrow" w:hAnsi="Arial Narrow"/>
          <w:color w:val="auto"/>
          <w:sz w:val="24"/>
          <w:highlight w:val="none"/>
          <w:lang w:val="en-US" w:eastAsia="zh-CN"/>
        </w:rPr>
        <w:t>1,335.25</w:t>
      </w:r>
      <w:r>
        <w:rPr>
          <w:rFonts w:hint="eastAsia" w:ascii="Arial Narrow" w:hAnsi="Arial Narrow"/>
          <w:color w:val="auto"/>
          <w:sz w:val="24"/>
          <w:highlight w:val="none"/>
        </w:rPr>
        <w:t>万元，不良贷款占比4.1%，比年初下降</w:t>
      </w:r>
      <w:r>
        <w:rPr>
          <w:rFonts w:hint="eastAsia" w:ascii="Arial Narrow" w:hAnsi="Arial Narrow"/>
          <w:color w:val="auto"/>
          <w:sz w:val="24"/>
          <w:highlight w:val="none"/>
          <w:lang w:val="en-US" w:eastAsia="zh-CN"/>
        </w:rPr>
        <w:t>0.02</w:t>
      </w:r>
      <w:r>
        <w:rPr>
          <w:rFonts w:hint="eastAsia" w:ascii="Arial Narrow" w:hAnsi="Arial Narrow"/>
          <w:color w:val="auto"/>
          <w:sz w:val="24"/>
          <w:highlight w:val="none"/>
        </w:rPr>
        <w:t>个百分点。</w:t>
      </w:r>
    </w:p>
    <w:p>
      <w:pPr>
        <w:overflowPunct w:val="0"/>
        <w:adjustRightInd w:val="0"/>
        <w:snapToGrid w:val="0"/>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14.2信用风险指标</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3"/>
        <w:gridCol w:w="2975"/>
        <w:gridCol w:w="3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项目</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2023年12月31日</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2024年12月31日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不良资产率</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eastAsia" w:ascii="宋体" w:hAnsi="宋体" w:eastAsia="宋体" w:cs="宋体"/>
                <w:color w:val="auto"/>
                <w:sz w:val="20"/>
                <w:szCs w:val="20"/>
                <w:highlight w:val="none"/>
              </w:rPr>
            </w:pPr>
            <w:r>
              <w:rPr>
                <w:rFonts w:hint="eastAsia" w:ascii="宋体" w:hAnsi="宋体" w:cs="宋体"/>
                <w:color w:val="auto"/>
                <w:sz w:val="20"/>
                <w:szCs w:val="20"/>
                <w:highlight w:val="none"/>
                <w:lang w:val="en-US" w:eastAsia="zh-CN"/>
              </w:rPr>
              <w:t>2.99</w:t>
            </w:r>
            <w:r>
              <w:rPr>
                <w:rFonts w:hint="eastAsia" w:ascii="宋体" w:hAnsi="宋体" w:eastAsia="宋体" w:cs="宋体"/>
                <w:color w:val="auto"/>
                <w:sz w:val="20"/>
                <w:szCs w:val="20"/>
                <w:highlight w:val="none"/>
              </w:rPr>
              <w:t>%</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不良贷款率</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4.12%</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非同业单一客户贷款集中度</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4.6%</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非同业单一客户风险暴露集中度</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4.91%</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拨备覆盖率</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166.86%</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167.04%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20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存贷比</w:t>
            </w:r>
          </w:p>
        </w:tc>
        <w:tc>
          <w:tcPr>
            <w:tcW w:w="2975"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84%</w:t>
            </w:r>
          </w:p>
        </w:tc>
        <w:tc>
          <w:tcPr>
            <w:tcW w:w="308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77.94%</w:t>
            </w:r>
          </w:p>
        </w:tc>
      </w:tr>
    </w:tbl>
    <w:p>
      <w:pPr>
        <w:spacing w:line="520" w:lineRule="exact"/>
        <w:ind w:firstLine="482" w:firstLineChars="200"/>
        <w:outlineLvl w:val="0"/>
        <w:rPr>
          <w:rFonts w:hint="default" w:ascii="Arial Narrow" w:hAnsi="Arial Narrow" w:eastAsia="宋体" w:cs="Times New Roman"/>
          <w:b/>
          <w:bCs/>
          <w:color w:val="auto"/>
          <w:sz w:val="24"/>
          <w:highlight w:val="none"/>
          <w:lang w:val="en-US" w:eastAsia="zh-CN"/>
        </w:rPr>
      </w:pPr>
      <w:r>
        <w:rPr>
          <w:rFonts w:hint="eastAsia" w:ascii="Arial Narrow" w:hAnsi="Arial Narrow" w:eastAsia="宋体" w:cs="Times New Roman"/>
          <w:b/>
          <w:bCs/>
          <w:color w:val="auto"/>
          <w:sz w:val="24"/>
          <w:highlight w:val="none"/>
          <w:lang w:val="en-US" w:eastAsia="zh-CN"/>
        </w:rPr>
        <w:t>十五、公司治理结构</w:t>
      </w:r>
    </w:p>
    <w:p>
      <w:pPr>
        <w:overflowPunct w:val="0"/>
        <w:adjustRightInd w:val="0"/>
        <w:snapToGrid w:val="0"/>
        <w:spacing w:line="520" w:lineRule="exact"/>
        <w:ind w:firstLine="480" w:firstLineChars="200"/>
        <w:rPr>
          <w:rFonts w:hint="eastAsia" w:ascii="Arial" w:hAnsi="宋体" w:cs="Arial"/>
          <w:color w:val="auto"/>
          <w:sz w:val="24"/>
          <w:highlight w:val="none"/>
        </w:rPr>
      </w:pPr>
      <w:r>
        <w:rPr>
          <w:rFonts w:hint="eastAsia" w:ascii="Arial" w:hAnsi="宋体" w:cs="Arial"/>
          <w:color w:val="auto"/>
          <w:sz w:val="24"/>
          <w:highlight w:val="none"/>
        </w:rPr>
        <w:t>15.1.1股东大会</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rPr>
        <w:t>本年度共召开股东大会</w:t>
      </w:r>
      <w:r>
        <w:rPr>
          <w:rFonts w:hint="eastAsia" w:ascii="Arial Narrow" w:hAnsi="Arial Narrow"/>
          <w:color w:val="auto"/>
          <w:sz w:val="24"/>
          <w:highlight w:val="none"/>
          <w:lang w:val="en-US" w:eastAsia="zh-CN"/>
        </w:rPr>
        <w:t>2</w:t>
      </w:r>
      <w:r>
        <w:rPr>
          <w:rFonts w:hint="eastAsia" w:ascii="Arial Narrow" w:hAnsi="Arial Narrow"/>
          <w:color w:val="auto"/>
          <w:sz w:val="24"/>
          <w:highlight w:val="none"/>
        </w:rPr>
        <w:t>次。其中：202</w:t>
      </w:r>
      <w:r>
        <w:rPr>
          <w:rFonts w:hint="eastAsia" w:ascii="Arial Narrow" w:hAnsi="Arial Narrow"/>
          <w:color w:val="auto"/>
          <w:sz w:val="24"/>
          <w:highlight w:val="none"/>
          <w:lang w:val="en-US" w:eastAsia="zh-CN"/>
        </w:rPr>
        <w:t>4</w:t>
      </w:r>
      <w:r>
        <w:rPr>
          <w:rFonts w:hint="eastAsia" w:ascii="Arial Narrow" w:hAnsi="Arial Narrow"/>
          <w:color w:val="auto"/>
          <w:sz w:val="24"/>
          <w:highlight w:val="none"/>
        </w:rPr>
        <w:t>年</w:t>
      </w:r>
      <w:r>
        <w:rPr>
          <w:rFonts w:hint="eastAsia" w:ascii="Arial Narrow" w:hAnsi="Arial Narrow"/>
          <w:color w:val="auto"/>
          <w:sz w:val="24"/>
          <w:highlight w:val="none"/>
          <w:lang w:val="en-US" w:eastAsia="zh-CN"/>
        </w:rPr>
        <w:t>5</w:t>
      </w:r>
      <w:r>
        <w:rPr>
          <w:rFonts w:hint="eastAsia" w:ascii="Arial Narrow" w:hAnsi="Arial Narrow"/>
          <w:color w:val="auto"/>
          <w:sz w:val="24"/>
          <w:highlight w:val="none"/>
        </w:rPr>
        <w:t>月</w:t>
      </w:r>
      <w:r>
        <w:rPr>
          <w:rFonts w:hint="eastAsia" w:ascii="Arial Narrow" w:hAnsi="Arial Narrow"/>
          <w:color w:val="auto"/>
          <w:sz w:val="24"/>
          <w:highlight w:val="none"/>
          <w:lang w:val="en-US" w:eastAsia="zh-CN"/>
        </w:rPr>
        <w:t>20</w:t>
      </w:r>
      <w:r>
        <w:rPr>
          <w:rFonts w:hint="eastAsia" w:ascii="Arial Narrow" w:hAnsi="Arial Narrow"/>
          <w:color w:val="auto"/>
          <w:sz w:val="24"/>
          <w:highlight w:val="none"/>
        </w:rPr>
        <w:t>日召开了安顺农村商业银行股份有限公司第十</w:t>
      </w:r>
      <w:r>
        <w:rPr>
          <w:rFonts w:hint="eastAsia" w:ascii="Arial Narrow" w:hAnsi="Arial Narrow"/>
          <w:color w:val="auto"/>
          <w:sz w:val="24"/>
          <w:highlight w:val="none"/>
          <w:lang w:eastAsia="zh-CN"/>
        </w:rPr>
        <w:t>三</w:t>
      </w:r>
      <w:r>
        <w:rPr>
          <w:rFonts w:hint="eastAsia" w:ascii="Arial Narrow" w:hAnsi="Arial Narrow"/>
          <w:color w:val="auto"/>
          <w:sz w:val="24"/>
          <w:highlight w:val="none"/>
        </w:rPr>
        <w:t>次股东大会，会议</w:t>
      </w:r>
      <w:r>
        <w:rPr>
          <w:rFonts w:hint="eastAsia" w:ascii="Arial Narrow" w:hAnsi="Arial Narrow"/>
          <w:color w:val="auto"/>
          <w:sz w:val="24"/>
          <w:highlight w:val="none"/>
          <w:lang w:eastAsia="zh-CN"/>
        </w:rPr>
        <w:t>听取了《安顺农村商业银行股份有限公司关于国家金融监督管理总局安顺监管分局现场检查的整改落实情况报告》《安顺农村商业银行股份有限公司2023年度董事、监事履职评价报告》《安顺农村商业银行股份有限公司2023年度经营层工作报告》</w:t>
      </w:r>
      <w:r>
        <w:rPr>
          <w:rFonts w:hint="eastAsia" w:ascii="Arial Narrow" w:hAnsi="Arial Narrow"/>
          <w:color w:val="auto"/>
          <w:sz w:val="24"/>
          <w:highlight w:val="none"/>
          <w:lang w:val="en-US" w:eastAsia="zh-CN"/>
        </w:rPr>
        <w:t>3项</w:t>
      </w:r>
      <w:r>
        <w:rPr>
          <w:rFonts w:hint="eastAsia" w:ascii="Arial Narrow" w:hAnsi="Arial Narrow"/>
          <w:color w:val="auto"/>
          <w:sz w:val="24"/>
          <w:highlight w:val="none"/>
          <w:lang w:eastAsia="zh-CN"/>
        </w:rPr>
        <w:t>报告；</w:t>
      </w:r>
      <w:r>
        <w:rPr>
          <w:rFonts w:hint="eastAsia" w:ascii="Arial Narrow" w:hAnsi="Arial Narrow"/>
          <w:color w:val="auto"/>
          <w:sz w:val="24"/>
          <w:highlight w:val="none"/>
        </w:rPr>
        <w:t>审议并通过了《安顺农村商业银行股份有限公司2023年度董事会工作报告》《安顺农村商业银行股份有限公司2023年度监事会工作报告》《安顺农村商业银行股份有限公司2023年度财务预算执行情况及2024年度财务预算方案》《安顺农村商业银行股份有限公司2023年度利润分配方案》《安顺农村商业银行股份有限公司2023年度股金红利分配方案》《安顺农村商业银行股份有限公司资本补充规划方案（2024—2026年）》《安顺农村商业银行股份有限公司2023年度行务公开情况报告》《安顺农村商业银行股份有限公司2023年度信息披露报告》《安顺农村商业银行股份有限公司关于修改公司章程的议案》《安顺农村商业银行股份有限公司2023年度大股东评估报告》《安顺农村商业银行股份有限公司2023年度主要股东评估报告》《安顺农村商业银行股份有限公司股东利益冲突管理办法》《安顺农村商业银行股份有限公司股权托管办法》《安顺农村商业银行股份有限公司董事会议事规则》关于提名吴侃为安顺农村商业银行股份有限公司第二届董事会董事》《关于提名彭斌荣为安顺农村商业银行股份有限公司第二届董事会董事的议案》《安顺农村商业银行股份有限公司2023年度三农金融服务工作报告》《安顺农村商业银行股份有限公司2023年度绿色信贷工作报告》《安顺农村商业银行股份有限公司2023年度关联交易报告》</w:t>
      </w:r>
      <w:r>
        <w:rPr>
          <w:rFonts w:hint="eastAsia" w:ascii="Arial Narrow" w:hAnsi="Arial Narrow"/>
          <w:color w:val="auto"/>
          <w:sz w:val="24"/>
          <w:highlight w:val="none"/>
          <w:lang w:val="en-US" w:eastAsia="zh-CN"/>
        </w:rPr>
        <w:t>19项议案。</w:t>
      </w:r>
    </w:p>
    <w:p>
      <w:pPr>
        <w:spacing w:line="520" w:lineRule="exact"/>
        <w:ind w:firstLine="480" w:firstLineChars="200"/>
        <w:rPr>
          <w:rFonts w:hint="default"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12月11日召开临时股东大会，会议审议通过了《关于安顺农村商业银行股份有限公司一般风险准备转为未分配利润情况报告的议案》《关于提名郑小龙为安顺农村商业银行股份有限公司第二届董事会董事职务的议案》《关于安顺农村商业银行股份有限公司“三重一大”决策制度实施办法的议案》《关于安顺农村商业银行股份有限公司“决策主体权责清单”的议案》《关于安顺农村商业银行股份有限公司董事会议事规则的议案》《关于安顺农村商业银行股份有限公司股东大会议事规则的议案》6项议案。</w:t>
      </w:r>
    </w:p>
    <w:p>
      <w:pPr>
        <w:overflowPunct w:val="0"/>
        <w:adjustRightInd w:val="0"/>
        <w:snapToGrid w:val="0"/>
        <w:spacing w:line="520" w:lineRule="exact"/>
        <w:ind w:firstLine="480" w:firstLineChars="200"/>
        <w:rPr>
          <w:rFonts w:hint="eastAsia" w:ascii="Arial" w:hAnsi="宋体" w:cs="Arial"/>
          <w:color w:val="auto"/>
          <w:sz w:val="24"/>
          <w:highlight w:val="none"/>
        </w:rPr>
      </w:pPr>
      <w:r>
        <w:rPr>
          <w:rFonts w:hint="eastAsia" w:ascii="Arial" w:hAnsi="宋体" w:cs="Arial"/>
          <w:color w:val="auto"/>
          <w:sz w:val="24"/>
          <w:highlight w:val="none"/>
        </w:rPr>
        <w:t>15.1.2董事会</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rPr>
        <w:t>本年度共召开董事会</w:t>
      </w:r>
      <w:r>
        <w:rPr>
          <w:rFonts w:hint="eastAsia" w:ascii="Arial Narrow" w:hAnsi="Arial Narrow"/>
          <w:color w:val="auto"/>
          <w:sz w:val="24"/>
          <w:highlight w:val="none"/>
          <w:lang w:val="en-US" w:eastAsia="zh-CN"/>
        </w:rPr>
        <w:t>15</w:t>
      </w:r>
      <w:r>
        <w:rPr>
          <w:rFonts w:hint="eastAsia" w:ascii="Arial Narrow" w:hAnsi="Arial Narrow"/>
          <w:color w:val="auto"/>
          <w:sz w:val="24"/>
          <w:highlight w:val="none"/>
        </w:rPr>
        <w:t>次。其中：</w:t>
      </w:r>
      <w:r>
        <w:rPr>
          <w:rFonts w:hint="eastAsia" w:ascii="Arial Narrow" w:hAnsi="Arial Narrow"/>
          <w:color w:val="auto"/>
          <w:sz w:val="24"/>
          <w:highlight w:val="none"/>
          <w:lang w:val="en-US" w:eastAsia="zh-CN"/>
        </w:rPr>
        <w:t>2024年1月11日召开安顺农村商业银行股份有限公司第二届董事会第十七次会议，会议审议通过了《安顺市公共交通总公司贷款关联交易报告》1项议案。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月23日召开安顺农村商业银行股份有限公司第二届董事会第十八次会议，会议听取《安顺农村商业银行股份有限公司2023年度风险管理工作情况述职报告》《安顺市亿丰汽车销售有限公司、安顺市万邦置业有限公司申请统一授信5650万元的报告》《贵州大洋联合教育文化产业有限公司贷款的关联交易报告》《刘俊夫系列关联交易贷款的情况报告》4项报告；会议审</w:t>
      </w:r>
      <w:r>
        <w:rPr>
          <w:rFonts w:hint="eastAsia" w:ascii="Arial Narrow" w:hAnsi="Arial Narrow"/>
          <w:color w:val="auto"/>
          <w:sz w:val="24"/>
          <w:highlight w:val="none"/>
          <w:lang w:val="en-US" w:eastAsia="zh-CN"/>
        </w:rPr>
        <w:tab/>
      </w:r>
      <w:r>
        <w:rPr>
          <w:rFonts w:hint="eastAsia" w:ascii="Arial Narrow" w:hAnsi="Arial Narrow"/>
          <w:color w:val="auto"/>
          <w:sz w:val="24"/>
          <w:highlight w:val="none"/>
          <w:lang w:val="en-US" w:eastAsia="zh-CN"/>
        </w:rPr>
        <w:t>议通过《安顺农村商业银行股份有限公司2024年“三定”方案》《安顺农村商业银行股份有限公司2024年度授权书》《安顺农村商业银行股份有限公司不良资产委托处置协议》3项议案。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2月22日召开安顺农村商业银行股份有限公司第二届董事会第十九次会议《安顺农村商业银行股份有限公司2023年案防工作情况报告》《安顺农商银行2023年度消费者权益保护工作情况报告》《安顺农商银行股份有限公司2023年稽核审计工作报告》《安顺农村商业银行股份有限公司2023年消费者权益保护工作审计报告》《安顺农村商业银行股份有限公司2023年案件防控专项审计报告》《安顺农村商业银行股份有限公司2023年反洗钱工作专项审计报告》6项报告；会议审议通过《安顺农村商业银行股份有限公司法人股东安顺市恒伟实业有限公司股权转让的请示》《安顺农村商业银行股份有限公司西山支行迁址立项的事宜》《安顺农村商业银行股份有限公司公司治理自评估实施方案（2023年）》《安顺农村商业银行股份有限公司购置营业办公综合楼补充协议》《安顺农村商业银行股份有限公司全面预算管理办法》5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3月26日召开安顺农村商业银行股份有限公司第二届董事会第二十次会议，会议审议通过了《安顺农村商业银行股份有限公司2023年度董事会工作报告》《安顺农村商业银行股份有限公司2023年度经营层工作报告》《安顺农村商业银行股份有限公司关于对2023年度董事、监事履职评价的报告》《安顺农村商业银行股份有限公司2024年度开展不良资产市场化处置的立项申请》《安顺农村商业银行股份有限公司2023年反洗钱工作报告》《安顺农村商业银行股份有限公司2024年度反洗钱工作计划》《安顺农村商业银行股份有限公司2023年风险偏好执行情况报告》《安顺农村商业银行股份有限公司2023年关联交易报告》《安顺农村商业银行股份有限公司2023年征信工作总结报告》《安顺农村商业银行股份有限公司2023年信息科技工作报告》《安顺农村商业银行股份有限公司2024年稽核审计立项报告》11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4月12日召开安顺农村商业银行股份有限公司第二届董事会第二十一次会议，会议审议通过了《安顺农村商业银行股份有限公司关于营业部朱宇燕等贷款以物抵债入账的情况汇报》《关于解聘、聘任安顺农村商业银行股份有限公司合规与风险管理部负责人的议案》《安顺农村商业银行股份有限公司关于大股东评估报告》《关于提请召开安顺农村商业银行股份有限公司第十三次股东大会的议案》4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2024年4月30日召开安顺农村商业银行股份有限公司第二届董事会第二十二次会议，会议听取了《关于对安顺农商银行2024年度关联方名单核准的报告》</w:t>
      </w:r>
    </w:p>
    <w:p>
      <w:pPr>
        <w:spacing w:line="520" w:lineRule="exact"/>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安顺农村商业银行股份有限公司关于安顺市公共交通总公司贷款的重大事项报告》《安顺农商银行2024年第一季度大额贷款情况报告》3项报告；会议审议通过了《安顺农村商业银行股份有限公司关于开展不良贷款债权资产非批量（01号）转让方案》《安顺农村商业银行股份有限公司2023年度内部控制评价报告》《安顺农商银行2023年全面风险管理工作报告》《安顺农村商业银行股份有限公司环境信息披露报告（2023年度）》4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5月20日召开安顺农村商业银行股份有限公司第二届董事会第二十三次会议，会议审议了《安顺农村商业银行股份有限公司2023年度三农金融服务工作报告》《安顺农村商业银行股份有限公司2023年度绿色信贷工作报告》《安顺农村商业银行股份有限公司2024年高质量发展综合目标考核办法》《安顺农村商业银行股份有限公司2023年度财务预算执行情况及2024年度财务预算方案》《安顺农村商业银行股份有限公司2023年度利润分配方案》《安顺农村商业银行股份有限公司2023年度股金红利分配方案》《安顺农村商业银行股份有限公司2023年资本补充评估报告》《安顺农商银行2023年负责人履职待遇、业务支出预算及执行情况专项审计报告》《安顺农村商业银行股份有限公司关于2023年度工资政策执行情况的审计报告》《关于对贵州永诚会计师事务所2023年财务报表审计报告质量的评估报告》《安顺农村商业银行股份有限公司2023年度信息披露报告》《安顺农村商业银行股份有限公司关于修改公司章程的议案》《安顺农村商业银行股份有限公司2023年度主要股东评估报告》《安顺农村商业银行股份有限公司股东利益冲突管理办法》《安顺农村商业银行股份有限公司股权托管办法》《安顺农村商业银行股份有限公司董事会议事规则》《关于提名吴侃为安顺农村商业银行股份有限公司第二届董事会董事》《关于提名彭斌荣为安顺农村商业银行股份有限公司第二届董事会董事》18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6月19日召开安顺农村商业银行股份有限公司第二届董事会第二十四次会议，会议听取了《关于拟对贵州省安顺市紫运汽车运输（集团）有限责任公司及其关联企业贷款申请公证执行、对贵州永盛商贸物流有限公司贷款提起民事诉讼的情况报告》《安顺农商银行2023年大额贷款情况报告》2项报告；会议审议通过了《关于兴碧农资公司及苏文杰2户不良贷款债权整体转让相关结果事宜的报告》《安顺市国有资本运营有限责任公司贷款关联交易报告》《娄大远关联公司贷款关联交易报告》《安顺农商银行驾驶员劳务外包方案》《关于董事会绿色信贷委员会及绿色信贷委员会议事规则更名的请示》《关于解除贵州嘉乐置业有限公司贷款抵押权的请示》6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8月8日召开安顺农村商业银行股份有限公司第二届董事会第二十五次会议，会议听取了安顺农村商业银行股份有限公司2024年上半年经营层工作报告》《安顺农村商业银行股份有限公司2024年上半年财务运行情况报告》《安顺农村商业银行股份有限公司2024年第二季度大额贷款情况报告》《安顺农村商业银行股份有限公司2024年第二季度其他股东关联交易情况报告》《安顺农村商业银行股份有限公司2024年第二季度一般关联交易的工作报告》5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9月9日召开安顺农村商业银行股份有限公司第二届董事会第二十六次会议，会议审议了《安顺农村商业银行股份有限公司塔东支行迁址立项的事宜》《安顺农村商业银行股份有限公司董事会授权书》《安顺农村商业银行股份有限公司风险偏好陈述书(2024年版)》3项议案。</w:t>
      </w:r>
    </w:p>
    <w:p>
      <w:pPr>
        <w:spacing w:line="520" w:lineRule="exact"/>
        <w:ind w:firstLine="480" w:firstLineChars="200"/>
        <w:rPr>
          <w:rFonts w:hint="default"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10月18日召开安顺农村商业银行股份有限公司第二届董事会第二十七次会议，会议听取了《安顺农村商业银行股份有限公司关于2023年度公司治理评估结果报告》《安顺农村商业银行股份有限公司2024年三季度案件风险排查情况报告》《安顺农村商业银行股份有限公司2024年上半年风险偏好执行情况报告》《安顺农村商业银行股份有限公司第三季度一般关联交易情况报告》《安顺农村商业银行股份有限公司关于2024年第三季度贷款利息账务处理的情况报告》5项报告；会议审议通过了《关于谭振发申请辞去安顺农村商业银行股份有限公司第二届董事会副董事长、董事职务的议案》《谭振发不再担任安顺农村商业银行股份有限公司第二届董事会副董事长、董事、行长职务的议案》《安顺农村商业银行股份有限公司关于调整第二届董事会专门委员会委员》3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2024年11月25日召开安顺农村商业银行股份有限公司第二届董事会第二十八次会议，会议审议通过了《关于安顺农村商业银行股份有限公司2024年度临时股东大会的议案》1项议案。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12月11日召开安顺农村商业银行股份有限公司第二届董事会第二十九次会议，会议听取了《安顺农村商业银行股份有限公司2024年度数据治理工作情况报告》《安顺农村商业银行股份有限公司2023年度内部控制审计报告》《安顺农村商业银行股份有限公司2023年度关联交易专项审计报告》《安顺农村商业银行股份有限公司2024年度流动性风险管理专项审计报告》《安顺农村商业银行股份有限公司2024年消费者权益保护工作审计报告》《安顺农村商业银行股份有限公司2024年度第三季度大额贷款情况报告》6项报告；会议审议通过了关于安顺农村商业银行股份有限公司一般风险准备转为未分配利润情况报告的议案》《关于提名郑小龙为安顺农村商业银行股份有限公司第二届董事会董事职务的议案》《关于安顺农村商业银行股份有限公司“三重一大”决策制度实施办法的议案》《关于安顺农村商业银行股份有限公司“决策主体权责清单”的议案》《关于安顺农村商业银行股份有限公司董事会议事规则的议案》《关于安顺农村商业银行股份有限公司股东大会议事规则的议案》《安顺农村商业银行股份有限公司关于支付营业办公综合楼尾款事宜的议案》7项议案。</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12月17日召开安顺农村商业银行股份有限公司第二届董事会第三十次次会议，会议审议通过了《关于推荐郑小龙为安顺农村商业银行股份有限公司第二届董事会副董事长职务的议案》《安顺农村商业银行股份有限公司2024年薪酬管理办法》《安顺农村商业银行股份有限公司补充医疗保险管理办法》《安顺农村商业银行股份有限公司企业年金实施细则》《关于彭婷不再担任安顺农村商业银行股份有限公司副行长职务的议案》《关于杨全灏不再担任安顺农村商业银行股份有限公司副行长职务的议案》《关于安顺农村商业银行股份有限公司第二批次（2024001号）不良贷款债权资产包批量转让方案的议案》《安顺农商银行关于国有资产管理公司开展结构化交易模式批量债权转让工作方案》9项议案。</w:t>
      </w:r>
    </w:p>
    <w:p>
      <w:pPr>
        <w:spacing w:line="520" w:lineRule="exact"/>
        <w:ind w:firstLine="480" w:firstLineChars="200"/>
        <w:rPr>
          <w:rFonts w:hint="default" w:ascii="Arial Narrow" w:hAnsi="Arial Narrow"/>
          <w:color w:val="auto"/>
          <w:sz w:val="24"/>
          <w:highlight w:val="none"/>
          <w:lang w:val="en-US" w:eastAsia="zh-CN"/>
        </w:rPr>
      </w:pPr>
      <w:r>
        <w:rPr>
          <w:rFonts w:hint="eastAsia" w:ascii="Arial Narrow" w:hAnsi="Arial Narrow"/>
          <w:color w:val="auto"/>
          <w:sz w:val="24"/>
          <w:highlight w:val="none"/>
          <w:lang w:val="en-US" w:eastAsia="zh-CN"/>
        </w:rPr>
        <w:t>2024年12月23日召开安顺农村商业银行股份有限公司第二届董事会第三十一次会议，会议审议通过了《安顺市国有资本运营有限责任公司贷款关联交易报告》《安顺农村商业银行股份有限公司2024年绩效薪酬考核分配方案》2项议案。</w:t>
      </w:r>
    </w:p>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15.2安顺农村商业银行管理层情况</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单位负责人：江弘</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监事长：张芹</w:t>
      </w:r>
    </w:p>
    <w:p>
      <w:pPr>
        <w:spacing w:line="480" w:lineRule="exact"/>
        <w:ind w:firstLine="480" w:firstLineChars="200"/>
        <w:rPr>
          <w:rFonts w:hint="eastAsia" w:ascii="Arial Narrow" w:hAnsi="Arial Narrow"/>
          <w:color w:val="auto"/>
          <w:sz w:val="24"/>
          <w:highlight w:val="none"/>
          <w:lang w:eastAsia="zh-CN"/>
        </w:rPr>
      </w:pPr>
      <w:r>
        <w:rPr>
          <w:rFonts w:hint="eastAsia" w:ascii="Arial Narrow" w:hAnsi="Arial Narrow"/>
          <w:color w:val="auto"/>
          <w:sz w:val="24"/>
          <w:highlight w:val="none"/>
        </w:rPr>
        <w:t>副行长：陈优凯</w:t>
      </w:r>
    </w:p>
    <w:p>
      <w:pPr>
        <w:spacing w:line="480" w:lineRule="exact"/>
        <w:ind w:firstLine="480" w:firstLineChars="200"/>
        <w:rPr>
          <w:rFonts w:ascii="Arial Narrow" w:hAnsi="Arial Narrow"/>
          <w:color w:val="auto"/>
          <w:sz w:val="24"/>
          <w:highlight w:val="none"/>
        </w:rPr>
      </w:pPr>
      <w:r>
        <w:rPr>
          <w:rFonts w:hint="eastAsia" w:ascii="Arial Narrow" w:hAnsi="Arial Narrow"/>
          <w:color w:val="auto"/>
          <w:sz w:val="24"/>
          <w:highlight w:val="none"/>
        </w:rPr>
        <w:t>风险总监：蔡成</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工会主席：陈绍亨</w:t>
      </w:r>
    </w:p>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15.3员工结构基本情况：</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截至2024年12月31日，本行在册员工</w:t>
      </w:r>
      <w:r>
        <w:rPr>
          <w:rFonts w:hint="eastAsia" w:ascii="Arial Narrow" w:hAnsi="Arial Narrow"/>
          <w:color w:val="auto"/>
          <w:sz w:val="24"/>
          <w:highlight w:val="none"/>
          <w:lang w:val="en-US" w:eastAsia="zh-CN"/>
        </w:rPr>
        <w:t>509</w:t>
      </w:r>
      <w:r>
        <w:rPr>
          <w:rFonts w:hint="eastAsia" w:ascii="Arial Narrow" w:hAnsi="Arial Narrow"/>
          <w:color w:val="auto"/>
          <w:sz w:val="24"/>
          <w:highlight w:val="none"/>
        </w:rPr>
        <w:t>人（内退</w:t>
      </w:r>
      <w:r>
        <w:rPr>
          <w:rFonts w:hint="eastAsia" w:ascii="Arial Narrow" w:hAnsi="Arial Narrow"/>
          <w:color w:val="auto"/>
          <w:sz w:val="24"/>
          <w:highlight w:val="none"/>
          <w:lang w:val="en-US" w:eastAsia="zh-CN"/>
        </w:rPr>
        <w:t>81</w:t>
      </w:r>
      <w:r>
        <w:rPr>
          <w:rFonts w:hint="eastAsia" w:ascii="Arial Narrow" w:hAnsi="Arial Narrow"/>
          <w:color w:val="auto"/>
          <w:sz w:val="24"/>
          <w:highlight w:val="none"/>
        </w:rPr>
        <w:t>人），比上年减少3</w:t>
      </w:r>
      <w:r>
        <w:rPr>
          <w:rFonts w:hint="eastAsia" w:ascii="Arial Narrow" w:hAnsi="Arial Narrow"/>
          <w:color w:val="auto"/>
          <w:sz w:val="24"/>
          <w:highlight w:val="none"/>
          <w:lang w:val="en-US" w:eastAsia="zh-CN"/>
        </w:rPr>
        <w:t>0</w:t>
      </w:r>
      <w:r>
        <w:rPr>
          <w:rFonts w:hint="eastAsia" w:ascii="Arial Narrow" w:hAnsi="Arial Narrow"/>
          <w:color w:val="auto"/>
          <w:sz w:val="24"/>
          <w:highlight w:val="none"/>
        </w:rPr>
        <w:t>人；社会招聘</w:t>
      </w:r>
      <w:r>
        <w:rPr>
          <w:rFonts w:hint="eastAsia" w:ascii="Arial Narrow" w:hAnsi="Arial Narrow"/>
          <w:color w:val="auto"/>
          <w:sz w:val="24"/>
          <w:highlight w:val="none"/>
          <w:lang w:val="en-US" w:eastAsia="zh-CN"/>
        </w:rPr>
        <w:t>6</w:t>
      </w:r>
      <w:r>
        <w:rPr>
          <w:rFonts w:hint="eastAsia" w:ascii="Arial Narrow" w:hAnsi="Arial Narrow"/>
          <w:color w:val="auto"/>
          <w:sz w:val="24"/>
          <w:highlight w:val="none"/>
        </w:rPr>
        <w:t>人，内部系统调入0人，外部系统调入0人；解除劳动合同</w:t>
      </w:r>
      <w:r>
        <w:rPr>
          <w:rFonts w:hint="eastAsia" w:ascii="Arial Narrow" w:hAnsi="Arial Narrow"/>
          <w:color w:val="auto"/>
          <w:sz w:val="24"/>
          <w:highlight w:val="none"/>
          <w:lang w:val="en-US" w:eastAsia="zh-CN"/>
        </w:rPr>
        <w:t>14</w:t>
      </w:r>
      <w:r>
        <w:rPr>
          <w:rFonts w:hint="eastAsia" w:ascii="Arial Narrow" w:hAnsi="Arial Narrow"/>
          <w:color w:val="auto"/>
          <w:sz w:val="24"/>
          <w:highlight w:val="none"/>
        </w:rPr>
        <w:t>人，正式退休</w:t>
      </w:r>
      <w:r>
        <w:rPr>
          <w:rFonts w:hint="eastAsia" w:ascii="Arial Narrow" w:hAnsi="Arial Narrow"/>
          <w:color w:val="auto"/>
          <w:sz w:val="24"/>
          <w:highlight w:val="none"/>
          <w:lang w:val="en-US" w:eastAsia="zh-CN"/>
        </w:rPr>
        <w:t>19</w:t>
      </w:r>
      <w:r>
        <w:rPr>
          <w:rFonts w:hint="eastAsia" w:ascii="Arial Narrow" w:hAnsi="Arial Narrow"/>
          <w:color w:val="auto"/>
          <w:sz w:val="24"/>
          <w:highlight w:val="none"/>
        </w:rPr>
        <w:t>人，内部系统调出</w:t>
      </w:r>
      <w:r>
        <w:rPr>
          <w:rFonts w:hint="eastAsia" w:ascii="Arial Narrow" w:hAnsi="Arial Narrow"/>
          <w:color w:val="auto"/>
          <w:sz w:val="24"/>
          <w:highlight w:val="none"/>
          <w:lang w:val="en-US" w:eastAsia="zh-CN"/>
        </w:rPr>
        <w:t>0</w:t>
      </w:r>
      <w:r>
        <w:rPr>
          <w:rFonts w:hint="eastAsia" w:ascii="Arial Narrow" w:hAnsi="Arial Narrow"/>
          <w:color w:val="auto"/>
          <w:sz w:val="24"/>
          <w:highlight w:val="none"/>
        </w:rPr>
        <w:t>人，过世</w:t>
      </w:r>
      <w:r>
        <w:rPr>
          <w:rFonts w:hint="eastAsia" w:ascii="Arial Narrow" w:hAnsi="Arial Narrow"/>
          <w:color w:val="auto"/>
          <w:sz w:val="24"/>
          <w:highlight w:val="none"/>
          <w:lang w:val="en-US" w:eastAsia="zh-CN"/>
        </w:rPr>
        <w:t>1</w:t>
      </w:r>
      <w:r>
        <w:rPr>
          <w:rFonts w:hint="eastAsia" w:ascii="Arial Narrow" w:hAnsi="Arial Narrow"/>
          <w:color w:val="auto"/>
          <w:sz w:val="24"/>
          <w:highlight w:val="none"/>
        </w:rPr>
        <w:t>人。女员工</w:t>
      </w:r>
      <w:r>
        <w:rPr>
          <w:rFonts w:hint="eastAsia" w:ascii="Arial Narrow" w:hAnsi="Arial Narrow"/>
          <w:color w:val="auto"/>
          <w:sz w:val="24"/>
          <w:highlight w:val="none"/>
          <w:lang w:val="en-US" w:eastAsia="zh-CN"/>
        </w:rPr>
        <w:t>285</w:t>
      </w:r>
      <w:r>
        <w:rPr>
          <w:rFonts w:hint="eastAsia" w:ascii="Arial Narrow" w:hAnsi="Arial Narrow"/>
          <w:color w:val="auto"/>
          <w:sz w:val="24"/>
          <w:highlight w:val="none"/>
        </w:rPr>
        <w:t>人，男员工2</w:t>
      </w:r>
      <w:r>
        <w:rPr>
          <w:rFonts w:hint="eastAsia" w:ascii="Arial Narrow" w:hAnsi="Arial Narrow"/>
          <w:color w:val="auto"/>
          <w:sz w:val="24"/>
          <w:highlight w:val="none"/>
          <w:lang w:val="en-US" w:eastAsia="zh-CN"/>
        </w:rPr>
        <w:t>24</w:t>
      </w:r>
      <w:r>
        <w:rPr>
          <w:rFonts w:hint="eastAsia" w:ascii="Arial Narrow" w:hAnsi="Arial Narrow"/>
          <w:color w:val="auto"/>
          <w:sz w:val="24"/>
          <w:highlight w:val="none"/>
        </w:rPr>
        <w:t>人；研究生学历1</w:t>
      </w:r>
      <w:r>
        <w:rPr>
          <w:rFonts w:hint="eastAsia" w:ascii="Arial Narrow" w:hAnsi="Arial Narrow"/>
          <w:color w:val="auto"/>
          <w:sz w:val="24"/>
          <w:highlight w:val="none"/>
          <w:lang w:val="en-US" w:eastAsia="zh-CN"/>
        </w:rPr>
        <w:t>6</w:t>
      </w:r>
      <w:r>
        <w:rPr>
          <w:rFonts w:hint="eastAsia" w:ascii="Arial Narrow" w:hAnsi="Arial Narrow"/>
          <w:color w:val="auto"/>
          <w:sz w:val="24"/>
          <w:highlight w:val="none"/>
        </w:rPr>
        <w:t>人，本科学历3</w:t>
      </w:r>
      <w:r>
        <w:rPr>
          <w:rFonts w:hint="eastAsia" w:ascii="Arial Narrow" w:hAnsi="Arial Narrow"/>
          <w:color w:val="auto"/>
          <w:sz w:val="24"/>
          <w:highlight w:val="none"/>
          <w:lang w:val="en-US" w:eastAsia="zh-CN"/>
        </w:rPr>
        <w:t>54</w:t>
      </w:r>
      <w:r>
        <w:rPr>
          <w:rFonts w:hint="eastAsia" w:ascii="Arial Narrow" w:hAnsi="Arial Narrow"/>
          <w:color w:val="auto"/>
          <w:sz w:val="24"/>
          <w:highlight w:val="none"/>
        </w:rPr>
        <w:t>人，大专学历</w:t>
      </w:r>
      <w:r>
        <w:rPr>
          <w:rFonts w:hint="eastAsia" w:ascii="Arial Narrow" w:hAnsi="Arial Narrow"/>
          <w:color w:val="auto"/>
          <w:sz w:val="24"/>
          <w:highlight w:val="none"/>
          <w:lang w:val="en-US" w:eastAsia="zh-CN"/>
        </w:rPr>
        <w:t>118</w:t>
      </w:r>
      <w:r>
        <w:rPr>
          <w:rFonts w:hint="eastAsia" w:ascii="Arial Narrow" w:hAnsi="Arial Narrow"/>
          <w:color w:val="auto"/>
          <w:sz w:val="24"/>
          <w:highlight w:val="none"/>
        </w:rPr>
        <w:t>人，中专学历1</w:t>
      </w:r>
      <w:r>
        <w:rPr>
          <w:rFonts w:hint="eastAsia" w:ascii="Arial Narrow" w:hAnsi="Arial Narrow"/>
          <w:color w:val="auto"/>
          <w:sz w:val="24"/>
          <w:highlight w:val="none"/>
          <w:lang w:val="en-US" w:eastAsia="zh-CN"/>
        </w:rPr>
        <w:t>0</w:t>
      </w:r>
      <w:r>
        <w:rPr>
          <w:rFonts w:hint="eastAsia" w:ascii="Arial Narrow" w:hAnsi="Arial Narrow"/>
          <w:color w:val="auto"/>
          <w:sz w:val="24"/>
          <w:highlight w:val="none"/>
        </w:rPr>
        <w:t>人，高中以下学历1</w:t>
      </w:r>
      <w:r>
        <w:rPr>
          <w:rFonts w:hint="eastAsia" w:ascii="Arial Narrow" w:hAnsi="Arial Narrow"/>
          <w:color w:val="auto"/>
          <w:sz w:val="24"/>
          <w:highlight w:val="none"/>
          <w:lang w:val="en-US" w:eastAsia="zh-CN"/>
        </w:rPr>
        <w:t>1</w:t>
      </w:r>
      <w:r>
        <w:rPr>
          <w:rFonts w:hint="eastAsia" w:ascii="Arial Narrow" w:hAnsi="Arial Narrow"/>
          <w:color w:val="auto"/>
          <w:sz w:val="24"/>
          <w:highlight w:val="none"/>
        </w:rPr>
        <w:t>人；35岁以下人员</w:t>
      </w:r>
      <w:r>
        <w:rPr>
          <w:rFonts w:hint="eastAsia" w:ascii="Arial Narrow" w:hAnsi="Arial Narrow"/>
          <w:color w:val="auto"/>
          <w:sz w:val="24"/>
          <w:highlight w:val="none"/>
          <w:lang w:val="en-US" w:eastAsia="zh-CN"/>
        </w:rPr>
        <w:t>157</w:t>
      </w:r>
      <w:r>
        <w:rPr>
          <w:rFonts w:hint="eastAsia" w:ascii="Arial Narrow" w:hAnsi="Arial Narrow"/>
          <w:color w:val="auto"/>
          <w:sz w:val="24"/>
          <w:highlight w:val="none"/>
        </w:rPr>
        <w:t>人，36岁至45岁</w:t>
      </w:r>
      <w:r>
        <w:rPr>
          <w:rFonts w:hint="eastAsia" w:ascii="Arial Narrow" w:hAnsi="Arial Narrow"/>
          <w:color w:val="auto"/>
          <w:sz w:val="24"/>
          <w:highlight w:val="none"/>
          <w:lang w:val="en-US" w:eastAsia="zh-CN"/>
        </w:rPr>
        <w:t>183</w:t>
      </w:r>
      <w:r>
        <w:rPr>
          <w:rFonts w:hint="eastAsia" w:ascii="Arial Narrow" w:hAnsi="Arial Narrow"/>
          <w:color w:val="auto"/>
          <w:sz w:val="24"/>
          <w:highlight w:val="none"/>
        </w:rPr>
        <w:t>人，46岁至55岁</w:t>
      </w:r>
      <w:r>
        <w:rPr>
          <w:rFonts w:hint="eastAsia" w:ascii="Arial Narrow" w:hAnsi="Arial Narrow"/>
          <w:color w:val="auto"/>
          <w:sz w:val="24"/>
          <w:highlight w:val="none"/>
          <w:lang w:val="en-US" w:eastAsia="zh-CN"/>
        </w:rPr>
        <w:t>148</w:t>
      </w:r>
      <w:r>
        <w:rPr>
          <w:rFonts w:hint="eastAsia" w:ascii="Arial Narrow" w:hAnsi="Arial Narrow"/>
          <w:color w:val="auto"/>
          <w:sz w:val="24"/>
          <w:highlight w:val="none"/>
        </w:rPr>
        <w:t>人，56岁以上</w:t>
      </w:r>
      <w:r>
        <w:rPr>
          <w:rFonts w:hint="eastAsia" w:ascii="Arial Narrow" w:hAnsi="Arial Narrow"/>
          <w:color w:val="auto"/>
          <w:sz w:val="24"/>
          <w:highlight w:val="none"/>
          <w:lang w:val="en-US" w:eastAsia="zh-CN"/>
        </w:rPr>
        <w:t>21</w:t>
      </w:r>
      <w:r>
        <w:rPr>
          <w:rFonts w:hint="eastAsia" w:ascii="Arial Narrow" w:hAnsi="Arial Narrow"/>
          <w:color w:val="auto"/>
          <w:sz w:val="24"/>
          <w:highlight w:val="none"/>
        </w:rPr>
        <w:t>人；高级职称</w:t>
      </w:r>
      <w:r>
        <w:rPr>
          <w:rFonts w:hint="eastAsia" w:ascii="Arial Narrow" w:hAnsi="Arial Narrow"/>
          <w:color w:val="auto"/>
          <w:sz w:val="24"/>
          <w:highlight w:val="none"/>
          <w:lang w:val="en-US" w:eastAsia="zh-CN"/>
        </w:rPr>
        <w:t>2</w:t>
      </w:r>
      <w:r>
        <w:rPr>
          <w:rFonts w:hint="eastAsia" w:ascii="Arial Narrow" w:hAnsi="Arial Narrow"/>
          <w:color w:val="auto"/>
          <w:sz w:val="24"/>
          <w:highlight w:val="none"/>
        </w:rPr>
        <w:t>人，中级职称</w:t>
      </w:r>
      <w:r>
        <w:rPr>
          <w:rFonts w:hint="eastAsia" w:ascii="Arial Narrow" w:hAnsi="Arial Narrow"/>
          <w:color w:val="auto"/>
          <w:sz w:val="24"/>
          <w:highlight w:val="none"/>
          <w:lang w:val="en-US" w:eastAsia="zh-CN"/>
        </w:rPr>
        <w:t>27</w:t>
      </w:r>
      <w:r>
        <w:rPr>
          <w:rFonts w:hint="eastAsia" w:ascii="Arial Narrow" w:hAnsi="Arial Narrow"/>
          <w:color w:val="auto"/>
          <w:sz w:val="24"/>
          <w:highlight w:val="none"/>
        </w:rPr>
        <w:t>人，初级职称</w:t>
      </w:r>
      <w:r>
        <w:rPr>
          <w:rFonts w:hint="eastAsia" w:ascii="Arial Narrow" w:hAnsi="Arial Narrow"/>
          <w:color w:val="auto"/>
          <w:sz w:val="24"/>
          <w:highlight w:val="none"/>
          <w:lang w:val="en-US" w:eastAsia="zh-CN"/>
        </w:rPr>
        <w:t>39</w:t>
      </w:r>
      <w:r>
        <w:rPr>
          <w:rFonts w:hint="eastAsia" w:ascii="Arial Narrow" w:hAnsi="Arial Narrow"/>
          <w:color w:val="auto"/>
          <w:sz w:val="24"/>
          <w:highlight w:val="none"/>
        </w:rPr>
        <w:t>人。劳务派遣员工</w:t>
      </w:r>
      <w:r>
        <w:rPr>
          <w:rFonts w:hint="eastAsia" w:ascii="Arial Narrow" w:hAnsi="Arial Narrow"/>
          <w:color w:val="auto"/>
          <w:sz w:val="24"/>
          <w:highlight w:val="none"/>
          <w:lang w:val="en-US" w:eastAsia="zh-CN"/>
        </w:rPr>
        <w:t>0</w:t>
      </w:r>
      <w:r>
        <w:rPr>
          <w:rFonts w:hint="eastAsia" w:ascii="Arial Narrow" w:hAnsi="Arial Narrow"/>
          <w:color w:val="auto"/>
          <w:sz w:val="24"/>
          <w:highlight w:val="none"/>
        </w:rPr>
        <w:t>人，比上年减</w:t>
      </w:r>
      <w:r>
        <w:rPr>
          <w:rFonts w:hint="eastAsia" w:ascii="Arial Narrow" w:hAnsi="Arial Narrow"/>
          <w:color w:val="auto"/>
          <w:sz w:val="24"/>
          <w:highlight w:val="none"/>
          <w:lang w:val="en-US" w:eastAsia="zh-CN"/>
        </w:rPr>
        <w:t>3人</w:t>
      </w:r>
      <w:r>
        <w:rPr>
          <w:rFonts w:hint="eastAsia" w:ascii="Arial Narrow" w:hAnsi="Arial Narrow"/>
          <w:color w:val="auto"/>
          <w:sz w:val="24"/>
          <w:highlight w:val="none"/>
        </w:rPr>
        <w:t>。</w:t>
      </w:r>
    </w:p>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15.4公司部门及分支机构设置情况：</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截至2024年12月31日，本行内设11个部室，</w:t>
      </w:r>
      <w:r>
        <w:rPr>
          <w:rFonts w:hint="eastAsia" w:ascii="Arial Narrow" w:hAnsi="Arial Narrow"/>
          <w:color w:val="auto"/>
          <w:sz w:val="24"/>
          <w:highlight w:val="none"/>
          <w:lang w:val="en-US" w:eastAsia="zh-CN"/>
        </w:rPr>
        <w:t>36</w:t>
      </w:r>
      <w:r>
        <w:rPr>
          <w:rFonts w:hint="eastAsia" w:ascii="Arial Narrow" w:hAnsi="Arial Narrow"/>
          <w:color w:val="auto"/>
          <w:sz w:val="24"/>
          <w:highlight w:val="none"/>
        </w:rPr>
        <w:t>家基层网点。</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11个部室分别为业务发展部、农村金融部、金融市场部、计划财务部、合规与风险管理部、稽核审计部、安全保卫部、办公室、党委办公室、人力资源部、纪律检查室。</w:t>
      </w:r>
    </w:p>
    <w:p>
      <w:pPr>
        <w:spacing w:line="48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3</w:t>
      </w:r>
      <w:r>
        <w:rPr>
          <w:rFonts w:hint="eastAsia" w:ascii="Arial Narrow" w:hAnsi="Arial Narrow"/>
          <w:color w:val="auto"/>
          <w:sz w:val="24"/>
          <w:highlight w:val="none"/>
          <w:lang w:val="en-US" w:eastAsia="zh-CN"/>
        </w:rPr>
        <w:t>6</w:t>
      </w:r>
      <w:r>
        <w:rPr>
          <w:rFonts w:hint="eastAsia" w:ascii="Arial Narrow" w:hAnsi="Arial Narrow"/>
          <w:color w:val="auto"/>
          <w:sz w:val="24"/>
          <w:highlight w:val="none"/>
        </w:rPr>
        <w:t>家基层网点分别为：营业部、东关支行、黄果树支行、小十字支行、华西支行、北关支行、西秀产业园区支行、若飞支行、西山支行、塔东支行、驼宝山支行、开发区支行、武当山支行、西航支行、虹轴支行、市府支行、南马支行、旧州支行、东屯支行、杨武支行、双堡支行、鸡场支行、岩腊支行、宁谷支行、新城支行、新场支行、龙宫支行、幺铺支行、小屯支行、宋旗支行、刘官支行、黄腊支行、蔡官支行、轿子山支行、大西桥支行、七眼桥支行。</w:t>
      </w:r>
    </w:p>
    <w:p>
      <w:pPr>
        <w:spacing w:line="520" w:lineRule="exact"/>
        <w:ind w:firstLine="482" w:firstLineChars="200"/>
        <w:outlineLvl w:val="0"/>
        <w:rPr>
          <w:rFonts w:hint="eastAsia" w:ascii="Arial Narrow" w:hAnsi="Arial Narrow"/>
          <w:b/>
          <w:bCs/>
          <w:color w:val="auto"/>
          <w:sz w:val="24"/>
          <w:highlight w:val="none"/>
        </w:rPr>
      </w:pPr>
      <w:r>
        <w:rPr>
          <w:rFonts w:hint="eastAsia" w:ascii="Arial Narrow" w:hAnsi="Arial Narrow"/>
          <w:b/>
          <w:bCs/>
          <w:color w:val="auto"/>
          <w:sz w:val="24"/>
          <w:highlight w:val="none"/>
        </w:rPr>
        <w:t>十六、本年度重要事项</w:t>
      </w:r>
    </w:p>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16.1最大十名股东名称及报告期内变动情况：本行股东报告期</w:t>
      </w:r>
      <w:r>
        <w:rPr>
          <w:rFonts w:hint="eastAsia" w:ascii="Arial Narrow" w:hAnsi="Arial Narrow"/>
          <w:b/>
          <w:bCs/>
          <w:color w:val="auto"/>
          <w:sz w:val="24"/>
          <w:highlight w:val="none"/>
          <w:lang w:eastAsia="zh-CN"/>
        </w:rPr>
        <w:t>有所变动</w:t>
      </w:r>
      <w:r>
        <w:rPr>
          <w:rFonts w:hint="eastAsia" w:ascii="Arial Narrow" w:hAnsi="Arial Narrow"/>
          <w:b/>
          <w:bCs/>
          <w:color w:val="auto"/>
          <w:sz w:val="24"/>
          <w:highlight w:val="none"/>
        </w:rPr>
        <w:t>，最大十名股东情况如下：</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 xml:space="preserve">截至2024年12月31日，本行最大十名股东情况如下：                                    </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 xml:space="preserve">                                                      金额单位：元</w:t>
      </w:r>
    </w:p>
    <w:tbl>
      <w:tblPr>
        <w:tblStyle w:val="12"/>
        <w:tblW w:w="93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76"/>
        <w:gridCol w:w="3375"/>
        <w:gridCol w:w="1908"/>
        <w:gridCol w:w="1908"/>
        <w:gridCol w:w="13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2" w:hRule="atLeast"/>
          <w:tblHeader/>
          <w:jc w:val="center"/>
        </w:trPr>
        <w:tc>
          <w:tcPr>
            <w:tcW w:w="776"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序号</w:t>
            </w:r>
          </w:p>
        </w:tc>
        <w:tc>
          <w:tcPr>
            <w:tcW w:w="3375"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名称</w:t>
            </w:r>
          </w:p>
        </w:tc>
        <w:tc>
          <w:tcPr>
            <w:tcW w:w="1908"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投资股</w:t>
            </w:r>
          </w:p>
        </w:tc>
        <w:tc>
          <w:tcPr>
            <w:tcW w:w="1908"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股金合计</w:t>
            </w:r>
          </w:p>
        </w:tc>
        <w:tc>
          <w:tcPr>
            <w:tcW w:w="1355"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所占比例%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1</w:t>
            </w:r>
          </w:p>
        </w:tc>
        <w:tc>
          <w:tcPr>
            <w:tcW w:w="3375" w:type="dxa"/>
            <w:noWrap w:val="0"/>
            <w:vAlign w:val="top"/>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安顺永峰煤焦集团有限公司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33,074,752.00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33,074,752.00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9.06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2</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贵州顺健制药有限公司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25,262,268.00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25,262,268.00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6.92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3</w:t>
            </w:r>
          </w:p>
        </w:tc>
        <w:tc>
          <w:tcPr>
            <w:tcW w:w="3375" w:type="dxa"/>
            <w:noWrap w:val="0"/>
            <w:vAlign w:val="center"/>
          </w:tcPr>
          <w:p>
            <w:pPr>
              <w:spacing w:line="360" w:lineRule="auto"/>
              <w:jc w:val="left"/>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eastAsia="zh-CN"/>
              </w:rPr>
              <w:t>安顺市资产运营有限公司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23,095,301.00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23,095,301.00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6.33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4</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贵州乌江水电成套设备有限公司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21,669,665.00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21,669,665.00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5.94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5</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安顺市供水总公司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18,248,139.00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18,248,139.00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6</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安顺市公共交通总公司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17,107,630.00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17,107,630.00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4.69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7</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安顺天瑞房地产开发有限责任公司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17,107,630.00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17,107,630.00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4.69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8</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贵州安顺银城房地产开发有限公司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15,396,867.00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15,396,867.00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4.22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9</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贵州省安顺汽车运输公司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11,405,087.00</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11,405,087.00</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3.13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10</w:t>
            </w:r>
          </w:p>
        </w:tc>
        <w:tc>
          <w:tcPr>
            <w:tcW w:w="3375" w:type="dxa"/>
            <w:noWrap w:val="0"/>
            <w:vAlign w:val="center"/>
          </w:tcPr>
          <w:p>
            <w:pPr>
              <w:spacing w:line="360" w:lineRule="auto"/>
              <w:jc w:val="left"/>
              <w:rPr>
                <w:rFonts w:hint="eastAsia" w:ascii="宋体" w:hAnsi="宋体" w:cs="宋体"/>
                <w:color w:val="auto"/>
                <w:sz w:val="20"/>
                <w:szCs w:val="20"/>
                <w:highlight w:val="none"/>
              </w:rPr>
            </w:pPr>
            <w:r>
              <w:rPr>
                <w:rFonts w:hint="eastAsia" w:ascii="宋体" w:hAnsi="宋体" w:cs="宋体"/>
                <w:color w:val="auto"/>
                <w:sz w:val="20"/>
                <w:szCs w:val="20"/>
                <w:highlight w:val="none"/>
              </w:rPr>
              <w:t>贵州家喻集团汽车服务有限公司</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xml:space="preserve">8,553,815.00 </w:t>
            </w:r>
          </w:p>
        </w:tc>
        <w:tc>
          <w:tcPr>
            <w:tcW w:w="1908" w:type="dxa"/>
            <w:noWrap w:val="0"/>
            <w:vAlign w:val="center"/>
          </w:tcPr>
          <w:p>
            <w:pPr>
              <w:spacing w:line="360" w:lineRule="auto"/>
              <w:jc w:val="right"/>
              <w:rPr>
                <w:rFonts w:hint="eastAsia" w:ascii="宋体" w:hAnsi="宋体" w:cs="宋体"/>
                <w:color w:val="auto"/>
                <w:sz w:val="20"/>
                <w:szCs w:val="20"/>
                <w:highlight w:val="none"/>
              </w:rPr>
            </w:pPr>
            <w:r>
              <w:rPr>
                <w:rFonts w:hint="eastAsia" w:ascii="宋体" w:hAnsi="宋体" w:cs="宋体"/>
                <w:color w:val="auto"/>
                <w:sz w:val="20"/>
                <w:szCs w:val="20"/>
                <w:highlight w:val="none"/>
              </w:rPr>
              <w:t xml:space="preserve">8,553,815.00 </w:t>
            </w:r>
          </w:p>
        </w:tc>
        <w:tc>
          <w:tcPr>
            <w:tcW w:w="1355" w:type="dxa"/>
            <w:noWrap w:val="0"/>
            <w:vAlign w:val="center"/>
          </w:tcPr>
          <w:p>
            <w:pPr>
              <w:spacing w:line="360"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2.34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76" w:type="dxa"/>
            <w:noWrap w:val="0"/>
            <w:vAlign w:val="center"/>
          </w:tcPr>
          <w:p>
            <w:pPr>
              <w:spacing w:line="360" w:lineRule="auto"/>
              <w:jc w:val="center"/>
              <w:rPr>
                <w:rFonts w:hint="eastAsia" w:ascii="宋体" w:hAnsi="宋体" w:cs="宋体"/>
                <w:b/>
                <w:color w:val="auto"/>
                <w:sz w:val="20"/>
                <w:szCs w:val="20"/>
                <w:highlight w:val="none"/>
              </w:rPr>
            </w:pPr>
            <w:r>
              <w:rPr>
                <w:rFonts w:hint="eastAsia" w:ascii="宋体" w:hAnsi="宋体" w:cs="宋体"/>
                <w:b/>
                <w:color w:val="auto"/>
                <w:sz w:val="20"/>
                <w:szCs w:val="20"/>
                <w:highlight w:val="none"/>
              </w:rPr>
              <w:t>合 计</w:t>
            </w:r>
          </w:p>
        </w:tc>
        <w:tc>
          <w:tcPr>
            <w:tcW w:w="3375" w:type="dxa"/>
            <w:noWrap w:val="0"/>
            <w:vAlign w:val="center"/>
          </w:tcPr>
          <w:p>
            <w:pPr>
              <w:widowControl/>
              <w:spacing w:line="360" w:lineRule="auto"/>
              <w:jc w:val="left"/>
              <w:textAlignment w:val="center"/>
              <w:rPr>
                <w:rFonts w:hint="eastAsia" w:ascii="宋体" w:hAnsi="宋体" w:cs="宋体"/>
                <w:b/>
                <w:bCs/>
                <w:color w:val="auto"/>
                <w:sz w:val="20"/>
                <w:szCs w:val="20"/>
                <w:highlight w:val="none"/>
              </w:rPr>
            </w:pPr>
          </w:p>
        </w:tc>
        <w:tc>
          <w:tcPr>
            <w:tcW w:w="1908" w:type="dxa"/>
            <w:noWrap w:val="0"/>
            <w:vAlign w:val="top"/>
          </w:tcPr>
          <w:p>
            <w:pPr>
              <w:spacing w:line="360" w:lineRule="auto"/>
              <w:jc w:val="right"/>
              <w:rPr>
                <w:rFonts w:hint="eastAsia" w:ascii="宋体" w:hAnsi="宋体" w:cs="宋体"/>
                <w:b/>
                <w:bCs/>
                <w:color w:val="auto"/>
                <w:sz w:val="20"/>
                <w:szCs w:val="20"/>
                <w:highlight w:val="none"/>
              </w:rPr>
            </w:pPr>
            <w:r>
              <w:rPr>
                <w:rFonts w:hint="eastAsia" w:ascii="宋体" w:hAnsi="宋体" w:cs="宋体"/>
                <w:b/>
                <w:bCs/>
                <w:color w:val="auto"/>
                <w:spacing w:val="8"/>
                <w:kern w:val="0"/>
                <w:sz w:val="20"/>
                <w:szCs w:val="20"/>
                <w:highlight w:val="none"/>
              </w:rPr>
              <w:t>190,921,154.00</w:t>
            </w:r>
          </w:p>
        </w:tc>
        <w:tc>
          <w:tcPr>
            <w:tcW w:w="1908" w:type="dxa"/>
            <w:noWrap w:val="0"/>
            <w:vAlign w:val="top"/>
          </w:tcPr>
          <w:p>
            <w:pPr>
              <w:spacing w:line="360" w:lineRule="auto"/>
              <w:jc w:val="right"/>
              <w:rPr>
                <w:rFonts w:hint="eastAsia" w:ascii="宋体" w:hAnsi="宋体" w:cs="宋体"/>
                <w:b/>
                <w:bCs/>
                <w:color w:val="auto"/>
                <w:sz w:val="20"/>
                <w:szCs w:val="20"/>
                <w:highlight w:val="none"/>
              </w:rPr>
            </w:pPr>
            <w:r>
              <w:rPr>
                <w:rFonts w:hint="eastAsia" w:ascii="宋体" w:hAnsi="宋体" w:cs="宋体"/>
                <w:b/>
                <w:bCs/>
                <w:color w:val="auto"/>
                <w:spacing w:val="8"/>
                <w:kern w:val="0"/>
                <w:sz w:val="20"/>
                <w:szCs w:val="20"/>
                <w:highlight w:val="none"/>
              </w:rPr>
              <w:t>190,921,154.00</w:t>
            </w:r>
          </w:p>
        </w:tc>
        <w:tc>
          <w:tcPr>
            <w:tcW w:w="1355" w:type="dxa"/>
            <w:noWrap w:val="0"/>
            <w:vAlign w:val="top"/>
          </w:tcPr>
          <w:p>
            <w:pPr>
              <w:spacing w:line="360" w:lineRule="auto"/>
              <w:jc w:val="center"/>
              <w:rPr>
                <w:rFonts w:hint="eastAsia" w:ascii="宋体" w:hAnsi="宋体" w:cs="宋体"/>
                <w:b/>
                <w:bCs/>
                <w:color w:val="auto"/>
                <w:sz w:val="20"/>
                <w:szCs w:val="20"/>
                <w:highlight w:val="none"/>
              </w:rPr>
            </w:pPr>
            <w:r>
              <w:rPr>
                <w:rFonts w:hint="eastAsia" w:ascii="宋体" w:hAnsi="宋体" w:cs="宋体"/>
                <w:b/>
                <w:bCs/>
                <w:color w:val="auto"/>
                <w:spacing w:val="8"/>
                <w:kern w:val="0"/>
                <w:sz w:val="20"/>
                <w:szCs w:val="20"/>
                <w:highlight w:val="none"/>
              </w:rPr>
              <w:t>52.32</w:t>
            </w:r>
          </w:p>
        </w:tc>
      </w:tr>
    </w:tbl>
    <w:p>
      <w:pPr>
        <w:spacing w:line="520" w:lineRule="exact"/>
        <w:ind w:firstLine="482" w:firstLineChars="200"/>
        <w:rPr>
          <w:rFonts w:hint="eastAsia" w:ascii="Arial Narrow" w:hAnsi="Arial Narrow"/>
          <w:b/>
          <w:bCs/>
          <w:color w:val="auto"/>
          <w:sz w:val="24"/>
          <w:highlight w:val="none"/>
        </w:rPr>
      </w:pPr>
      <w:r>
        <w:rPr>
          <w:rFonts w:hint="eastAsia" w:ascii="Arial Narrow" w:hAnsi="Arial Narrow"/>
          <w:b/>
          <w:bCs/>
          <w:color w:val="auto"/>
          <w:sz w:val="24"/>
          <w:highlight w:val="none"/>
        </w:rPr>
        <w:t>16.2其他：</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Arial Narrow" w:hAnsi="Arial Narrow"/>
          <w:color w:val="auto"/>
          <w:sz w:val="24"/>
          <w:highlight w:val="none"/>
          <w:lang w:val="en-US" w:eastAsia="zh-CN"/>
        </w:rPr>
      </w:pPr>
      <w:r>
        <w:rPr>
          <w:rFonts w:hint="eastAsia" w:ascii="Arial Narrow" w:hAnsi="Arial Narrow"/>
          <w:color w:val="auto"/>
          <w:sz w:val="24"/>
          <w:highlight w:val="none"/>
        </w:rPr>
        <w:t>16.2.</w:t>
      </w:r>
      <w:r>
        <w:rPr>
          <w:rFonts w:hint="eastAsia" w:ascii="Arial Narrow" w:hAnsi="Arial Narrow"/>
          <w:color w:val="auto"/>
          <w:sz w:val="24"/>
          <w:highlight w:val="none"/>
          <w:lang w:val="en-US" w:eastAsia="zh-CN"/>
        </w:rPr>
        <w:t xml:space="preserve">1 </w:t>
      </w:r>
      <w:r>
        <w:rPr>
          <w:rFonts w:hint="eastAsia" w:ascii="Arial Narrow" w:hAnsi="Arial Narrow" w:eastAsia="仿宋_GB2312" w:cs="Times New Roman"/>
          <w:color w:val="auto"/>
          <w:kern w:val="2"/>
          <w:sz w:val="24"/>
          <w:szCs w:val="24"/>
          <w:highlight w:val="none"/>
          <w:lang w:val="en-US" w:eastAsia="zh-CN" w:bidi="ar-SA"/>
        </w:rPr>
        <w:t>本年度本行无经济、刑事案件和重大责任事故</w:t>
      </w:r>
    </w:p>
    <w:p>
      <w:pPr>
        <w:spacing w:line="520" w:lineRule="exact"/>
        <w:ind w:firstLine="480" w:firstLineChars="200"/>
        <w:rPr>
          <w:rFonts w:hint="eastAsia" w:ascii="Arial Narrow" w:hAnsi="Arial Narrow"/>
          <w:color w:val="auto"/>
          <w:sz w:val="24"/>
          <w:highlight w:val="none"/>
        </w:rPr>
      </w:pPr>
      <w:r>
        <w:rPr>
          <w:rFonts w:hint="eastAsia" w:ascii="Arial Narrow" w:hAnsi="Arial Narrow"/>
          <w:color w:val="auto"/>
          <w:sz w:val="24"/>
          <w:highlight w:val="none"/>
        </w:rPr>
        <w:t>16.2.2本年度高层管理人员在本行任职期间未受到任何监管部门的处罚。</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rPr>
        <w:t>16.2.</w:t>
      </w:r>
      <w:r>
        <w:rPr>
          <w:rFonts w:hint="eastAsia" w:ascii="Arial Narrow" w:hAnsi="Arial Narrow"/>
          <w:color w:val="auto"/>
          <w:sz w:val="24"/>
          <w:highlight w:val="none"/>
          <w:lang w:val="en-US" w:eastAsia="zh-CN"/>
        </w:rPr>
        <w:t>3部分指标情况</w:t>
      </w:r>
    </w:p>
    <w:p>
      <w:pPr>
        <w:spacing w:line="520" w:lineRule="exact"/>
        <w:ind w:firstLine="480" w:firstLineChars="200"/>
        <w:rPr>
          <w:rFonts w:hint="eastAsia" w:ascii="Arial Narrow" w:hAnsi="Arial Narrow"/>
          <w:color w:val="auto"/>
          <w:sz w:val="24"/>
          <w:highlight w:val="none"/>
          <w:lang w:val="en-US" w:eastAsia="zh-CN"/>
        </w:rPr>
      </w:pPr>
      <w:r>
        <w:rPr>
          <w:rFonts w:hint="eastAsia" w:ascii="Arial Narrow" w:hAnsi="Arial Narrow"/>
          <w:color w:val="auto"/>
          <w:sz w:val="24"/>
          <w:highlight w:val="none"/>
          <w:lang w:val="en-US" w:eastAsia="zh-CN"/>
        </w:rPr>
        <w:t>A 平均总资产回报率：0.4％</w:t>
      </w:r>
    </w:p>
    <w:p>
      <w:pPr>
        <w:spacing w:line="520" w:lineRule="exact"/>
        <w:ind w:firstLine="480" w:firstLineChars="200"/>
        <w:rPr>
          <w:rFonts w:hint="default"/>
          <w:color w:val="auto"/>
          <w:highlight w:val="none"/>
          <w:lang w:val="en-US" w:eastAsia="zh-CN"/>
        </w:rPr>
      </w:pPr>
      <w:r>
        <w:rPr>
          <w:rFonts w:hint="eastAsia" w:ascii="Arial Narrow" w:hAnsi="Arial Narrow"/>
          <w:color w:val="auto"/>
          <w:sz w:val="24"/>
          <w:highlight w:val="none"/>
          <w:lang w:val="en-US" w:eastAsia="zh-CN"/>
        </w:rPr>
        <w:t>B加权平均净资产收益率：4.78％</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swiss"/>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Arial Narrow Regular">
    <w:altName w:val="Arial"/>
    <w:panose1 w:val="00000000000000000000"/>
    <w:charset w:val="00"/>
    <w:family w:val="auto"/>
    <w:pitch w:val="default"/>
    <w:sig w:usb0="00000000"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BA5D31"/>
    <w:multiLevelType w:val="singleLevel"/>
    <w:tmpl w:val="8FBA5D31"/>
    <w:lvl w:ilvl="0" w:tentative="0">
      <w:start w:val="8"/>
      <w:numFmt w:val="chineseCounting"/>
      <w:suff w:val="nothing"/>
      <w:lvlText w:val="%1、"/>
      <w:lvlJc w:val="left"/>
      <w:rPr>
        <w:rFonts w:hint="eastAsia"/>
      </w:rPr>
    </w:lvl>
  </w:abstractNum>
  <w:abstractNum w:abstractNumId="1">
    <w:nsid w:val="9F194F31"/>
    <w:multiLevelType w:val="singleLevel"/>
    <w:tmpl w:val="9F194F31"/>
    <w:lvl w:ilvl="0" w:tentative="0">
      <w:start w:val="2"/>
      <w:numFmt w:val="chineseCounting"/>
      <w:suff w:val="space"/>
      <w:lvlText w:val="第%1章"/>
      <w:lvlJc w:val="left"/>
      <w:rPr>
        <w:rFonts w:hint="eastAsia"/>
      </w:rPr>
    </w:lvl>
  </w:abstractNum>
  <w:abstractNum w:abstractNumId="2">
    <w:nsid w:val="BFF0142D"/>
    <w:multiLevelType w:val="singleLevel"/>
    <w:tmpl w:val="BFF0142D"/>
    <w:lvl w:ilvl="0" w:tentative="0">
      <w:start w:val="6"/>
      <w:numFmt w:val="chineseCounting"/>
      <w:suff w:val="space"/>
      <w:lvlText w:val="第%1章"/>
      <w:lvlJc w:val="left"/>
      <w:rPr>
        <w:rFonts w:hint="eastAsia"/>
      </w:rPr>
    </w:lvl>
  </w:abstractNum>
  <w:abstractNum w:abstractNumId="3">
    <w:nsid w:val="EE955ECA"/>
    <w:multiLevelType w:val="singleLevel"/>
    <w:tmpl w:val="EE955ECA"/>
    <w:lvl w:ilvl="0" w:tentative="0">
      <w:start w:val="7"/>
      <w:numFmt w:val="chineseCounting"/>
      <w:suff w:val="nothing"/>
      <w:lvlText w:val="%1、"/>
      <w:lvlJc w:val="left"/>
      <w:rPr>
        <w:rFonts w:hint="eastAsia"/>
      </w:rPr>
    </w:lvl>
  </w:abstractNum>
  <w:abstractNum w:abstractNumId="4">
    <w:nsid w:val="167E2485"/>
    <w:multiLevelType w:val="singleLevel"/>
    <w:tmpl w:val="167E2485"/>
    <w:lvl w:ilvl="0" w:tentative="0">
      <w:start w:val="13"/>
      <w:numFmt w:val="chineseCounting"/>
      <w:suff w:val="nothing"/>
      <w:lvlText w:val="%1、"/>
      <w:lvlJc w:val="left"/>
      <w:rPr>
        <w:rFonts w:hint="eastAsia"/>
      </w:rPr>
    </w:lvl>
  </w:abstractNum>
  <w:abstractNum w:abstractNumId="5">
    <w:nsid w:val="261D0315"/>
    <w:multiLevelType w:val="singleLevel"/>
    <w:tmpl w:val="261D0315"/>
    <w:lvl w:ilvl="0" w:tentative="0">
      <w:start w:val="11"/>
      <w:numFmt w:val="chineseCounting"/>
      <w:suff w:val="space"/>
      <w:lvlText w:val="第%1章"/>
      <w:lvlJc w:val="left"/>
      <w:pPr>
        <w:ind w:left="2589" w:firstLine="0"/>
      </w:pPr>
      <w:rPr>
        <w:rFonts w:hint="eastAsia"/>
      </w:rPr>
    </w:lvl>
  </w:abstractNum>
  <w:abstractNum w:abstractNumId="6">
    <w:nsid w:val="5AAEA1B0"/>
    <w:multiLevelType w:val="singleLevel"/>
    <w:tmpl w:val="5AAEA1B0"/>
    <w:lvl w:ilvl="0" w:tentative="0">
      <w:start w:val="2"/>
      <w:numFmt w:val="chineseCounting"/>
      <w:suff w:val="nothing"/>
      <w:lvlText w:val="（%1）"/>
      <w:lvlJc w:val="left"/>
      <w:rPr>
        <w:rFonts w:hint="eastAsia"/>
      </w:rPr>
    </w:lvl>
  </w:abstractNum>
  <w:abstractNum w:abstractNumId="7">
    <w:nsid w:val="6B1A0604"/>
    <w:multiLevelType w:val="multilevel"/>
    <w:tmpl w:val="6B1A0604"/>
    <w:lvl w:ilvl="0" w:tentative="0">
      <w:start w:val="1"/>
      <w:numFmt w:val="japaneseCounting"/>
      <w:lvlText w:val="（%1）"/>
      <w:lvlJc w:val="left"/>
      <w:pPr>
        <w:ind w:left="1630" w:hanging="99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6FBD68C1"/>
    <w:multiLevelType w:val="multilevel"/>
    <w:tmpl w:val="6FBD68C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7CB4669D"/>
    <w:multiLevelType w:val="singleLevel"/>
    <w:tmpl w:val="7CB4669D"/>
    <w:lvl w:ilvl="0" w:tentative="0">
      <w:start w:val="1"/>
      <w:numFmt w:val="chineseCounting"/>
      <w:suff w:val="nothing"/>
      <w:lvlText w:val="%1、"/>
      <w:lvlJc w:val="left"/>
      <w:rPr>
        <w:rFonts w:hint="eastAsia"/>
      </w:rPr>
    </w:lvl>
  </w:abstractNum>
  <w:num w:numId="1">
    <w:abstractNumId w:val="1"/>
  </w:num>
  <w:num w:numId="2">
    <w:abstractNumId w:val="6"/>
  </w:num>
  <w:num w:numId="3">
    <w:abstractNumId w:val="9"/>
  </w:num>
  <w:num w:numId="4">
    <w:abstractNumId w:val="7"/>
  </w:num>
  <w:num w:numId="5">
    <w:abstractNumId w:val="3"/>
  </w:num>
  <w:num w:numId="6">
    <w:abstractNumId w:val="2"/>
  </w:num>
  <w:num w:numId="7">
    <w:abstractNumId w:val="5"/>
  </w:num>
  <w:num w:numId="8">
    <w:abstractNumId w:val="8"/>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2436C"/>
    <w:rsid w:val="00C40BB3"/>
    <w:rsid w:val="00FE242C"/>
    <w:rsid w:val="013D545D"/>
    <w:rsid w:val="01DC6259"/>
    <w:rsid w:val="01FD60EF"/>
    <w:rsid w:val="021B0F2D"/>
    <w:rsid w:val="02251D51"/>
    <w:rsid w:val="02694A2D"/>
    <w:rsid w:val="02D31580"/>
    <w:rsid w:val="02F7521B"/>
    <w:rsid w:val="03274692"/>
    <w:rsid w:val="03455CA2"/>
    <w:rsid w:val="034568D1"/>
    <w:rsid w:val="038C42F6"/>
    <w:rsid w:val="03E57E8E"/>
    <w:rsid w:val="03F62893"/>
    <w:rsid w:val="04215714"/>
    <w:rsid w:val="0494072D"/>
    <w:rsid w:val="049545E5"/>
    <w:rsid w:val="04957CD5"/>
    <w:rsid w:val="04AA2E1A"/>
    <w:rsid w:val="04B92B46"/>
    <w:rsid w:val="04CB575C"/>
    <w:rsid w:val="05497889"/>
    <w:rsid w:val="05AB7434"/>
    <w:rsid w:val="05E1764C"/>
    <w:rsid w:val="05F55CEE"/>
    <w:rsid w:val="060020E1"/>
    <w:rsid w:val="062C2103"/>
    <w:rsid w:val="06E407A6"/>
    <w:rsid w:val="071D22F6"/>
    <w:rsid w:val="084A00FF"/>
    <w:rsid w:val="085D5B76"/>
    <w:rsid w:val="08AC149D"/>
    <w:rsid w:val="08C1790C"/>
    <w:rsid w:val="08C65B32"/>
    <w:rsid w:val="08CE193B"/>
    <w:rsid w:val="08E15461"/>
    <w:rsid w:val="09C571ED"/>
    <w:rsid w:val="0A125B00"/>
    <w:rsid w:val="0A1922BA"/>
    <w:rsid w:val="0A3516A6"/>
    <w:rsid w:val="0A447E43"/>
    <w:rsid w:val="0A8039B4"/>
    <w:rsid w:val="0A8376E4"/>
    <w:rsid w:val="0B2570FE"/>
    <w:rsid w:val="0B790A7A"/>
    <w:rsid w:val="0B9D4071"/>
    <w:rsid w:val="0BC06846"/>
    <w:rsid w:val="0BD16306"/>
    <w:rsid w:val="0BD23A2A"/>
    <w:rsid w:val="0C1E231B"/>
    <w:rsid w:val="0C252505"/>
    <w:rsid w:val="0C3A7387"/>
    <w:rsid w:val="0C4E5D16"/>
    <w:rsid w:val="0C4E7167"/>
    <w:rsid w:val="0C682A01"/>
    <w:rsid w:val="0C9A1B43"/>
    <w:rsid w:val="0D00773C"/>
    <w:rsid w:val="0D12393B"/>
    <w:rsid w:val="0D133DB6"/>
    <w:rsid w:val="0D4D124A"/>
    <w:rsid w:val="0D6A5594"/>
    <w:rsid w:val="0D814BBF"/>
    <w:rsid w:val="0D8B5744"/>
    <w:rsid w:val="0DA256ED"/>
    <w:rsid w:val="0E234B91"/>
    <w:rsid w:val="0E3A6E45"/>
    <w:rsid w:val="0E4B4412"/>
    <w:rsid w:val="0E776C1F"/>
    <w:rsid w:val="0E8F07C5"/>
    <w:rsid w:val="0EA13073"/>
    <w:rsid w:val="0EAE17DA"/>
    <w:rsid w:val="0ECD61E4"/>
    <w:rsid w:val="0ED8666E"/>
    <w:rsid w:val="0F9C1D06"/>
    <w:rsid w:val="0FA740B3"/>
    <w:rsid w:val="0FAD5049"/>
    <w:rsid w:val="101F6136"/>
    <w:rsid w:val="10467BF6"/>
    <w:rsid w:val="105C36BA"/>
    <w:rsid w:val="108D23C5"/>
    <w:rsid w:val="10952116"/>
    <w:rsid w:val="10A5640D"/>
    <w:rsid w:val="10D40902"/>
    <w:rsid w:val="111C4789"/>
    <w:rsid w:val="119D7478"/>
    <w:rsid w:val="11AF626D"/>
    <w:rsid w:val="11B94260"/>
    <w:rsid w:val="11EE22F4"/>
    <w:rsid w:val="122B6D4E"/>
    <w:rsid w:val="125B061F"/>
    <w:rsid w:val="126A2930"/>
    <w:rsid w:val="12883BC6"/>
    <w:rsid w:val="12A409F4"/>
    <w:rsid w:val="130A6795"/>
    <w:rsid w:val="133A1F9C"/>
    <w:rsid w:val="13BF2150"/>
    <w:rsid w:val="13CD430A"/>
    <w:rsid w:val="13EE32B3"/>
    <w:rsid w:val="14042291"/>
    <w:rsid w:val="14285B0B"/>
    <w:rsid w:val="143606BA"/>
    <w:rsid w:val="144E154A"/>
    <w:rsid w:val="148372EC"/>
    <w:rsid w:val="14A71BDD"/>
    <w:rsid w:val="14B35343"/>
    <w:rsid w:val="14EF32FB"/>
    <w:rsid w:val="14F1732B"/>
    <w:rsid w:val="155B6799"/>
    <w:rsid w:val="15AF3985"/>
    <w:rsid w:val="16250884"/>
    <w:rsid w:val="16283179"/>
    <w:rsid w:val="16457B09"/>
    <w:rsid w:val="166815CC"/>
    <w:rsid w:val="167C76D8"/>
    <w:rsid w:val="168918FA"/>
    <w:rsid w:val="16D960A9"/>
    <w:rsid w:val="1702128C"/>
    <w:rsid w:val="170920AF"/>
    <w:rsid w:val="170C3519"/>
    <w:rsid w:val="1752751C"/>
    <w:rsid w:val="176271CE"/>
    <w:rsid w:val="176E1BB6"/>
    <w:rsid w:val="176E2C60"/>
    <w:rsid w:val="177B584D"/>
    <w:rsid w:val="17DF2DD8"/>
    <w:rsid w:val="180E3481"/>
    <w:rsid w:val="181060E6"/>
    <w:rsid w:val="1821581E"/>
    <w:rsid w:val="18267A96"/>
    <w:rsid w:val="183A3791"/>
    <w:rsid w:val="1853450D"/>
    <w:rsid w:val="18537112"/>
    <w:rsid w:val="186816D4"/>
    <w:rsid w:val="188D5607"/>
    <w:rsid w:val="189F4901"/>
    <w:rsid w:val="18DD3FAE"/>
    <w:rsid w:val="19072FDB"/>
    <w:rsid w:val="19475C0A"/>
    <w:rsid w:val="19791D85"/>
    <w:rsid w:val="19B4296F"/>
    <w:rsid w:val="19E77ACD"/>
    <w:rsid w:val="1A5042C5"/>
    <w:rsid w:val="1A733053"/>
    <w:rsid w:val="1AA81BC3"/>
    <w:rsid w:val="1B07753D"/>
    <w:rsid w:val="1B7B7983"/>
    <w:rsid w:val="1B94625D"/>
    <w:rsid w:val="1B9E1568"/>
    <w:rsid w:val="1BBD2C2C"/>
    <w:rsid w:val="1BD36BA8"/>
    <w:rsid w:val="1BE32F61"/>
    <w:rsid w:val="1BF040D8"/>
    <w:rsid w:val="1C11602E"/>
    <w:rsid w:val="1C215C75"/>
    <w:rsid w:val="1C2E050B"/>
    <w:rsid w:val="1C311647"/>
    <w:rsid w:val="1C7750CD"/>
    <w:rsid w:val="1C7B2D33"/>
    <w:rsid w:val="1C984EF7"/>
    <w:rsid w:val="1CAB13F6"/>
    <w:rsid w:val="1CB7110D"/>
    <w:rsid w:val="1CD75388"/>
    <w:rsid w:val="1CDC06CF"/>
    <w:rsid w:val="1CF35210"/>
    <w:rsid w:val="1CFF057B"/>
    <w:rsid w:val="1D1D7DAE"/>
    <w:rsid w:val="1D8B5ADA"/>
    <w:rsid w:val="1DA11BEF"/>
    <w:rsid w:val="1DC427B9"/>
    <w:rsid w:val="1DEF3711"/>
    <w:rsid w:val="1DF336B6"/>
    <w:rsid w:val="1DF47F1D"/>
    <w:rsid w:val="1E14273D"/>
    <w:rsid w:val="1E47263C"/>
    <w:rsid w:val="1E4E171E"/>
    <w:rsid w:val="1E7C5D4D"/>
    <w:rsid w:val="1E993AE7"/>
    <w:rsid w:val="1EA402C3"/>
    <w:rsid w:val="1EF30FCB"/>
    <w:rsid w:val="1F0D50D3"/>
    <w:rsid w:val="1FBD452A"/>
    <w:rsid w:val="1FF46AF2"/>
    <w:rsid w:val="2152386F"/>
    <w:rsid w:val="21D413AA"/>
    <w:rsid w:val="21DF607A"/>
    <w:rsid w:val="21E67063"/>
    <w:rsid w:val="22207856"/>
    <w:rsid w:val="229407FD"/>
    <w:rsid w:val="229730B0"/>
    <w:rsid w:val="229831F9"/>
    <w:rsid w:val="22A159F0"/>
    <w:rsid w:val="23423455"/>
    <w:rsid w:val="23861822"/>
    <w:rsid w:val="24036C5D"/>
    <w:rsid w:val="241B26ED"/>
    <w:rsid w:val="244C4D70"/>
    <w:rsid w:val="245028D0"/>
    <w:rsid w:val="2462444F"/>
    <w:rsid w:val="24965D54"/>
    <w:rsid w:val="24D66FA8"/>
    <w:rsid w:val="24F51A03"/>
    <w:rsid w:val="250E4B0F"/>
    <w:rsid w:val="251B4500"/>
    <w:rsid w:val="251C0416"/>
    <w:rsid w:val="255B322C"/>
    <w:rsid w:val="257337C5"/>
    <w:rsid w:val="25880690"/>
    <w:rsid w:val="258B2901"/>
    <w:rsid w:val="25DC47A1"/>
    <w:rsid w:val="25F502F7"/>
    <w:rsid w:val="25FD68EE"/>
    <w:rsid w:val="260B0844"/>
    <w:rsid w:val="26352F07"/>
    <w:rsid w:val="2697485A"/>
    <w:rsid w:val="26DD1D1C"/>
    <w:rsid w:val="27147066"/>
    <w:rsid w:val="271A5FC2"/>
    <w:rsid w:val="27920F02"/>
    <w:rsid w:val="27BD72AB"/>
    <w:rsid w:val="282E0FC0"/>
    <w:rsid w:val="28544F55"/>
    <w:rsid w:val="28847A3F"/>
    <w:rsid w:val="28BC3D07"/>
    <w:rsid w:val="28CF3DF7"/>
    <w:rsid w:val="28E107C5"/>
    <w:rsid w:val="290D6A28"/>
    <w:rsid w:val="291857A5"/>
    <w:rsid w:val="29191296"/>
    <w:rsid w:val="292F4DCE"/>
    <w:rsid w:val="296C0583"/>
    <w:rsid w:val="296F0FB4"/>
    <w:rsid w:val="29C53D6B"/>
    <w:rsid w:val="29DD5019"/>
    <w:rsid w:val="29EA6628"/>
    <w:rsid w:val="29EB683F"/>
    <w:rsid w:val="29F4089F"/>
    <w:rsid w:val="2A2B2B09"/>
    <w:rsid w:val="2A600653"/>
    <w:rsid w:val="2AA51AD1"/>
    <w:rsid w:val="2AD80535"/>
    <w:rsid w:val="2AFE42EC"/>
    <w:rsid w:val="2B4F1EC3"/>
    <w:rsid w:val="2B586319"/>
    <w:rsid w:val="2B5B263E"/>
    <w:rsid w:val="2B5B3239"/>
    <w:rsid w:val="2B6B63D4"/>
    <w:rsid w:val="2BB0455F"/>
    <w:rsid w:val="2BB20D00"/>
    <w:rsid w:val="2C1C0108"/>
    <w:rsid w:val="2C467357"/>
    <w:rsid w:val="2C6541AB"/>
    <w:rsid w:val="2CDF4F7F"/>
    <w:rsid w:val="2CE040FB"/>
    <w:rsid w:val="2D0B3966"/>
    <w:rsid w:val="2D0B5588"/>
    <w:rsid w:val="2D3F6623"/>
    <w:rsid w:val="2D447E1E"/>
    <w:rsid w:val="2D46005E"/>
    <w:rsid w:val="2D743803"/>
    <w:rsid w:val="2D76268D"/>
    <w:rsid w:val="2D8075B4"/>
    <w:rsid w:val="2DCB4145"/>
    <w:rsid w:val="2DD6230E"/>
    <w:rsid w:val="2E2E4144"/>
    <w:rsid w:val="2E676D7A"/>
    <w:rsid w:val="2EF7302B"/>
    <w:rsid w:val="2EFF7112"/>
    <w:rsid w:val="2F475E86"/>
    <w:rsid w:val="309E6892"/>
    <w:rsid w:val="30A2300C"/>
    <w:rsid w:val="30D229BF"/>
    <w:rsid w:val="30DF72B1"/>
    <w:rsid w:val="31394C5F"/>
    <w:rsid w:val="314C127B"/>
    <w:rsid w:val="318A7F7C"/>
    <w:rsid w:val="31CD2762"/>
    <w:rsid w:val="31DA219F"/>
    <w:rsid w:val="324F50CF"/>
    <w:rsid w:val="32510B78"/>
    <w:rsid w:val="32BC210F"/>
    <w:rsid w:val="32DA372C"/>
    <w:rsid w:val="330472E9"/>
    <w:rsid w:val="330B5872"/>
    <w:rsid w:val="33116A6B"/>
    <w:rsid w:val="33144866"/>
    <w:rsid w:val="33175CCF"/>
    <w:rsid w:val="3383388F"/>
    <w:rsid w:val="33B35CF7"/>
    <w:rsid w:val="344015CD"/>
    <w:rsid w:val="3450562C"/>
    <w:rsid w:val="348971A4"/>
    <w:rsid w:val="34B20306"/>
    <w:rsid w:val="35012551"/>
    <w:rsid w:val="35100668"/>
    <w:rsid w:val="352457C3"/>
    <w:rsid w:val="357258D8"/>
    <w:rsid w:val="358F3DD5"/>
    <w:rsid w:val="36700FFF"/>
    <w:rsid w:val="370F1648"/>
    <w:rsid w:val="372338F4"/>
    <w:rsid w:val="375E48A0"/>
    <w:rsid w:val="37D800F6"/>
    <w:rsid w:val="37DD0E80"/>
    <w:rsid w:val="38150283"/>
    <w:rsid w:val="38342548"/>
    <w:rsid w:val="384B17BB"/>
    <w:rsid w:val="38612641"/>
    <w:rsid w:val="38A54F07"/>
    <w:rsid w:val="38BB1AB5"/>
    <w:rsid w:val="38DB0F62"/>
    <w:rsid w:val="38FE41BD"/>
    <w:rsid w:val="390C2177"/>
    <w:rsid w:val="392A74BF"/>
    <w:rsid w:val="399349F0"/>
    <w:rsid w:val="39EB2D06"/>
    <w:rsid w:val="39FE14D5"/>
    <w:rsid w:val="3A570404"/>
    <w:rsid w:val="3A8F4665"/>
    <w:rsid w:val="3A9D057C"/>
    <w:rsid w:val="3AF44902"/>
    <w:rsid w:val="3B195DC6"/>
    <w:rsid w:val="3B4E12C0"/>
    <w:rsid w:val="3BCB4E43"/>
    <w:rsid w:val="3BDD74B7"/>
    <w:rsid w:val="3C545A73"/>
    <w:rsid w:val="3C905BE4"/>
    <w:rsid w:val="3C99793A"/>
    <w:rsid w:val="3CB33B17"/>
    <w:rsid w:val="3D005815"/>
    <w:rsid w:val="3D136882"/>
    <w:rsid w:val="3D18379F"/>
    <w:rsid w:val="3D454088"/>
    <w:rsid w:val="3D7E68E9"/>
    <w:rsid w:val="3D9640C4"/>
    <w:rsid w:val="3D9943E5"/>
    <w:rsid w:val="3DA20FBB"/>
    <w:rsid w:val="3DD44A98"/>
    <w:rsid w:val="3E1F2A4A"/>
    <w:rsid w:val="3E8E4F94"/>
    <w:rsid w:val="3EA94997"/>
    <w:rsid w:val="3EF95508"/>
    <w:rsid w:val="3F035FC9"/>
    <w:rsid w:val="3F5034BE"/>
    <w:rsid w:val="3F687974"/>
    <w:rsid w:val="3F8F3BA7"/>
    <w:rsid w:val="3FD72254"/>
    <w:rsid w:val="402E1D38"/>
    <w:rsid w:val="403B576B"/>
    <w:rsid w:val="40473F79"/>
    <w:rsid w:val="405A52E6"/>
    <w:rsid w:val="40FB286F"/>
    <w:rsid w:val="41327356"/>
    <w:rsid w:val="413438B1"/>
    <w:rsid w:val="413F1C76"/>
    <w:rsid w:val="416B0505"/>
    <w:rsid w:val="419317A3"/>
    <w:rsid w:val="41C439BA"/>
    <w:rsid w:val="41D83B9D"/>
    <w:rsid w:val="41F062FE"/>
    <w:rsid w:val="41FF4B53"/>
    <w:rsid w:val="42021428"/>
    <w:rsid w:val="42320FBB"/>
    <w:rsid w:val="4246623F"/>
    <w:rsid w:val="42D31F78"/>
    <w:rsid w:val="42DB4C5C"/>
    <w:rsid w:val="435314B4"/>
    <w:rsid w:val="435E65E3"/>
    <w:rsid w:val="43BB0E88"/>
    <w:rsid w:val="43C52964"/>
    <w:rsid w:val="43D118DB"/>
    <w:rsid w:val="43F27B30"/>
    <w:rsid w:val="44432133"/>
    <w:rsid w:val="444C14A0"/>
    <w:rsid w:val="4457446D"/>
    <w:rsid w:val="4466169B"/>
    <w:rsid w:val="44E12EC3"/>
    <w:rsid w:val="44F12817"/>
    <w:rsid w:val="45044954"/>
    <w:rsid w:val="450B678D"/>
    <w:rsid w:val="45321E8C"/>
    <w:rsid w:val="45C15FA0"/>
    <w:rsid w:val="45CC1AD6"/>
    <w:rsid w:val="45D508BD"/>
    <w:rsid w:val="466F3C52"/>
    <w:rsid w:val="46BF4F72"/>
    <w:rsid w:val="46CD0BB8"/>
    <w:rsid w:val="46E66860"/>
    <w:rsid w:val="47053800"/>
    <w:rsid w:val="475F7A4F"/>
    <w:rsid w:val="476033C1"/>
    <w:rsid w:val="47763995"/>
    <w:rsid w:val="477649AC"/>
    <w:rsid w:val="47CF3A4D"/>
    <w:rsid w:val="47E8416A"/>
    <w:rsid w:val="47ED4C9C"/>
    <w:rsid w:val="480655D5"/>
    <w:rsid w:val="48150980"/>
    <w:rsid w:val="481D1FBD"/>
    <w:rsid w:val="48215C79"/>
    <w:rsid w:val="482D561F"/>
    <w:rsid w:val="48435E70"/>
    <w:rsid w:val="48664029"/>
    <w:rsid w:val="489B58B4"/>
    <w:rsid w:val="48D80FA0"/>
    <w:rsid w:val="48FA66F3"/>
    <w:rsid w:val="4923764B"/>
    <w:rsid w:val="49633237"/>
    <w:rsid w:val="496E5DE4"/>
    <w:rsid w:val="49964F16"/>
    <w:rsid w:val="49B904DF"/>
    <w:rsid w:val="49BF1FB5"/>
    <w:rsid w:val="49C01EF5"/>
    <w:rsid w:val="49D81128"/>
    <w:rsid w:val="49E65669"/>
    <w:rsid w:val="4A61539F"/>
    <w:rsid w:val="4A83545E"/>
    <w:rsid w:val="4B41500C"/>
    <w:rsid w:val="4B547800"/>
    <w:rsid w:val="4B61779A"/>
    <w:rsid w:val="4B645063"/>
    <w:rsid w:val="4B6C36FD"/>
    <w:rsid w:val="4B9036D7"/>
    <w:rsid w:val="4C116770"/>
    <w:rsid w:val="4C1607CB"/>
    <w:rsid w:val="4C243968"/>
    <w:rsid w:val="4C304E5C"/>
    <w:rsid w:val="4C816362"/>
    <w:rsid w:val="4CDD4471"/>
    <w:rsid w:val="4CE256CC"/>
    <w:rsid w:val="4CE60066"/>
    <w:rsid w:val="4D6B7185"/>
    <w:rsid w:val="4D6C1FF5"/>
    <w:rsid w:val="4D8978C0"/>
    <w:rsid w:val="4D930E36"/>
    <w:rsid w:val="4D9730CA"/>
    <w:rsid w:val="4DC05E8F"/>
    <w:rsid w:val="4DD7110C"/>
    <w:rsid w:val="4E0076FA"/>
    <w:rsid w:val="4E050A76"/>
    <w:rsid w:val="4E0B1AEF"/>
    <w:rsid w:val="4E267641"/>
    <w:rsid w:val="4E596C05"/>
    <w:rsid w:val="4EB0040C"/>
    <w:rsid w:val="4ECA7784"/>
    <w:rsid w:val="4F037A2C"/>
    <w:rsid w:val="4F9432C0"/>
    <w:rsid w:val="4F96748E"/>
    <w:rsid w:val="4F9D172E"/>
    <w:rsid w:val="4FCD2B79"/>
    <w:rsid w:val="4FD213F5"/>
    <w:rsid w:val="4FF4089A"/>
    <w:rsid w:val="50172612"/>
    <w:rsid w:val="504A30A0"/>
    <w:rsid w:val="505B6E5D"/>
    <w:rsid w:val="506C4D74"/>
    <w:rsid w:val="509544C2"/>
    <w:rsid w:val="50C61290"/>
    <w:rsid w:val="50CC7877"/>
    <w:rsid w:val="50DD534A"/>
    <w:rsid w:val="5112213D"/>
    <w:rsid w:val="512D0FB4"/>
    <w:rsid w:val="512F627D"/>
    <w:rsid w:val="519D2324"/>
    <w:rsid w:val="51A41108"/>
    <w:rsid w:val="521342CF"/>
    <w:rsid w:val="52780BC6"/>
    <w:rsid w:val="527A31B5"/>
    <w:rsid w:val="52A92284"/>
    <w:rsid w:val="530E2745"/>
    <w:rsid w:val="53396DB6"/>
    <w:rsid w:val="535F7525"/>
    <w:rsid w:val="53704FCB"/>
    <w:rsid w:val="53C77865"/>
    <w:rsid w:val="541F4253"/>
    <w:rsid w:val="542B111B"/>
    <w:rsid w:val="5437395C"/>
    <w:rsid w:val="543A60E7"/>
    <w:rsid w:val="544F4C3C"/>
    <w:rsid w:val="545968AC"/>
    <w:rsid w:val="545D534B"/>
    <w:rsid w:val="548B7FAF"/>
    <w:rsid w:val="54A62403"/>
    <w:rsid w:val="54A708DD"/>
    <w:rsid w:val="54B503AF"/>
    <w:rsid w:val="553C5163"/>
    <w:rsid w:val="553E738C"/>
    <w:rsid w:val="55B243E1"/>
    <w:rsid w:val="55C77262"/>
    <w:rsid w:val="55E0719B"/>
    <w:rsid w:val="55FD4C36"/>
    <w:rsid w:val="562B079E"/>
    <w:rsid w:val="56496D8D"/>
    <w:rsid w:val="5662186D"/>
    <w:rsid w:val="566F7303"/>
    <w:rsid w:val="56983A0A"/>
    <w:rsid w:val="56CF5541"/>
    <w:rsid w:val="56D934C0"/>
    <w:rsid w:val="56F42A27"/>
    <w:rsid w:val="571E7C70"/>
    <w:rsid w:val="57347E89"/>
    <w:rsid w:val="579F648B"/>
    <w:rsid w:val="57A87F69"/>
    <w:rsid w:val="57B375D1"/>
    <w:rsid w:val="57C30C34"/>
    <w:rsid w:val="57F069C0"/>
    <w:rsid w:val="580C2DCE"/>
    <w:rsid w:val="58172984"/>
    <w:rsid w:val="58451E78"/>
    <w:rsid w:val="58532EB1"/>
    <w:rsid w:val="58C40B60"/>
    <w:rsid w:val="592D1DD3"/>
    <w:rsid w:val="59452B34"/>
    <w:rsid w:val="595D717C"/>
    <w:rsid w:val="59677DB0"/>
    <w:rsid w:val="59F8330C"/>
    <w:rsid w:val="5A1B0A7B"/>
    <w:rsid w:val="5A3805DA"/>
    <w:rsid w:val="5A3E79A1"/>
    <w:rsid w:val="5A3F472A"/>
    <w:rsid w:val="5A6B6BE4"/>
    <w:rsid w:val="5A785B75"/>
    <w:rsid w:val="5A997BD9"/>
    <w:rsid w:val="5B156BE6"/>
    <w:rsid w:val="5B3A35B1"/>
    <w:rsid w:val="5B4C6FCF"/>
    <w:rsid w:val="5B5E0577"/>
    <w:rsid w:val="5B9019B4"/>
    <w:rsid w:val="5BB3067C"/>
    <w:rsid w:val="5BF5390F"/>
    <w:rsid w:val="5BF81C13"/>
    <w:rsid w:val="5C04015B"/>
    <w:rsid w:val="5C630B64"/>
    <w:rsid w:val="5C9D6635"/>
    <w:rsid w:val="5C9F6B5E"/>
    <w:rsid w:val="5CC22AF3"/>
    <w:rsid w:val="5CE70CA6"/>
    <w:rsid w:val="5D102499"/>
    <w:rsid w:val="5D562286"/>
    <w:rsid w:val="5D622D5C"/>
    <w:rsid w:val="5DD56FFF"/>
    <w:rsid w:val="5E24370F"/>
    <w:rsid w:val="5E956D48"/>
    <w:rsid w:val="5F4A4CC1"/>
    <w:rsid w:val="5F573871"/>
    <w:rsid w:val="5FEA1EE9"/>
    <w:rsid w:val="5FEB0F56"/>
    <w:rsid w:val="60995BC2"/>
    <w:rsid w:val="60D05D0D"/>
    <w:rsid w:val="60DB5B33"/>
    <w:rsid w:val="61281F08"/>
    <w:rsid w:val="61416067"/>
    <w:rsid w:val="61465EDC"/>
    <w:rsid w:val="61542096"/>
    <w:rsid w:val="617234CA"/>
    <w:rsid w:val="617D5810"/>
    <w:rsid w:val="61ED1702"/>
    <w:rsid w:val="61F06614"/>
    <w:rsid w:val="621B3D6F"/>
    <w:rsid w:val="626D1D8F"/>
    <w:rsid w:val="62702671"/>
    <w:rsid w:val="628F6237"/>
    <w:rsid w:val="62966B81"/>
    <w:rsid w:val="62A95306"/>
    <w:rsid w:val="62B14227"/>
    <w:rsid w:val="62E81B3C"/>
    <w:rsid w:val="630B5032"/>
    <w:rsid w:val="634016DD"/>
    <w:rsid w:val="63597EEB"/>
    <w:rsid w:val="636A0038"/>
    <w:rsid w:val="63793CCD"/>
    <w:rsid w:val="63A43394"/>
    <w:rsid w:val="63C66713"/>
    <w:rsid w:val="63D53FE8"/>
    <w:rsid w:val="645B7964"/>
    <w:rsid w:val="649412B1"/>
    <w:rsid w:val="64A63F6C"/>
    <w:rsid w:val="64C2015F"/>
    <w:rsid w:val="650E564F"/>
    <w:rsid w:val="65911571"/>
    <w:rsid w:val="65D002E1"/>
    <w:rsid w:val="65E2138C"/>
    <w:rsid w:val="65E55AF2"/>
    <w:rsid w:val="66113B73"/>
    <w:rsid w:val="661E3862"/>
    <w:rsid w:val="66370584"/>
    <w:rsid w:val="663D280E"/>
    <w:rsid w:val="66451642"/>
    <w:rsid w:val="67131ED7"/>
    <w:rsid w:val="671D5451"/>
    <w:rsid w:val="67367BF6"/>
    <w:rsid w:val="6740796F"/>
    <w:rsid w:val="678022EC"/>
    <w:rsid w:val="6781193C"/>
    <w:rsid w:val="67934C67"/>
    <w:rsid w:val="67CB2D4F"/>
    <w:rsid w:val="67EA0191"/>
    <w:rsid w:val="67F009CD"/>
    <w:rsid w:val="680965A8"/>
    <w:rsid w:val="681740A3"/>
    <w:rsid w:val="68445E0D"/>
    <w:rsid w:val="685279FD"/>
    <w:rsid w:val="68535A8A"/>
    <w:rsid w:val="68812E18"/>
    <w:rsid w:val="6893639F"/>
    <w:rsid w:val="689F588B"/>
    <w:rsid w:val="68B35FA0"/>
    <w:rsid w:val="690E0DDC"/>
    <w:rsid w:val="69270A92"/>
    <w:rsid w:val="69692F8F"/>
    <w:rsid w:val="69733795"/>
    <w:rsid w:val="6992668A"/>
    <w:rsid w:val="69CA7DD7"/>
    <w:rsid w:val="6A423EBF"/>
    <w:rsid w:val="6A506ACE"/>
    <w:rsid w:val="6B1E6497"/>
    <w:rsid w:val="6B3E63E8"/>
    <w:rsid w:val="6B3E6AF3"/>
    <w:rsid w:val="6B82440F"/>
    <w:rsid w:val="6BBA0517"/>
    <w:rsid w:val="6BDC4CC5"/>
    <w:rsid w:val="6BEA36E9"/>
    <w:rsid w:val="6C017C2B"/>
    <w:rsid w:val="6C202F88"/>
    <w:rsid w:val="6C314E22"/>
    <w:rsid w:val="6C675AE0"/>
    <w:rsid w:val="6C825018"/>
    <w:rsid w:val="6CAE5EFC"/>
    <w:rsid w:val="6D171FB8"/>
    <w:rsid w:val="6D257071"/>
    <w:rsid w:val="6D6F48E1"/>
    <w:rsid w:val="6D8B438F"/>
    <w:rsid w:val="6DD73C42"/>
    <w:rsid w:val="6DF47F88"/>
    <w:rsid w:val="6E2354F1"/>
    <w:rsid w:val="6E426A1E"/>
    <w:rsid w:val="6E4459AB"/>
    <w:rsid w:val="6E655181"/>
    <w:rsid w:val="6E673D53"/>
    <w:rsid w:val="6ECA7C21"/>
    <w:rsid w:val="6ED450BE"/>
    <w:rsid w:val="6ED6310A"/>
    <w:rsid w:val="6EF367CE"/>
    <w:rsid w:val="6F007C45"/>
    <w:rsid w:val="6F2175DA"/>
    <w:rsid w:val="6F33052C"/>
    <w:rsid w:val="6F3616C7"/>
    <w:rsid w:val="6F402C93"/>
    <w:rsid w:val="6F6D758E"/>
    <w:rsid w:val="6FB2540E"/>
    <w:rsid w:val="70156F67"/>
    <w:rsid w:val="70805D7F"/>
    <w:rsid w:val="70B61DB3"/>
    <w:rsid w:val="70C60F77"/>
    <w:rsid w:val="70DB28B7"/>
    <w:rsid w:val="710F4DDA"/>
    <w:rsid w:val="71367145"/>
    <w:rsid w:val="71700EBA"/>
    <w:rsid w:val="719805F4"/>
    <w:rsid w:val="71BA5D0F"/>
    <w:rsid w:val="721F0043"/>
    <w:rsid w:val="722F7751"/>
    <w:rsid w:val="724B1EB6"/>
    <w:rsid w:val="72527BF8"/>
    <w:rsid w:val="725B1E6E"/>
    <w:rsid w:val="72F8298B"/>
    <w:rsid w:val="737D01FB"/>
    <w:rsid w:val="7392751E"/>
    <w:rsid w:val="73952AFF"/>
    <w:rsid w:val="73957EE4"/>
    <w:rsid w:val="74186E4F"/>
    <w:rsid w:val="745D453B"/>
    <w:rsid w:val="7479232A"/>
    <w:rsid w:val="747F2783"/>
    <w:rsid w:val="748D55E6"/>
    <w:rsid w:val="74C718AA"/>
    <w:rsid w:val="74CF43DA"/>
    <w:rsid w:val="74F44598"/>
    <w:rsid w:val="75224794"/>
    <w:rsid w:val="753F2ABA"/>
    <w:rsid w:val="75625974"/>
    <w:rsid w:val="75646984"/>
    <w:rsid w:val="75681F0B"/>
    <w:rsid w:val="75815850"/>
    <w:rsid w:val="7589134B"/>
    <w:rsid w:val="758D304D"/>
    <w:rsid w:val="75A119C3"/>
    <w:rsid w:val="75A45FF3"/>
    <w:rsid w:val="75B16831"/>
    <w:rsid w:val="75D24AF4"/>
    <w:rsid w:val="75F12B76"/>
    <w:rsid w:val="76080055"/>
    <w:rsid w:val="76803DA2"/>
    <w:rsid w:val="76812A23"/>
    <w:rsid w:val="76C5274C"/>
    <w:rsid w:val="76CA4FDF"/>
    <w:rsid w:val="76D111BD"/>
    <w:rsid w:val="76E41FA1"/>
    <w:rsid w:val="76F230CD"/>
    <w:rsid w:val="77583AFD"/>
    <w:rsid w:val="775D5BE0"/>
    <w:rsid w:val="77C13C9E"/>
    <w:rsid w:val="78203324"/>
    <w:rsid w:val="78523ED3"/>
    <w:rsid w:val="78653063"/>
    <w:rsid w:val="78730FEB"/>
    <w:rsid w:val="78977C2B"/>
    <w:rsid w:val="78A22234"/>
    <w:rsid w:val="78E10055"/>
    <w:rsid w:val="78FE45CC"/>
    <w:rsid w:val="78FE5B69"/>
    <w:rsid w:val="791D593C"/>
    <w:rsid w:val="792A5589"/>
    <w:rsid w:val="79775D44"/>
    <w:rsid w:val="797F3859"/>
    <w:rsid w:val="799F0290"/>
    <w:rsid w:val="79A1066B"/>
    <w:rsid w:val="79C06A04"/>
    <w:rsid w:val="79E04270"/>
    <w:rsid w:val="7A1E1D8A"/>
    <w:rsid w:val="7A2F367A"/>
    <w:rsid w:val="7A5F7A38"/>
    <w:rsid w:val="7ABE7C06"/>
    <w:rsid w:val="7ADF41E9"/>
    <w:rsid w:val="7B0D2CEA"/>
    <w:rsid w:val="7B0D4044"/>
    <w:rsid w:val="7B1C1748"/>
    <w:rsid w:val="7B201106"/>
    <w:rsid w:val="7B527833"/>
    <w:rsid w:val="7BA67645"/>
    <w:rsid w:val="7C5A3914"/>
    <w:rsid w:val="7C7C4040"/>
    <w:rsid w:val="7C800C2E"/>
    <w:rsid w:val="7C810422"/>
    <w:rsid w:val="7C8B128D"/>
    <w:rsid w:val="7C8D616E"/>
    <w:rsid w:val="7CAE183C"/>
    <w:rsid w:val="7CF01421"/>
    <w:rsid w:val="7CF07D46"/>
    <w:rsid w:val="7CFF739B"/>
    <w:rsid w:val="7D0E47DF"/>
    <w:rsid w:val="7D4714AF"/>
    <w:rsid w:val="7D490611"/>
    <w:rsid w:val="7D671E6F"/>
    <w:rsid w:val="7DB94007"/>
    <w:rsid w:val="7DBD7629"/>
    <w:rsid w:val="7E035C29"/>
    <w:rsid w:val="7E0C30DF"/>
    <w:rsid w:val="7E4F121F"/>
    <w:rsid w:val="7E79449C"/>
    <w:rsid w:val="7E93024C"/>
    <w:rsid w:val="7EB8164F"/>
    <w:rsid w:val="7EE21276"/>
    <w:rsid w:val="7F2D7306"/>
    <w:rsid w:val="7F4255CC"/>
    <w:rsid w:val="7FAE3045"/>
    <w:rsid w:val="7FE33686"/>
    <w:rsid w:val="7FFB4310"/>
    <w:rsid w:val="7FFC5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table of authorities"/>
    <w:basedOn w:val="1"/>
    <w:next w:val="1"/>
    <w:qFormat/>
    <w:uiPriority w:val="0"/>
    <w:pPr>
      <w:spacing w:before="100" w:beforeAutospacing="1" w:after="100" w:afterAutospacing="1"/>
      <w:ind w:left="420" w:leftChars="200"/>
    </w:pPr>
  </w:style>
  <w:style w:type="paragraph" w:styleId="4">
    <w:name w:val="Body Text"/>
    <w:basedOn w:val="1"/>
    <w:next w:val="1"/>
    <w:qFormat/>
    <w:uiPriority w:val="0"/>
    <w:rPr>
      <w:rFonts w:ascii="Calibri" w:hAnsi="Calibri" w:eastAsia="宋体" w:cs="Times New Roman"/>
      <w:sz w:val="21"/>
    </w:rPr>
  </w:style>
  <w:style w:type="paragraph" w:styleId="5">
    <w:name w:val="Body Text Indent"/>
    <w:basedOn w:val="1"/>
    <w:next w:val="1"/>
    <w:qFormat/>
    <w:uiPriority w:val="0"/>
    <w:pPr>
      <w:tabs>
        <w:tab w:val="left" w:pos="4830"/>
      </w:tabs>
      <w:spacing w:line="500" w:lineRule="exact"/>
      <w:ind w:firstLine="575" w:firstLineChars="196"/>
    </w:pPr>
    <w:rPr>
      <w:rFonts w:ascii="Times New Roman" w:hAnsi="Times New Roman" w:eastAsia="宋体" w:cs="Times New Roman"/>
      <w:b/>
      <w:spacing w:val="-4"/>
      <w:sz w:val="30"/>
      <w:szCs w:val="30"/>
    </w:rPr>
  </w:style>
  <w:style w:type="paragraph" w:styleId="6">
    <w:name w:val="Plain Text"/>
    <w:basedOn w:val="1"/>
    <w:qFormat/>
    <w:uiPriority w:val="0"/>
    <w:rPr>
      <w:rFonts w:ascii="宋体" w:hAnsi="Courier New" w:eastAsia="宋体" w:cs="Courier New"/>
      <w:sz w:val="21"/>
      <w:szCs w:val="21"/>
    </w:rPr>
  </w:style>
  <w:style w:type="paragraph" w:styleId="7">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8">
    <w:name w:val="table of figures"/>
    <w:basedOn w:val="1"/>
    <w:next w:val="1"/>
    <w:unhideWhenUsed/>
    <w:qFormat/>
    <w:uiPriority w:val="99"/>
    <w:pPr>
      <w:ind w:left="200" w:leftChars="200" w:hanging="200" w:hangingChars="200"/>
    </w:pPr>
    <w:rPr>
      <w:rFonts w:ascii="Calibri" w:hAnsi="Calibri" w:eastAsia="宋体" w:cs="Times New Roman"/>
      <w:sz w:val="21"/>
    </w:rPr>
  </w:style>
  <w:style w:type="paragraph" w:styleId="9">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paragraph" w:styleId="10">
    <w:name w:val="Body Text First Indent"/>
    <w:basedOn w:val="4"/>
    <w:next w:val="4"/>
    <w:qFormat/>
    <w:uiPriority w:val="0"/>
    <w:pPr>
      <w:ind w:firstLine="420" w:firstLineChars="100"/>
    </w:pPr>
  </w:style>
  <w:style w:type="paragraph" w:styleId="11">
    <w:name w:val="Body Text First Indent 2"/>
    <w:basedOn w:val="5"/>
    <w:next w:val="1"/>
    <w:qFormat/>
    <w:uiPriority w:val="0"/>
    <w:pPr>
      <w:ind w:firstLine="420" w:firstLineChars="200"/>
    </w:pPr>
  </w:style>
  <w:style w:type="paragraph" w:customStyle="1" w:styleId="14">
    <w:name w:val="p0"/>
    <w:basedOn w:val="1"/>
    <w:qFormat/>
    <w:uiPriority w:val="0"/>
    <w:pPr>
      <w:widowControl/>
    </w:pPr>
    <w:rPr>
      <w:rFonts w:ascii="Calibri" w:hAnsi="Calibri" w:eastAsia="宋体" w:cs="Times New Roman"/>
      <w:kern w:val="0"/>
      <w:sz w:val="21"/>
      <w:szCs w:val="21"/>
    </w:rPr>
  </w:style>
  <w:style w:type="paragraph" w:customStyle="1" w:styleId="15">
    <w:name w:val="无间隔1"/>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K&amp;W Body text"/>
    <w:basedOn w:val="1"/>
    <w:qFormat/>
    <w:uiPriority w:val="0"/>
    <w:pPr>
      <w:widowControl/>
      <w:spacing w:after="360" w:line="320" w:lineRule="atLeast"/>
      <w:ind w:firstLine="200" w:firstLineChars="200"/>
    </w:pPr>
    <w:rPr>
      <w:rFonts w:ascii="Arial" w:hAnsi="Arial" w:eastAsia="楷体_GB2312" w:cs="Times New Roman"/>
      <w:kern w:val="0"/>
      <w:sz w:val="24"/>
      <w:szCs w:val="20"/>
      <w:lang w:eastAsia="en-US"/>
    </w:rPr>
  </w:style>
  <w:style w:type="paragraph" w:customStyle="1" w:styleId="17">
    <w:name w:val="正文-公1"/>
    <w:basedOn w:val="18"/>
    <w:next w:val="7"/>
    <w:qFormat/>
    <w:uiPriority w:val="0"/>
    <w:pPr>
      <w:ind w:firstLine="200" w:firstLineChars="200"/>
    </w:pPr>
  </w:style>
  <w:style w:type="paragraph" w:customStyle="1" w:styleId="18">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
    <w:name w:val="ToCaption"/>
    <w:basedOn w:val="1"/>
    <w:next w:val="1"/>
    <w:qFormat/>
    <w:uiPriority w:val="0"/>
    <w:pPr>
      <w:widowControl/>
      <w:ind w:left="200" w:leftChars="200" w:hanging="200" w:hangingChars="200"/>
      <w:textAlignment w:val="baseline"/>
    </w:pPr>
    <w:rPr>
      <w:rFonts w:ascii="Calibri" w:hAnsi="Calibri" w:eastAsia="宋体"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2021-02-25T05:43:00Z</dcterms:created>
  <dc:creator>Administrator</dc:creator>
  <cp:lastModifiedBy>108067-杨婷</cp:lastModifiedBy>
  <cp:lastPrinted>2025-05-26T03:54:00Z</cp:lastPrinted>
  <dcterms:modified xsi:type="dcterms:W3CDTF">2025-06-09T02:06:50Z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5E032E4995714E80929DB2347CAC5D46</vt:lpwstr>
  </property>
</Properties>
</file>