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贵州桐梓农村商业银行股份有限公司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年环境信息披露报告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报告年度：2024年度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编制日期：2025年4月30日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联系方式：贵州桐梓农村商业银行股份有限公司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地址：贵州省桐梓县娄山关镇河滨南路203号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邮编：563200</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电话：0851-26650156</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根据《金融机构环境信息披露指南》《金融机构碳核算技术指南（试行）》</w:t>
      </w:r>
      <w:r>
        <w:rPr>
          <w:rFonts w:hint="eastAsia" w:ascii="仿宋_GB2312" w:hAnsi="仿宋_GB2312" w:eastAsia="仿宋_GB2312" w:cs="仿宋_GB2312"/>
          <w:sz w:val="32"/>
          <w:szCs w:val="32"/>
          <w:highlight w:val="none"/>
          <w:lang w:val="en-US" w:eastAsia="zh-CN"/>
        </w:rPr>
        <w:t>及《绿色信贷项目节能减排量测算指引》</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本行</w:t>
      </w:r>
      <w:r>
        <w:rPr>
          <w:rFonts w:hint="default" w:ascii="仿宋_GB2312" w:hAnsi="仿宋_GB2312" w:eastAsia="仿宋_GB2312" w:cs="仿宋_GB2312"/>
          <w:sz w:val="32"/>
          <w:szCs w:val="32"/>
          <w:highlight w:val="none"/>
          <w:lang w:val="en-US" w:eastAsia="zh-CN"/>
        </w:rPr>
        <w:t>核算了年度碳排放及碳减排情况，并填写了相关数据表格。现将有关情况报告如下：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一、基本信息</w:t>
      </w:r>
    </w:p>
    <w:p>
      <w:pPr>
        <w:pStyle w:val="2"/>
        <w:keepNext w:val="0"/>
        <w:keepLines w:val="0"/>
        <w:pageBreakBefore w:val="0"/>
        <w:widowControl w:val="0"/>
        <w:kinsoku/>
        <w:wordWrap/>
        <w:overflowPunct/>
        <w:topLinePunct w:val="0"/>
        <w:autoSpaceDE/>
        <w:autoSpaceDN/>
        <w:bidi w:val="0"/>
        <w:adjustRightInd/>
        <w:snapToGrid/>
        <w:spacing w:after="0" w:afterAutospacing="0" w:line="576" w:lineRule="exact"/>
        <w:ind w:left="0" w:leftChars="0"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贵州桐梓农村商业银行股份有限公司法定代表人李炳强，统一社会信用代码91520322214832988Q，注册资本2.67亿元。下设32个营业网点，11个部（室），辖12个党支部36个党小组，金融服务覆盖全县所有乡镇。是经中国银行保险业监督管理委员会贵州监管局批准设立挂牌营业的具有独立法人资格的地方性股份制商业银行，前身为桐梓县农村信用合作联社，历史可追溯至1952年4月成立的贵州省第一家信用社——元田信用社</w:t>
      </w:r>
      <w:r>
        <w:rPr>
          <w:rFonts w:hint="default" w:ascii="仿宋_GB2312" w:hAnsi="仿宋_GB2312" w:eastAsia="仿宋_GB2312" w:cs="仿宋_GB2312"/>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一直以来，桐梓农商银行始终秉承“支农支小”服务理念，积极奋发作为，锐意拼搏进取，逐步成长为县域内“资产规模最大、存贷款余额最高、支农支小力度最强、营业网点最多、金融服务覆盖面最广、业内税收贡献最大”的农村金融机构，有力地支持县域经济繁荣、巩固脱贫攻坚成果、接续乡村振兴发展，成为桐梓县域金融战线的一支不可或缺的重要力量。截至202</w:t>
      </w:r>
      <w:r>
        <w:rPr>
          <w:rFonts w:hint="eastAsia" w:ascii="仿宋_GB2312" w:hAnsi="仿宋_GB2312" w:eastAsia="仿宋_GB2312" w:cs="仿宋_GB2312"/>
          <w:kern w:val="2"/>
          <w:sz w:val="32"/>
          <w:szCs w:val="32"/>
          <w:highlight w:val="none"/>
          <w:lang w:val="en-US" w:eastAsia="zh-CN" w:bidi="ar-SA"/>
        </w:rPr>
        <w:t>4</w:t>
      </w:r>
      <w:r>
        <w:rPr>
          <w:rFonts w:hint="default" w:ascii="仿宋_GB2312" w:hAnsi="仿宋_GB2312" w:eastAsia="仿宋_GB2312" w:cs="仿宋_GB2312"/>
          <w:kern w:val="2"/>
          <w:sz w:val="32"/>
          <w:szCs w:val="32"/>
          <w:highlight w:val="none"/>
          <w:lang w:val="en-US" w:eastAsia="zh-CN" w:bidi="ar-SA"/>
        </w:rPr>
        <w:t>年1</w:t>
      </w:r>
      <w:r>
        <w:rPr>
          <w:rFonts w:hint="eastAsia" w:ascii="仿宋_GB2312" w:hAnsi="仿宋_GB2312" w:eastAsia="仿宋_GB2312" w:cs="仿宋_GB2312"/>
          <w:kern w:val="2"/>
          <w:sz w:val="32"/>
          <w:szCs w:val="32"/>
          <w:highlight w:val="none"/>
          <w:lang w:val="en-US" w:eastAsia="zh-CN" w:bidi="ar-SA"/>
        </w:rPr>
        <w:t>2</w:t>
      </w:r>
      <w:r>
        <w:rPr>
          <w:rFonts w:hint="default" w:ascii="仿宋_GB2312" w:hAnsi="仿宋_GB2312" w:eastAsia="仿宋_GB2312" w:cs="仿宋_GB2312"/>
          <w:kern w:val="2"/>
          <w:sz w:val="32"/>
          <w:szCs w:val="32"/>
          <w:highlight w:val="none"/>
          <w:lang w:val="en-US" w:eastAsia="zh-CN" w:bidi="ar-SA"/>
        </w:rPr>
        <w:t>月</w:t>
      </w:r>
      <w:r>
        <w:rPr>
          <w:rFonts w:hint="eastAsia" w:ascii="仿宋_GB2312" w:hAnsi="仿宋_GB2312" w:eastAsia="仿宋_GB2312" w:cs="仿宋_GB2312"/>
          <w:kern w:val="2"/>
          <w:sz w:val="32"/>
          <w:szCs w:val="32"/>
          <w:highlight w:val="none"/>
          <w:lang w:val="en-US" w:eastAsia="zh-CN" w:bidi="ar-SA"/>
        </w:rPr>
        <w:t>末</w:t>
      </w:r>
      <w:r>
        <w:rPr>
          <w:rFonts w:hint="default" w:ascii="仿宋_GB2312" w:hAnsi="仿宋_GB2312" w:eastAsia="仿宋_GB2312" w:cs="仿宋_GB2312"/>
          <w:kern w:val="2"/>
          <w:sz w:val="32"/>
          <w:szCs w:val="32"/>
          <w:highlight w:val="none"/>
          <w:lang w:val="en-US" w:eastAsia="zh-CN" w:bidi="ar-SA"/>
        </w:rPr>
        <w:t>，全行各项存款余额13</w:t>
      </w:r>
      <w:r>
        <w:rPr>
          <w:rFonts w:hint="eastAsia" w:ascii="仿宋_GB2312" w:hAnsi="仿宋_GB2312" w:eastAsia="仿宋_GB2312" w:cs="仿宋_GB2312"/>
          <w:kern w:val="2"/>
          <w:sz w:val="32"/>
          <w:szCs w:val="32"/>
          <w:highlight w:val="none"/>
          <w:lang w:val="en-US" w:eastAsia="zh-CN" w:bidi="ar-SA"/>
        </w:rPr>
        <w:t>4.84</w:t>
      </w:r>
      <w:r>
        <w:rPr>
          <w:rFonts w:hint="default" w:ascii="仿宋_GB2312" w:hAnsi="仿宋_GB2312" w:eastAsia="仿宋_GB2312" w:cs="仿宋_GB2312"/>
          <w:kern w:val="2"/>
          <w:sz w:val="32"/>
          <w:szCs w:val="32"/>
          <w:highlight w:val="none"/>
          <w:lang w:val="en-US" w:eastAsia="zh-CN" w:bidi="ar-SA"/>
        </w:rPr>
        <w:t>亿元，较年初增加</w:t>
      </w:r>
      <w:r>
        <w:rPr>
          <w:rFonts w:hint="eastAsia" w:ascii="仿宋_GB2312" w:hAnsi="仿宋_GB2312" w:eastAsia="仿宋_GB2312" w:cs="仿宋_GB2312"/>
          <w:kern w:val="2"/>
          <w:sz w:val="32"/>
          <w:szCs w:val="32"/>
          <w:highlight w:val="none"/>
          <w:lang w:val="en-US" w:eastAsia="zh-CN" w:bidi="ar-SA"/>
        </w:rPr>
        <w:t>1.62</w:t>
      </w:r>
      <w:r>
        <w:rPr>
          <w:rFonts w:hint="default" w:ascii="仿宋_GB2312" w:hAnsi="仿宋_GB2312" w:eastAsia="仿宋_GB2312" w:cs="仿宋_GB2312"/>
          <w:kern w:val="2"/>
          <w:sz w:val="32"/>
          <w:szCs w:val="32"/>
          <w:highlight w:val="none"/>
          <w:lang w:val="en-US" w:eastAsia="zh-CN" w:bidi="ar-SA"/>
        </w:rPr>
        <w:t>亿元，增速</w:t>
      </w:r>
      <w:r>
        <w:rPr>
          <w:rFonts w:hint="eastAsia" w:ascii="仿宋_GB2312" w:hAnsi="仿宋_GB2312" w:eastAsia="仿宋_GB2312" w:cs="仿宋_GB2312"/>
          <w:kern w:val="2"/>
          <w:sz w:val="32"/>
          <w:szCs w:val="32"/>
          <w:highlight w:val="none"/>
          <w:lang w:val="en-US" w:eastAsia="zh-CN" w:bidi="ar-SA"/>
        </w:rPr>
        <w:t>1.22</w:t>
      </w:r>
      <w:r>
        <w:rPr>
          <w:rFonts w:hint="default" w:ascii="仿宋_GB2312" w:hAnsi="仿宋_GB2312" w:eastAsia="仿宋_GB2312" w:cs="仿宋_GB2312"/>
          <w:kern w:val="2"/>
          <w:sz w:val="32"/>
          <w:szCs w:val="32"/>
          <w:highlight w:val="none"/>
          <w:lang w:val="en-US" w:eastAsia="zh-CN" w:bidi="ar-SA"/>
        </w:rPr>
        <w:t>%，各项贷款余额9</w:t>
      </w:r>
      <w:r>
        <w:rPr>
          <w:rFonts w:hint="eastAsia" w:ascii="仿宋_GB2312" w:hAnsi="仿宋_GB2312" w:eastAsia="仿宋_GB2312" w:cs="仿宋_GB2312"/>
          <w:kern w:val="2"/>
          <w:sz w:val="32"/>
          <w:szCs w:val="32"/>
          <w:highlight w:val="none"/>
          <w:lang w:val="en-US" w:eastAsia="zh-CN" w:bidi="ar-SA"/>
        </w:rPr>
        <w:t>1.16</w:t>
      </w:r>
      <w:r>
        <w:rPr>
          <w:rFonts w:hint="default" w:ascii="仿宋_GB2312" w:hAnsi="仿宋_GB2312" w:eastAsia="仿宋_GB2312" w:cs="仿宋_GB2312"/>
          <w:kern w:val="2"/>
          <w:sz w:val="32"/>
          <w:szCs w:val="32"/>
          <w:highlight w:val="none"/>
          <w:lang w:val="en-US" w:eastAsia="zh-CN" w:bidi="ar-SA"/>
        </w:rPr>
        <w:t>亿元，较年初</w:t>
      </w:r>
      <w:r>
        <w:rPr>
          <w:rFonts w:hint="eastAsia" w:ascii="仿宋_GB2312" w:hAnsi="仿宋_GB2312" w:eastAsia="仿宋_GB2312" w:cs="仿宋_GB2312"/>
          <w:kern w:val="2"/>
          <w:sz w:val="32"/>
          <w:szCs w:val="32"/>
          <w:highlight w:val="none"/>
          <w:lang w:val="en-US" w:eastAsia="zh-CN" w:bidi="ar-SA"/>
        </w:rPr>
        <w:t>下降4.84</w:t>
      </w:r>
      <w:r>
        <w:rPr>
          <w:rFonts w:hint="default" w:ascii="仿宋_GB2312" w:hAnsi="仿宋_GB2312" w:eastAsia="仿宋_GB2312" w:cs="仿宋_GB2312"/>
          <w:kern w:val="2"/>
          <w:sz w:val="32"/>
          <w:szCs w:val="32"/>
          <w:highlight w:val="none"/>
          <w:lang w:val="en-US" w:eastAsia="zh-CN" w:bidi="ar-SA"/>
        </w:rPr>
        <w:t>亿元，增速</w:t>
      </w:r>
      <w:r>
        <w:rPr>
          <w:rFonts w:hint="eastAsia" w:ascii="仿宋_GB2312" w:hAnsi="仿宋_GB2312" w:eastAsia="仿宋_GB2312" w:cs="仿宋_GB2312"/>
          <w:kern w:val="2"/>
          <w:sz w:val="32"/>
          <w:szCs w:val="32"/>
          <w:highlight w:val="none"/>
          <w:lang w:val="en-US" w:eastAsia="zh-CN" w:bidi="ar-SA"/>
        </w:rPr>
        <w:t>-5.04</w:t>
      </w:r>
      <w:r>
        <w:rPr>
          <w:rFonts w:hint="default"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二、年度概况及绿色金融发展战略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2020年9月，习近平总书记提出“30·60”的碳达峰目标与碳中和愿景，开启了促进经济社会低碳转型发展的新篇章。近年来，本行主动适应经济新常态，加快转型升级的步伐，积极贯彻</w:t>
      </w:r>
      <w:r>
        <w:rPr>
          <w:rFonts w:hint="eastAsia" w:ascii="仿宋_GB2312" w:hAnsi="仿宋_GB2312" w:eastAsia="仿宋_GB2312" w:cs="仿宋_GB2312"/>
          <w:sz w:val="32"/>
          <w:szCs w:val="32"/>
          <w:highlight w:val="none"/>
          <w:lang w:val="en-US" w:eastAsia="zh-CN"/>
        </w:rPr>
        <w:t>落实</w:t>
      </w:r>
      <w:r>
        <w:rPr>
          <w:rFonts w:hint="default" w:ascii="仿宋_GB2312" w:hAnsi="仿宋_GB2312" w:eastAsia="仿宋_GB2312" w:cs="仿宋_GB2312"/>
          <w:sz w:val="32"/>
          <w:szCs w:val="32"/>
          <w:highlight w:val="none"/>
          <w:lang w:val="en-US" w:eastAsia="zh-CN"/>
        </w:rPr>
        <w:t>习近平总书记“绿水青山就是金山银山”理念，</w:t>
      </w:r>
      <w:r>
        <w:rPr>
          <w:rFonts w:hint="eastAsia" w:ascii="仿宋_GB2312" w:hAnsi="仿宋_GB2312" w:eastAsia="仿宋_GB2312" w:cs="仿宋_GB2312"/>
          <w:sz w:val="32"/>
          <w:szCs w:val="32"/>
          <w:highlight w:val="none"/>
          <w:lang w:val="en-US" w:eastAsia="zh-CN"/>
        </w:rPr>
        <w:t>不断加大环境及绿色信贷投放力度</w:t>
      </w:r>
      <w:r>
        <w:rPr>
          <w:rFonts w:hint="default" w:ascii="仿宋_GB2312" w:hAnsi="仿宋_GB2312" w:eastAsia="仿宋_GB2312" w:cs="仿宋_GB2312"/>
          <w:sz w:val="32"/>
          <w:szCs w:val="32"/>
          <w:highlight w:val="none"/>
          <w:lang w:val="en-US" w:eastAsia="zh-CN"/>
        </w:rPr>
        <w:t>，为助力打赢污染防治攻坚战，推动</w:t>
      </w:r>
      <w:r>
        <w:rPr>
          <w:rFonts w:hint="eastAsia" w:ascii="仿宋_GB2312" w:hAnsi="仿宋_GB2312" w:eastAsia="仿宋_GB2312" w:cs="仿宋_GB2312"/>
          <w:sz w:val="32"/>
          <w:szCs w:val="32"/>
          <w:highlight w:val="none"/>
          <w:lang w:val="en-US" w:eastAsia="zh-CN"/>
        </w:rPr>
        <w:t>环境及</w:t>
      </w:r>
      <w:r>
        <w:rPr>
          <w:rFonts w:hint="default" w:ascii="仿宋_GB2312" w:hAnsi="仿宋_GB2312" w:eastAsia="仿宋_GB2312" w:cs="仿宋_GB2312"/>
          <w:sz w:val="32"/>
          <w:szCs w:val="32"/>
          <w:highlight w:val="none"/>
          <w:lang w:val="en-US" w:eastAsia="zh-CN"/>
        </w:rPr>
        <w:t>绿色发展和节能减排贡献力量。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年，本行围绕“四新”主攻“四化”，着力打造现代化绿色银行，已累计支持绿色企业14家，金额0.53亿元，绿色信贷余额（银保监口径）0.36亿元。有力支持了本土环境及绿色环保产业的发展。本行坚持优先为环境及绿色信贷安排额度，提供优惠利率定价、灵活还方式和便捷办贷通道。同时持续推进绿色运营，推行无纸化办公，坚持低碳办公，贯彻绿色施工管理，践行环保理念，积极对外披露自身经营活动等的环境影响，不断完善并提升自身气候与环境风险管控水平，加速绿色化进程，助推低碳目标的实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年，本行</w:t>
      </w:r>
      <w:r>
        <w:rPr>
          <w:rFonts w:hint="eastAsia" w:ascii="仿宋_GB2312" w:hAnsi="仿宋_GB2312" w:eastAsia="仿宋_GB2312" w:cs="仿宋_GB2312"/>
          <w:sz w:val="32"/>
          <w:szCs w:val="32"/>
          <w:highlight w:val="none"/>
          <w:lang w:val="en-US" w:eastAsia="zh-CN"/>
        </w:rPr>
        <w:t>按照省联社“6255”的整体战略和“136”数字化战略</w:t>
      </w:r>
      <w:r>
        <w:rPr>
          <w:rFonts w:hint="default" w:ascii="仿宋_GB2312" w:hAnsi="仿宋_GB2312" w:eastAsia="仿宋_GB2312" w:cs="仿宋_GB2312"/>
          <w:sz w:val="32"/>
          <w:szCs w:val="32"/>
          <w:highlight w:val="none"/>
          <w:lang w:val="en-US" w:eastAsia="zh-CN"/>
        </w:rPr>
        <w:t>，践行</w:t>
      </w:r>
      <w:r>
        <w:rPr>
          <w:rFonts w:hint="eastAsia" w:ascii="仿宋_GB2312" w:hAnsi="仿宋_GB2312" w:eastAsia="仿宋_GB2312" w:cs="仿宋_GB2312"/>
          <w:sz w:val="32"/>
          <w:szCs w:val="32"/>
          <w:highlight w:val="none"/>
          <w:lang w:val="en-US" w:eastAsia="zh-CN"/>
        </w:rPr>
        <w:t>环境及</w:t>
      </w:r>
      <w:r>
        <w:rPr>
          <w:rFonts w:hint="default" w:ascii="仿宋_GB2312" w:hAnsi="仿宋_GB2312" w:eastAsia="仿宋_GB2312" w:cs="仿宋_GB2312"/>
          <w:sz w:val="32"/>
          <w:szCs w:val="32"/>
          <w:highlight w:val="none"/>
          <w:lang w:val="en-US" w:eastAsia="zh-CN"/>
        </w:rPr>
        <w:t>绿色发展理念，配合国家优化</w:t>
      </w:r>
      <w:r>
        <w:rPr>
          <w:rFonts w:hint="eastAsia" w:ascii="仿宋_GB2312" w:hAnsi="仿宋_GB2312" w:eastAsia="仿宋_GB2312" w:cs="仿宋_GB2312"/>
          <w:sz w:val="32"/>
          <w:szCs w:val="32"/>
          <w:highlight w:val="none"/>
          <w:lang w:val="en-US" w:eastAsia="zh-CN"/>
        </w:rPr>
        <w:t>环境及</w:t>
      </w:r>
      <w:r>
        <w:rPr>
          <w:rFonts w:hint="default" w:ascii="仿宋_GB2312" w:hAnsi="仿宋_GB2312" w:eastAsia="仿宋_GB2312" w:cs="仿宋_GB2312"/>
          <w:sz w:val="32"/>
          <w:szCs w:val="32"/>
          <w:highlight w:val="none"/>
          <w:lang w:val="en-US" w:eastAsia="zh-CN"/>
        </w:rPr>
        <w:t>绿色金融服务的激励机制和服务模式，丰富</w:t>
      </w:r>
      <w:r>
        <w:rPr>
          <w:rFonts w:hint="eastAsia" w:ascii="仿宋_GB2312" w:hAnsi="仿宋_GB2312" w:eastAsia="仿宋_GB2312" w:cs="仿宋_GB2312"/>
          <w:sz w:val="32"/>
          <w:szCs w:val="32"/>
          <w:highlight w:val="none"/>
          <w:lang w:val="en-US" w:eastAsia="zh-CN"/>
        </w:rPr>
        <w:t>环境及</w:t>
      </w:r>
      <w:r>
        <w:rPr>
          <w:rFonts w:hint="default" w:ascii="仿宋_GB2312" w:hAnsi="仿宋_GB2312" w:eastAsia="仿宋_GB2312" w:cs="仿宋_GB2312"/>
          <w:sz w:val="32"/>
          <w:szCs w:val="32"/>
          <w:highlight w:val="none"/>
          <w:lang w:val="en-US" w:eastAsia="zh-CN"/>
        </w:rPr>
        <w:t>绿色金融产品体系，</w:t>
      </w:r>
      <w:r>
        <w:rPr>
          <w:rFonts w:hint="eastAsia" w:ascii="仿宋_GB2312" w:hAnsi="仿宋_GB2312" w:eastAsia="仿宋_GB2312" w:cs="仿宋_GB2312"/>
          <w:sz w:val="32"/>
          <w:szCs w:val="32"/>
          <w:highlight w:val="none"/>
          <w:lang w:val="en-US" w:eastAsia="zh-CN"/>
        </w:rPr>
        <w:t>重点</w:t>
      </w:r>
      <w:r>
        <w:rPr>
          <w:rFonts w:hint="default" w:ascii="仿宋_GB2312" w:hAnsi="仿宋_GB2312" w:eastAsia="仿宋_GB2312" w:cs="仿宋_GB2312"/>
          <w:sz w:val="32"/>
          <w:szCs w:val="32"/>
          <w:highlight w:val="none"/>
          <w:lang w:val="en-US" w:eastAsia="zh-CN"/>
        </w:rPr>
        <w:t>支持节能减排和绿色环保重点企业和项目，为实现碳达峰和碳中和的新目标新愿景提供助力。</w:t>
      </w:r>
    </w:p>
    <w:p>
      <w:pPr>
        <w:pStyle w:val="2"/>
        <w:keepNext w:val="0"/>
        <w:keepLines w:val="0"/>
        <w:pageBreakBefore w:val="0"/>
        <w:widowControl w:val="0"/>
        <w:kinsoku/>
        <w:wordWrap/>
        <w:overflowPunct/>
        <w:topLinePunct w:val="0"/>
        <w:autoSpaceDE/>
        <w:autoSpaceDN/>
        <w:bidi w:val="0"/>
        <w:adjustRightInd/>
        <w:snapToGrid/>
        <w:spacing w:after="0" w:afterAutospacing="0" w:line="576"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环境及绿色金融相关治理结构</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行按照科学、精简、高效、透明、制衡的原则，从董事会、经营管理层、归口管理部门等三个层面合理设置环境及绿色信贷组织管理机构，明确各级机构在环境及绿色信贷工作中的职责定位，确保环境及绿色信贷战略、目标得到有效确立和实施。</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drawing>
          <wp:anchor distT="0" distB="0" distL="114300" distR="114300" simplePos="0" relativeHeight="251660288" behindDoc="0" locked="0" layoutInCell="1" allowOverlap="1">
            <wp:simplePos x="0" y="0"/>
            <wp:positionH relativeFrom="column">
              <wp:posOffset>17780</wp:posOffset>
            </wp:positionH>
            <wp:positionV relativeFrom="paragraph">
              <wp:posOffset>238760</wp:posOffset>
            </wp:positionV>
            <wp:extent cx="5268595" cy="3723640"/>
            <wp:effectExtent l="0" t="0" r="8255" b="10160"/>
            <wp:wrapTopAndBottom/>
            <wp:docPr id="1" name="图片 1" descr="组织架构图-2024.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组织架构图-2024.12.31"/>
                    <pic:cNvPicPr>
                      <a:picLocks noChangeAspect="1"/>
                    </pic:cNvPicPr>
                  </pic:nvPicPr>
                  <pic:blipFill>
                    <a:blip r:embed="rId5"/>
                    <a:stretch>
                      <a:fillRect/>
                    </a:stretch>
                  </pic:blipFill>
                  <pic:spPr>
                    <a:xfrm>
                      <a:off x="0" y="0"/>
                      <a:ext cx="5268595" cy="3723640"/>
                    </a:xfrm>
                    <a:prstGeom prst="rect">
                      <a:avLst/>
                    </a:prstGeom>
                  </pic:spPr>
                </pic:pic>
              </a:graphicData>
            </a:graphic>
          </wp:anchor>
        </w:drawing>
      </w:r>
      <w:r>
        <w:rPr>
          <w:rFonts w:hint="eastAsia" w:ascii="楷体_GB2312" w:hAnsi="楷体_GB2312" w:eastAsia="楷体_GB2312" w:cs="楷体_GB2312"/>
          <w:sz w:val="32"/>
          <w:szCs w:val="32"/>
          <w:highlight w:val="none"/>
          <w:lang w:val="en-US" w:eastAsia="zh-CN"/>
        </w:rPr>
        <w:t>（一）董事会层面</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董事会作为经营管理的最高决策机构，由8名董事组成，具有较高的专业素养和良好信誉，在全行树立并推行环境及绿色发展理念，将环境及绿色金融纳入发展规划中，定期审批环境及绿色信贷情况报告，全面监督、评估本行环境及绿色信贷发展战略执行情况。此外，董事会下设战略决策和三农委员会，履行审查和监督环境及绿色金融职责；下设提名和薪酬委员会，负责制定环境及绿色信贷考核指标及考评工作。</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（二）经营管理层及归口管理部门</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确保本行环境及绿色金融相关制度切实有效执行，各级机构也明确了相关职责。经营管理层根据董事会要求开展环境及绿色信贷工作，负责制定环境及绿色信贷目标，建立机制、流程和职责分工，并定期开展考核评价。同时，明确经营管理层负责人及业务发展部牵头组织环境及绿色信贷工作。业务发展部作为环境及绿色信贷归口管理部门，牵头优化环境及绿色金融服务流程管理、优化和丰富产品体系，加强环境及绿色信贷宣传，零售业务部负责相应条线的产品业务创新。</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四、环境及绿色金融相关政策制度</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行按照《贵州省农村信用社绿色信贷管理指引》（黔农信办发〔2020〕452号）《贵州省农村信用社加强绿色金融建设助力碳达峰碳中和指导意见（2021-2025年）》等文件精神，结合县域经济发展规划，落实“制度治行”的管理准则，积极开展环境及绿色信贷制度建设，将环境及绿色信贷融入到各项信贷政策实践中，并严格遵守《中国人民银行办公厅关于推进绿色金融改革创新试验区金融机构环境信息披露工作的通知》（银办发〔2021〕39号）、《中国人民银行办公厅关于在绿色金融改革创新试验区试行&lt;金融机构碳核算技术指南（试行）&gt;的通知》（银办发〔2021〕119号）等规定，制定</w:t>
      </w:r>
      <w:r>
        <w:rPr>
          <w:rFonts w:hint="eastAsia" w:ascii="仿宋_GB2312" w:hAnsi="仿宋_GB2312" w:eastAsia="仿宋_GB2312" w:cs="仿宋_GB2312"/>
          <w:color w:val="auto"/>
          <w:sz w:val="32"/>
          <w:szCs w:val="32"/>
          <w:highlight w:val="none"/>
          <w:lang w:val="en-US" w:eastAsia="zh-CN"/>
        </w:rPr>
        <w:t>《贵州桐梓农村商业银行股份有限公司2024年绿色金融、支农支小和扶持民营（普惠型）服务规划》</w:t>
      </w:r>
      <w:r>
        <w:rPr>
          <w:rFonts w:hint="eastAsia" w:ascii="仿宋_GB2312" w:hAnsi="仿宋_GB2312" w:eastAsia="仿宋_GB2312" w:cs="仿宋_GB2312"/>
          <w:sz w:val="32"/>
          <w:szCs w:val="32"/>
          <w:highlight w:val="none"/>
          <w:lang w:val="en-US" w:eastAsia="zh-CN"/>
        </w:rPr>
        <w:t>《贵州桐梓农村商业银行股份有限公司绿色信贷管理实施细则》等文件，明确了对绿色、低碳、循环经济等环境及绿色信贷领域的重点支持方向、相应的办贷条件等具体操作细则。引导大力拓展环境及绿色金融业务，同时要求对“两高一剩”、化工、造纸等行业客户的环境和社会风险进行评价，并列入贷款“三查”重点，以结果作为评级、信贷准入、管理和退出的重要依据。</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五、环境风险管理及机遇</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（一）环境相关风险和机遇的识别、评估和监控流程</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sz w:val="32"/>
          <w:szCs w:val="32"/>
          <w:highlight w:val="none"/>
          <w:lang w:val="en-US" w:eastAsia="zh-CN"/>
        </w:rPr>
        <w:t>本行设立合规风险部，配备专业人员对环境政策变化、行业趋势进行收集、整理，并将其作为影响业务发展的实际信息向经营层汇报，供经营层参考决策。</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对重点企业客户开展尽职调查时，着重审查客户的环境管理体系、排放记录、能源使用效率等指标，做好客户环境风险的识别，评估其生产活动对环境的影响以及是否存在环保合规问题，对不符合准入条件的企业一律不得发放贷款。</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3.做好市场研究，开展绿色产业分析，评估绿色产业中环境效益和经济效益，为信贷产品开发、制度建立提供保障。</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4.开展环境风险分析。根据省联社指导开展</w:t>
      </w:r>
      <w:r>
        <w:rPr>
          <w:rFonts w:hint="eastAsia" w:ascii="仿宋_GB2312" w:hAnsi="仿宋_GB2312" w:eastAsia="仿宋_GB2312" w:cs="仿宋_GB2312"/>
          <w:sz w:val="32"/>
          <w:szCs w:val="32"/>
          <w:highlight w:val="none"/>
          <w:lang w:val="en-US" w:eastAsia="zh-CN"/>
        </w:rPr>
        <w:t>识别环境相关风险的性质和来源分析，量化风险的大小和可能造成的损失。</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5.定</w:t>
      </w:r>
      <w:r>
        <w:rPr>
          <w:rFonts w:hint="eastAsia" w:ascii="仿宋_GB2312" w:hAnsi="仿宋_GB2312" w:eastAsia="仿宋_GB2312" w:cs="仿宋_GB2312"/>
          <w:sz w:val="32"/>
          <w:szCs w:val="32"/>
          <w:highlight w:val="none"/>
          <w:lang w:val="en-US" w:eastAsia="zh-CN"/>
        </w:rPr>
        <w:t>期进行内部审计。定期检查风险管理流程的执行情况，对发现的管理中的漏洞，及时整改，确保环境风险管理流程的有效性。</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（二）业务风险管理流程中与环境相关风险和机遇管理机制</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1.将环境风险作为信贷审批、决策重要参考因素，充分考虑环境风险对企业直接及间接影响，严格限制“两高一剩”企业准入。</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建立风险缓释与环保激励机制。一是对于环境高风险客户，采取风险缓释措施，如要求提供环境保险、实施更严格的贷后管理等。二是对于环境友好型客户，提供优惠利率、绿色信贷额度等激励措施，鼓励其持续改善环境表现。</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（三）环境风险暴露防控措施和应对预案</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建立健全风险管理体系。本行一是建立《贵州桐梓农商银行股份有限公司全面风险管理办法》《贵州桐梓农村商业银行股份有限公司重大风险事项管理办法》等风险控制制度，不断提升环境风险应急处置能力。二是在产品制度上，严格控制“两高一剩”行业企业准入，从源头杜绝环境裂变次生风险。</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2.加强内部控制机制。本行不断加强审计和监督机制执行力度，健全内控管理制度，并通过信贷会审、外部审计、上级检查等方式防范环境风险。</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（四）本行在绿色发展方面的机遇</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产品和服务创新契机。贵州农信率先研制绿色普惠信贷标准，实现绿色普惠信贷全覆盖，在全国农信系统成为绿色金融的先行者与引领者。我行作为其下属县域金融机构，能够充分发挥我行两级法人机制经营决策链条短、响应及时的优势，立足县域资源禀赋及特色优势的个性，创新推出绿色金融产品与服务。</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提供转型发展契机。本行盈利方式主要依靠存贷利差，而碳中和背景下，本行要实现转型发展，必须大力发展环境及绿色金融业务。这一业务凭借其低风险的特征，有助于本行摆脱资本充足率的约束，降低业务风险，且加快发展其互联网环境及绿色金融业务，可以满足客户在互联网办理环境及绿色金融业务的需求，改善客户的体验度，巩固客户基础，助力本行实现高质量发展。</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六、经营活动的环境影响</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行经营活动产生的资源消耗主要为办公能源消耗，主要为水、汽油、天然气、液化石油气等直接自然资源消耗及外购电力、办公用纸等间接自然资源消耗。为降低本行经营活动对环境的影响，本行一是开展增收节支、节能减排、光盘行动、垃圾分类、植树造林等活动，倡导节约水、电等办公资源消耗；二是严格财务审核，对可有可无的办公耗材，一律不予采购，对能源消耗极大进行限制性审批，严格控制年度碳排放量增幅在8%以内。</w:t>
      </w:r>
    </w:p>
    <w:p>
      <w:pPr>
        <w:keepNext w:val="0"/>
        <w:keepLines w:val="0"/>
        <w:pageBreakBefore w:val="0"/>
        <w:widowControl/>
        <w:kinsoku/>
        <w:wordWrap/>
        <w:overflowPunct/>
        <w:topLinePunct w:val="0"/>
        <w:bidi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202</w:t>
      </w:r>
      <w:r>
        <w:rPr>
          <w:rFonts w:hint="eastAsia" w:ascii="宋体" w:hAnsi="宋体" w:cs="宋体"/>
          <w:color w:val="000000"/>
          <w:kern w:val="0"/>
          <w:sz w:val="28"/>
          <w:szCs w:val="28"/>
          <w:highlight w:val="none"/>
          <w:lang w:val="en-US" w:eastAsia="zh-CN"/>
        </w:rPr>
        <w:t>4</w:t>
      </w:r>
      <w:r>
        <w:rPr>
          <w:rFonts w:hint="eastAsia" w:ascii="宋体" w:hAnsi="宋体" w:cs="宋体"/>
          <w:color w:val="000000"/>
          <w:kern w:val="0"/>
          <w:sz w:val="28"/>
          <w:szCs w:val="28"/>
          <w:highlight w:val="none"/>
        </w:rPr>
        <w:t>年度经营活动产生的自然资源消耗</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2258"/>
        <w:gridCol w:w="1592"/>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1" w:type="pct"/>
            <w:gridSpan w:val="2"/>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环境指标</w:t>
            </w:r>
          </w:p>
        </w:tc>
        <w:tc>
          <w:tcPr>
            <w:tcW w:w="934"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指标单位</w:t>
            </w:r>
          </w:p>
        </w:tc>
        <w:tc>
          <w:tcPr>
            <w:tcW w:w="1035"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hint="eastAsia" w:ascii="宋体" w:hAnsi="宋体" w:cs="宋体" w:eastAsiaTheme="minorEastAsia"/>
                <w:b/>
                <w:bCs/>
                <w:color w:val="000000"/>
                <w:kern w:val="0"/>
                <w:sz w:val="28"/>
                <w:szCs w:val="28"/>
                <w:highlight w:val="none"/>
                <w:lang w:eastAsia="zh-CN"/>
              </w:rPr>
            </w:pPr>
            <w:r>
              <w:rPr>
                <w:rFonts w:hint="eastAsia" w:ascii="宋体" w:hAnsi="宋体" w:cs="宋体"/>
                <w:b/>
                <w:bCs/>
                <w:color w:val="000000"/>
                <w:kern w:val="0"/>
                <w:sz w:val="28"/>
                <w:szCs w:val="28"/>
                <w:highlight w:val="none"/>
                <w:lang w:val="en-US" w:eastAsia="zh-CN"/>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Merge w:val="restar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经营活动产生的直接自然资源消耗</w:t>
            </w:r>
          </w:p>
        </w:tc>
        <w:tc>
          <w:tcPr>
            <w:tcW w:w="1325"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天然气</w:t>
            </w:r>
          </w:p>
        </w:tc>
        <w:tc>
          <w:tcPr>
            <w:tcW w:w="934"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立方米</w:t>
            </w:r>
          </w:p>
        </w:tc>
        <w:tc>
          <w:tcPr>
            <w:tcW w:w="1035" w:type="pct"/>
            <w:shd w:val="clear" w:color="auto" w:fill="auto"/>
            <w:vAlign w:val="center"/>
          </w:tcPr>
          <w:p>
            <w:pPr>
              <w:keepNext w:val="0"/>
              <w:keepLines w:val="0"/>
              <w:pageBreakBefore w:val="0"/>
              <w:widowControl/>
              <w:kinsoku/>
              <w:wordWrap/>
              <w:overflowPunct/>
              <w:topLinePunct w:val="0"/>
              <w:bidi w:val="0"/>
              <w:snapToGrid w:val="0"/>
              <w:spacing w:line="576" w:lineRule="exact"/>
              <w:jc w:val="right"/>
              <w:rPr>
                <w:rFonts w:ascii="Times New Roman" w:hAnsi="Times New Roman" w:cs="Times New Roman"/>
                <w:color w:val="000000"/>
                <w:kern w:val="0"/>
                <w:sz w:val="28"/>
                <w:szCs w:val="28"/>
                <w:highlight w:val="none"/>
              </w:rPr>
            </w:pPr>
            <w:r>
              <w:rPr>
                <w:rFonts w:hint="eastAsia" w:ascii="Times New Roman" w:hAnsi="Times New Roman" w:cs="Times New Roman"/>
                <w:color w:val="000000"/>
                <w:kern w:val="0"/>
                <w:sz w:val="28"/>
                <w:szCs w:val="28"/>
                <w:highlight w:val="none"/>
                <w:lang w:val="en-US" w:eastAsia="zh-CN"/>
              </w:rPr>
              <w:t>105</w:t>
            </w:r>
            <w:r>
              <w:rPr>
                <w:rFonts w:ascii="Times New Roman" w:hAnsi="Times New Roman" w:cs="Times New Roman"/>
                <w:color w:val="000000"/>
                <w:kern w:val="0"/>
                <w:sz w:val="28"/>
                <w:szCs w:val="28"/>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Merge w:val="continue"/>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p>
        </w:tc>
        <w:tc>
          <w:tcPr>
            <w:tcW w:w="1325"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液化石油气</w:t>
            </w:r>
          </w:p>
        </w:tc>
        <w:tc>
          <w:tcPr>
            <w:tcW w:w="934"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千克</w:t>
            </w:r>
          </w:p>
        </w:tc>
        <w:tc>
          <w:tcPr>
            <w:tcW w:w="1035" w:type="pct"/>
            <w:shd w:val="clear" w:color="auto" w:fill="auto"/>
            <w:vAlign w:val="center"/>
          </w:tcPr>
          <w:p>
            <w:pPr>
              <w:keepNext w:val="0"/>
              <w:keepLines w:val="0"/>
              <w:pageBreakBefore w:val="0"/>
              <w:widowControl/>
              <w:kinsoku/>
              <w:wordWrap/>
              <w:overflowPunct/>
              <w:topLinePunct w:val="0"/>
              <w:bidi w:val="0"/>
              <w:snapToGrid w:val="0"/>
              <w:spacing w:line="576" w:lineRule="exact"/>
              <w:jc w:val="right"/>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3</w:t>
            </w:r>
            <w:r>
              <w:rPr>
                <w:rFonts w:hint="eastAsia" w:ascii="Times New Roman" w:hAnsi="Times New Roman" w:cs="Times New Roman"/>
                <w:color w:val="000000"/>
                <w:kern w:val="0"/>
                <w:sz w:val="28"/>
                <w:szCs w:val="28"/>
                <w:highlight w:val="none"/>
                <w:lang w:val="en-US" w:eastAsia="zh-CN"/>
              </w:rPr>
              <w:t>292</w:t>
            </w:r>
            <w:r>
              <w:rPr>
                <w:rFonts w:ascii="Times New Roman" w:hAnsi="Times New Roman" w:cs="Times New Roman"/>
                <w:color w:val="000000"/>
                <w:kern w:val="0"/>
                <w:sz w:val="28"/>
                <w:szCs w:val="28"/>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Merge w:val="continue"/>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p>
        </w:tc>
        <w:tc>
          <w:tcPr>
            <w:tcW w:w="1325"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hint="eastAsia" w:ascii="宋体" w:hAnsi="宋体" w:cs="宋体" w:eastAsiaTheme="minorEastAsia"/>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煤</w:t>
            </w:r>
          </w:p>
        </w:tc>
        <w:tc>
          <w:tcPr>
            <w:tcW w:w="934"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hint="eastAsia" w:ascii="宋体" w:hAnsi="宋体" w:cs="宋体" w:eastAsiaTheme="minorEastAsia"/>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吨</w:t>
            </w:r>
          </w:p>
        </w:tc>
        <w:tc>
          <w:tcPr>
            <w:tcW w:w="1035" w:type="pct"/>
            <w:shd w:val="clear" w:color="auto" w:fill="auto"/>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color w:val="000000"/>
                <w:kern w:val="0"/>
                <w:sz w:val="28"/>
                <w:szCs w:val="28"/>
                <w:highlight w:val="none"/>
                <w:lang w:val="en-US" w:eastAsia="zh-CN"/>
              </w:rPr>
            </w:pPr>
            <w:r>
              <w:rPr>
                <w:rFonts w:hint="eastAsia" w:ascii="Times New Roman" w:hAnsi="Times New Roman" w:cs="Times New Roman"/>
                <w:color w:val="000000"/>
                <w:kern w:val="0"/>
                <w:sz w:val="28"/>
                <w:szCs w:val="28"/>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Merge w:val="continue"/>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p>
        </w:tc>
        <w:tc>
          <w:tcPr>
            <w:tcW w:w="1325"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公车用汽油</w:t>
            </w:r>
          </w:p>
        </w:tc>
        <w:tc>
          <w:tcPr>
            <w:tcW w:w="934"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升</w:t>
            </w:r>
          </w:p>
        </w:tc>
        <w:tc>
          <w:tcPr>
            <w:tcW w:w="1035" w:type="pct"/>
            <w:shd w:val="clear" w:color="auto" w:fill="auto"/>
            <w:vAlign w:val="center"/>
          </w:tcPr>
          <w:p>
            <w:pPr>
              <w:keepNext w:val="0"/>
              <w:keepLines w:val="0"/>
              <w:pageBreakBefore w:val="0"/>
              <w:widowControl/>
              <w:kinsoku/>
              <w:wordWrap/>
              <w:overflowPunct/>
              <w:topLinePunct w:val="0"/>
              <w:bidi w:val="0"/>
              <w:snapToGrid w:val="0"/>
              <w:spacing w:line="576" w:lineRule="exact"/>
              <w:jc w:val="right"/>
              <w:rPr>
                <w:rFonts w:ascii="Times New Roman" w:hAnsi="Times New Roman" w:cs="Times New Roman"/>
                <w:color w:val="000000"/>
                <w:kern w:val="0"/>
                <w:sz w:val="28"/>
                <w:szCs w:val="28"/>
                <w:highlight w:val="none"/>
              </w:rPr>
            </w:pPr>
            <w:r>
              <w:rPr>
                <w:rFonts w:hint="eastAsia" w:ascii="Times New Roman" w:hAnsi="Times New Roman" w:cs="Times New Roman"/>
                <w:color w:val="000000"/>
                <w:kern w:val="0"/>
                <w:sz w:val="28"/>
                <w:szCs w:val="28"/>
                <w:highlight w:val="none"/>
                <w:lang w:val="en-US" w:eastAsia="zh-CN"/>
              </w:rPr>
              <w:t>5538</w:t>
            </w:r>
            <w:r>
              <w:rPr>
                <w:rFonts w:ascii="Times New Roman" w:hAnsi="Times New Roman" w:cs="Times New Roman"/>
                <w:color w:val="000000"/>
                <w:kern w:val="0"/>
                <w:sz w:val="28"/>
                <w:szCs w:val="28"/>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Merge w:val="restar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经营活动产生的间接自然资源消耗</w:t>
            </w:r>
          </w:p>
        </w:tc>
        <w:tc>
          <w:tcPr>
            <w:tcW w:w="1325"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外购电力</w:t>
            </w:r>
          </w:p>
        </w:tc>
        <w:tc>
          <w:tcPr>
            <w:tcW w:w="934"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千瓦时</w:t>
            </w:r>
          </w:p>
        </w:tc>
        <w:tc>
          <w:tcPr>
            <w:tcW w:w="1035" w:type="pct"/>
            <w:shd w:val="clear" w:color="auto" w:fill="auto"/>
            <w:vAlign w:val="center"/>
          </w:tcPr>
          <w:p>
            <w:pPr>
              <w:keepNext w:val="0"/>
              <w:keepLines w:val="0"/>
              <w:pageBreakBefore w:val="0"/>
              <w:widowControl/>
              <w:kinsoku/>
              <w:wordWrap/>
              <w:overflowPunct/>
              <w:topLinePunct w:val="0"/>
              <w:bidi w:val="0"/>
              <w:snapToGrid w:val="0"/>
              <w:spacing w:line="576" w:lineRule="exact"/>
              <w:jc w:val="right"/>
              <w:rPr>
                <w:rFonts w:ascii="Times New Roman" w:hAnsi="Times New Roman" w:cs="Times New Roman"/>
                <w:color w:val="000000"/>
                <w:kern w:val="0"/>
                <w:sz w:val="28"/>
                <w:szCs w:val="28"/>
                <w:highlight w:val="none"/>
              </w:rPr>
            </w:pPr>
            <w:r>
              <w:rPr>
                <w:rFonts w:hint="eastAsia" w:ascii="Times New Roman" w:hAnsi="Times New Roman" w:cs="Times New Roman"/>
                <w:color w:val="000000"/>
                <w:kern w:val="0"/>
                <w:sz w:val="28"/>
                <w:szCs w:val="28"/>
                <w:highlight w:val="none"/>
              </w:rPr>
              <w:t>22</w:t>
            </w:r>
            <w:r>
              <w:rPr>
                <w:rFonts w:hint="eastAsia" w:ascii="Times New Roman" w:hAnsi="Times New Roman" w:cs="Times New Roman"/>
                <w:color w:val="000000"/>
                <w:kern w:val="0"/>
                <w:sz w:val="28"/>
                <w:szCs w:val="28"/>
                <w:highlight w:val="none"/>
                <w:lang w:val="en-US" w:eastAsia="zh-CN"/>
              </w:rPr>
              <w:t>08914</w:t>
            </w:r>
            <w:r>
              <w:rPr>
                <w:rFonts w:hint="eastAsia" w:ascii="Times New Roman" w:hAnsi="Times New Roman" w:cs="Times New Roman"/>
                <w:color w:val="000000"/>
                <w:kern w:val="0"/>
                <w:sz w:val="28"/>
                <w:szCs w:val="28"/>
                <w:highlight w:val="none"/>
              </w:rPr>
              <w:t>.</w:t>
            </w:r>
            <w:r>
              <w:rPr>
                <w:rFonts w:hint="eastAsia" w:ascii="Times New Roman" w:hAnsi="Times New Roman" w:cs="Times New Roman"/>
                <w:color w:val="000000"/>
                <w:kern w:val="0"/>
                <w:sz w:val="28"/>
                <w:szCs w:val="28"/>
                <w:highlight w:val="none"/>
                <w:lang w:val="en-US" w:eastAsia="zh-CN"/>
              </w:rPr>
              <w:t>8</w:t>
            </w:r>
            <w:r>
              <w:rPr>
                <w:rFonts w:ascii="Times New Roman" w:hAnsi="Times New Roman" w:cs="Times New Roman"/>
                <w:color w:val="000000"/>
                <w:kern w:val="0"/>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Merge w:val="continue"/>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p>
        </w:tc>
        <w:tc>
          <w:tcPr>
            <w:tcW w:w="1325"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办公用水消耗</w:t>
            </w:r>
          </w:p>
        </w:tc>
        <w:tc>
          <w:tcPr>
            <w:tcW w:w="934"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吨</w:t>
            </w:r>
          </w:p>
        </w:tc>
        <w:tc>
          <w:tcPr>
            <w:tcW w:w="1035" w:type="pct"/>
            <w:shd w:val="clear" w:color="auto" w:fill="auto"/>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eastAsiaTheme="minorEastAsia"/>
                <w:color w:val="000000"/>
                <w:kern w:val="0"/>
                <w:sz w:val="28"/>
                <w:szCs w:val="28"/>
                <w:highlight w:val="none"/>
                <w:lang w:val="en-US" w:eastAsia="zh-CN"/>
              </w:rPr>
            </w:pPr>
            <w:r>
              <w:rPr>
                <w:rFonts w:hint="eastAsia" w:ascii="Times New Roman" w:hAnsi="Times New Roman" w:cs="Times New Roman"/>
                <w:color w:val="000000"/>
                <w:kern w:val="0"/>
                <w:sz w:val="28"/>
                <w:szCs w:val="28"/>
                <w:highlight w:val="none"/>
              </w:rPr>
              <w:t>1</w:t>
            </w:r>
            <w:r>
              <w:rPr>
                <w:rFonts w:hint="eastAsia" w:ascii="Times New Roman" w:hAnsi="Times New Roman" w:cs="Times New Roman"/>
                <w:color w:val="000000"/>
                <w:kern w:val="0"/>
                <w:sz w:val="28"/>
                <w:szCs w:val="28"/>
                <w:highlight w:val="none"/>
                <w:lang w:val="en-US" w:eastAsia="zh-CN"/>
              </w:rPr>
              <w:t>4532</w:t>
            </w:r>
            <w:r>
              <w:rPr>
                <w:rFonts w:hint="eastAsia" w:ascii="Times New Roman" w:hAnsi="Times New Roman" w:cs="Times New Roman"/>
                <w:color w:val="000000"/>
                <w:kern w:val="0"/>
                <w:sz w:val="28"/>
                <w:szCs w:val="28"/>
                <w:highlight w:val="none"/>
              </w:rPr>
              <w:t>.</w:t>
            </w:r>
            <w:r>
              <w:rPr>
                <w:rFonts w:hint="eastAsia" w:ascii="Times New Roman" w:hAnsi="Times New Roman" w:cs="Times New Roman"/>
                <w:color w:val="000000"/>
                <w:kern w:val="0"/>
                <w:sz w:val="28"/>
                <w:szCs w:val="2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6" w:type="pct"/>
            <w:vMerge w:val="continue"/>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p>
        </w:tc>
        <w:tc>
          <w:tcPr>
            <w:tcW w:w="1325"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办公用纸消耗量</w:t>
            </w:r>
          </w:p>
        </w:tc>
        <w:tc>
          <w:tcPr>
            <w:tcW w:w="934" w:type="pct"/>
            <w:shd w:val="clear" w:color="auto" w:fill="auto"/>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张</w:t>
            </w:r>
          </w:p>
        </w:tc>
        <w:tc>
          <w:tcPr>
            <w:tcW w:w="1035" w:type="pct"/>
            <w:shd w:val="clear" w:color="auto" w:fill="auto"/>
            <w:vAlign w:val="center"/>
          </w:tcPr>
          <w:p>
            <w:pPr>
              <w:keepNext w:val="0"/>
              <w:keepLines w:val="0"/>
              <w:pageBreakBefore w:val="0"/>
              <w:widowControl/>
              <w:kinsoku/>
              <w:wordWrap/>
              <w:overflowPunct/>
              <w:topLinePunct w:val="0"/>
              <w:bidi w:val="0"/>
              <w:snapToGrid w:val="0"/>
              <w:spacing w:line="576" w:lineRule="exact"/>
              <w:jc w:val="right"/>
              <w:rPr>
                <w:rFonts w:ascii="Times New Roman" w:hAnsi="Times New Roman" w:cs="Times New Roman"/>
                <w:color w:val="000000"/>
                <w:kern w:val="0"/>
                <w:sz w:val="28"/>
                <w:szCs w:val="28"/>
                <w:highlight w:val="none"/>
              </w:rPr>
            </w:pPr>
            <w:r>
              <w:rPr>
                <w:rFonts w:hint="eastAsia" w:ascii="Times New Roman" w:hAnsi="Times New Roman" w:cs="Times New Roman"/>
                <w:color w:val="000000"/>
                <w:kern w:val="0"/>
                <w:sz w:val="28"/>
                <w:szCs w:val="28"/>
                <w:highlight w:val="none"/>
              </w:rPr>
              <w:t>1</w:t>
            </w:r>
            <w:r>
              <w:rPr>
                <w:rFonts w:hint="eastAsia" w:ascii="Times New Roman" w:hAnsi="Times New Roman" w:cs="Times New Roman"/>
                <w:color w:val="000000"/>
                <w:kern w:val="0"/>
                <w:sz w:val="28"/>
                <w:szCs w:val="28"/>
                <w:highlight w:val="none"/>
                <w:lang w:val="en-US" w:eastAsia="zh-CN"/>
              </w:rPr>
              <w:t>647</w:t>
            </w:r>
            <w:r>
              <w:rPr>
                <w:rFonts w:hint="eastAsia" w:ascii="Times New Roman" w:hAnsi="Times New Roman" w:cs="Times New Roman"/>
                <w:color w:val="000000"/>
                <w:kern w:val="0"/>
                <w:sz w:val="28"/>
                <w:szCs w:val="28"/>
                <w:highlight w:val="none"/>
              </w:rPr>
              <w:t>000</w:t>
            </w:r>
          </w:p>
        </w:tc>
      </w:tr>
    </w:tbl>
    <w:p>
      <w:pPr>
        <w:keepNext w:val="0"/>
        <w:keepLines w:val="0"/>
        <w:pageBreakBefore w:val="0"/>
        <w:kinsoku/>
        <w:wordWrap/>
        <w:overflowPunct/>
        <w:topLinePunct w:val="0"/>
        <w:bidi w:val="0"/>
        <w:snapToGrid w:val="0"/>
        <w:spacing w:line="576" w:lineRule="exact"/>
        <w:rPr>
          <w:sz w:val="28"/>
          <w:szCs w:val="28"/>
          <w:highlight w:val="none"/>
        </w:rPr>
      </w:pPr>
    </w:p>
    <w:p>
      <w:pPr>
        <w:keepNext w:val="0"/>
        <w:keepLines w:val="0"/>
        <w:pageBreakBefore w:val="0"/>
        <w:widowControl/>
        <w:kinsoku/>
        <w:wordWrap/>
        <w:overflowPunct/>
        <w:topLinePunct w:val="0"/>
        <w:bidi w:val="0"/>
        <w:spacing w:line="576" w:lineRule="exact"/>
        <w:jc w:val="center"/>
        <w:rPr>
          <w:rFonts w:ascii="宋体" w:hAnsi="宋体" w:cs="宋体"/>
          <w:color w:val="000000"/>
          <w:kern w:val="0"/>
          <w:sz w:val="28"/>
          <w:szCs w:val="28"/>
          <w:highlight w:val="none"/>
        </w:rPr>
      </w:pPr>
      <w:r>
        <w:rPr>
          <w:rFonts w:ascii="宋体" w:hAnsi="宋体" w:cs="宋体"/>
          <w:color w:val="000000"/>
          <w:kern w:val="0"/>
          <w:sz w:val="28"/>
          <w:szCs w:val="28"/>
          <w:highlight w:val="none"/>
        </w:rPr>
        <w:t>202</w:t>
      </w:r>
      <w:r>
        <w:rPr>
          <w:rFonts w:hint="eastAsia" w:ascii="宋体" w:hAnsi="宋体" w:cs="宋体"/>
          <w:color w:val="000000"/>
          <w:kern w:val="0"/>
          <w:sz w:val="28"/>
          <w:szCs w:val="28"/>
          <w:highlight w:val="none"/>
          <w:lang w:val="en-US" w:eastAsia="zh-CN"/>
        </w:rPr>
        <w:t>4</w:t>
      </w:r>
      <w:r>
        <w:rPr>
          <w:rFonts w:ascii="宋体" w:hAnsi="宋体" w:cs="宋体"/>
          <w:color w:val="000000"/>
          <w:kern w:val="0"/>
          <w:sz w:val="28"/>
          <w:szCs w:val="28"/>
          <w:highlight w:val="none"/>
        </w:rPr>
        <w:t>年度经营活动产生的温室气体排放</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3828"/>
        <w:gridCol w:w="2592"/>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温室气体排放范围</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温室气体排放量</w:t>
            </w:r>
          </w:p>
          <w:p>
            <w:pPr>
              <w:keepNext w:val="0"/>
              <w:keepLines w:val="0"/>
              <w:pageBreakBefore w:val="0"/>
              <w:widowControl/>
              <w:kinsoku/>
              <w:wordWrap/>
              <w:overflowPunct/>
              <w:topLinePunct w:val="0"/>
              <w:bidi w:val="0"/>
              <w:snapToGrid w:val="0"/>
              <w:spacing w:line="576" w:lineRule="exact"/>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（吨二氧化碳当量）</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人均排放量</w:t>
            </w:r>
          </w:p>
          <w:p>
            <w:pPr>
              <w:keepNext w:val="0"/>
              <w:keepLines w:val="0"/>
              <w:pageBreakBefore w:val="0"/>
              <w:widowControl/>
              <w:kinsoku/>
              <w:wordWrap/>
              <w:overflowPunct/>
              <w:topLinePunct w:val="0"/>
              <w:bidi w:val="0"/>
              <w:snapToGrid w:val="0"/>
              <w:spacing w:line="576" w:lineRule="exact"/>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（吨二氧化碳当量/人）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范围1：直接温室气体排放量</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eastAsiaTheme="minorEastAsia"/>
                <w:b/>
                <w:bCs/>
                <w:color w:val="000000"/>
                <w:kern w:val="0"/>
                <w:sz w:val="28"/>
                <w:szCs w:val="28"/>
                <w:highlight w:val="none"/>
                <w:lang w:val="en-US" w:eastAsia="zh-CN"/>
              </w:rPr>
            </w:pPr>
            <w:r>
              <w:rPr>
                <w:rFonts w:hint="eastAsia" w:ascii="Times New Roman" w:hAnsi="Times New Roman" w:cs="Times New Roman"/>
                <w:b/>
                <w:bCs/>
                <w:color w:val="000000"/>
                <w:kern w:val="0"/>
                <w:sz w:val="28"/>
                <w:szCs w:val="28"/>
                <w:highlight w:val="none"/>
                <w:lang w:val="en-US" w:eastAsia="zh-CN"/>
              </w:rPr>
              <w:t>25.15</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宋体" w:hAnsi="宋体" w:cs="宋体" w:eastAsiaTheme="minorEastAsia"/>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ind w:firstLine="140" w:firstLineChars="50"/>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其中：天然气产生的温室气体排放量</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eastAsiaTheme="minorEastAsia"/>
                <w:color w:val="000000"/>
                <w:kern w:val="0"/>
                <w:sz w:val="28"/>
                <w:szCs w:val="28"/>
                <w:highlight w:val="none"/>
                <w:lang w:val="en-US" w:eastAsia="zh-CN"/>
              </w:rPr>
            </w:pPr>
            <w:r>
              <w:rPr>
                <w:rFonts w:hint="eastAsia" w:ascii="Times New Roman" w:hAnsi="Times New Roman" w:cs="Times New Roman"/>
                <w:color w:val="000000"/>
                <w:kern w:val="0"/>
                <w:sz w:val="28"/>
                <w:szCs w:val="28"/>
                <w:highlight w:val="none"/>
                <w:lang w:val="en-US" w:eastAsia="zh-CN"/>
              </w:rPr>
              <w:t>0.23</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ind w:firstLine="140" w:firstLineChars="50"/>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 xml:space="preserve">      液化石油气产生的温室气体排放量</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eastAsiaTheme="minorEastAsia"/>
                <w:color w:val="000000"/>
                <w:kern w:val="0"/>
                <w:sz w:val="28"/>
                <w:szCs w:val="28"/>
                <w:highlight w:val="none"/>
                <w:lang w:val="en-US" w:eastAsia="zh-CN"/>
              </w:rPr>
            </w:pPr>
            <w:r>
              <w:rPr>
                <w:rFonts w:hint="eastAsia" w:ascii="Times New Roman" w:hAnsi="Times New Roman" w:cs="Times New Roman"/>
                <w:color w:val="000000"/>
                <w:kern w:val="0"/>
                <w:sz w:val="28"/>
                <w:szCs w:val="28"/>
                <w:highlight w:val="none"/>
                <w:lang w:val="en-US" w:eastAsia="zh-CN"/>
              </w:rPr>
              <w:t>9.71</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ind w:left="0" w:leftChars="0" w:firstLine="915" w:firstLineChars="327"/>
              <w:rPr>
                <w:rFonts w:hint="eastAsia" w:ascii="Times New Roman" w:hAnsi="Times New Roman" w:cs="Times New Roman" w:eastAsiaTheme="minorEastAsia"/>
                <w:color w:val="000000"/>
                <w:kern w:val="0"/>
                <w:sz w:val="28"/>
                <w:szCs w:val="28"/>
                <w:highlight w:val="none"/>
                <w:lang w:val="en-US" w:eastAsia="zh-CN"/>
              </w:rPr>
            </w:pPr>
            <w:r>
              <w:rPr>
                <w:rFonts w:hint="eastAsia" w:ascii="Times New Roman" w:hAnsi="Times New Roman" w:cs="Times New Roman"/>
                <w:color w:val="000000"/>
                <w:kern w:val="0"/>
                <w:sz w:val="28"/>
                <w:szCs w:val="28"/>
                <w:highlight w:val="none"/>
                <w:lang w:val="en-US" w:eastAsia="zh-CN"/>
              </w:rPr>
              <w:t>煤</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eastAsiaTheme="minorEastAsia"/>
                <w:color w:val="000000"/>
                <w:kern w:val="0"/>
                <w:sz w:val="28"/>
                <w:szCs w:val="28"/>
                <w:highlight w:val="none"/>
                <w:lang w:val="en-US" w:eastAsia="zh-CN"/>
              </w:rPr>
            </w:pPr>
            <w:r>
              <w:rPr>
                <w:rFonts w:hint="eastAsia" w:ascii="Times New Roman" w:hAnsi="Times New Roman" w:cs="Times New Roman"/>
                <w:color w:val="000000"/>
                <w:kern w:val="0"/>
                <w:sz w:val="28"/>
                <w:szCs w:val="28"/>
                <w:highlight w:val="none"/>
                <w:lang w:val="en-US" w:eastAsia="zh-CN"/>
              </w:rPr>
              <w:t>3.16</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ind w:firstLine="140" w:firstLineChars="50"/>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 xml:space="preserve">      汽油产生的温室气体排放量</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color w:val="000000"/>
                <w:kern w:val="0"/>
                <w:sz w:val="28"/>
                <w:szCs w:val="28"/>
                <w:highlight w:val="none"/>
                <w:lang w:val="en-US"/>
              </w:rPr>
            </w:pPr>
            <w:r>
              <w:rPr>
                <w:rFonts w:hint="eastAsia" w:ascii="Times New Roman" w:hAnsi="Times New Roman" w:cs="Times New Roman"/>
                <w:color w:val="000000"/>
                <w:kern w:val="0"/>
                <w:sz w:val="28"/>
                <w:szCs w:val="28"/>
                <w:highlight w:val="none"/>
                <w:lang w:val="en-US" w:eastAsia="zh-CN"/>
              </w:rPr>
              <w:t>12.05</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eastAsia" w:ascii="宋体" w:hAnsi="宋体" w:cs="宋体"/>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范围2：间接温室气体排放量</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eastAsiaTheme="minorEastAsia"/>
                <w:b/>
                <w:bCs/>
                <w:color w:val="000000"/>
                <w:kern w:val="0"/>
                <w:sz w:val="28"/>
                <w:szCs w:val="28"/>
                <w:highlight w:val="none"/>
                <w:lang w:val="en-US" w:eastAsia="zh-CN"/>
              </w:rPr>
            </w:pPr>
            <w:r>
              <w:rPr>
                <w:rFonts w:hint="eastAsia" w:ascii="Times New Roman" w:hAnsi="Times New Roman" w:cs="Times New Roman"/>
                <w:b/>
                <w:bCs/>
                <w:color w:val="000000"/>
                <w:kern w:val="0"/>
                <w:sz w:val="28"/>
                <w:szCs w:val="28"/>
                <w:highlight w:val="none"/>
              </w:rPr>
              <w:t>109</w:t>
            </w:r>
            <w:r>
              <w:rPr>
                <w:rFonts w:hint="eastAsia" w:ascii="Times New Roman" w:hAnsi="Times New Roman" w:cs="Times New Roman"/>
                <w:b/>
                <w:bCs/>
                <w:color w:val="000000"/>
                <w:kern w:val="0"/>
                <w:sz w:val="28"/>
                <w:szCs w:val="28"/>
                <w:highlight w:val="none"/>
                <w:lang w:val="en-US" w:eastAsia="zh-CN"/>
              </w:rPr>
              <w:t>3</w:t>
            </w:r>
            <w:r>
              <w:rPr>
                <w:rFonts w:hint="eastAsia" w:ascii="Times New Roman" w:hAnsi="Times New Roman" w:cs="Times New Roman"/>
                <w:b/>
                <w:bCs/>
                <w:color w:val="000000"/>
                <w:kern w:val="0"/>
                <w:sz w:val="28"/>
                <w:szCs w:val="28"/>
                <w:highlight w:val="none"/>
              </w:rPr>
              <w:t>.</w:t>
            </w:r>
            <w:r>
              <w:rPr>
                <w:rFonts w:hint="eastAsia" w:ascii="Times New Roman" w:hAnsi="Times New Roman" w:cs="Times New Roman"/>
                <w:b/>
                <w:bCs/>
                <w:color w:val="000000"/>
                <w:kern w:val="0"/>
                <w:sz w:val="28"/>
                <w:szCs w:val="28"/>
                <w:highlight w:val="none"/>
                <w:lang w:val="en-US" w:eastAsia="zh-CN"/>
              </w:rPr>
              <w:t>19</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宋体" w:hAnsi="宋体" w:cs="宋体" w:eastAsiaTheme="minorEastAsia"/>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ind w:firstLine="140" w:firstLineChars="50"/>
              <w:rPr>
                <w:rFonts w:ascii="Times New Roman" w:hAnsi="Times New Roman" w:cs="Times New Roman"/>
                <w:b w:val="0"/>
                <w:bCs w:val="0"/>
                <w:color w:val="000000"/>
                <w:kern w:val="0"/>
                <w:sz w:val="28"/>
                <w:szCs w:val="28"/>
                <w:highlight w:val="none"/>
              </w:rPr>
            </w:pPr>
            <w:r>
              <w:rPr>
                <w:rFonts w:ascii="Times New Roman" w:hAnsi="Times New Roman" w:cs="Times New Roman"/>
                <w:b w:val="0"/>
                <w:bCs w:val="0"/>
                <w:color w:val="000000"/>
                <w:kern w:val="0"/>
                <w:sz w:val="28"/>
                <w:szCs w:val="28"/>
                <w:highlight w:val="none"/>
              </w:rPr>
              <w:t>其中：电力产生的温室气体排放量</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eastAsiaTheme="minorEastAsia"/>
                <w:b w:val="0"/>
                <w:bCs w:val="0"/>
                <w:color w:val="000000"/>
                <w:kern w:val="0"/>
                <w:sz w:val="28"/>
                <w:szCs w:val="28"/>
                <w:highlight w:val="none"/>
                <w:lang w:val="en-US" w:eastAsia="zh-CN"/>
              </w:rPr>
            </w:pPr>
            <w:r>
              <w:rPr>
                <w:rFonts w:hint="eastAsia" w:ascii="Times New Roman" w:hAnsi="Times New Roman" w:cs="Times New Roman"/>
                <w:b w:val="0"/>
                <w:bCs w:val="0"/>
                <w:color w:val="000000"/>
                <w:kern w:val="0"/>
                <w:sz w:val="28"/>
                <w:szCs w:val="28"/>
                <w:highlight w:val="none"/>
              </w:rPr>
              <w:t>109</w:t>
            </w:r>
            <w:r>
              <w:rPr>
                <w:rFonts w:hint="eastAsia" w:ascii="Times New Roman" w:hAnsi="Times New Roman" w:cs="Times New Roman"/>
                <w:b w:val="0"/>
                <w:bCs w:val="0"/>
                <w:color w:val="000000"/>
                <w:kern w:val="0"/>
                <w:sz w:val="28"/>
                <w:szCs w:val="28"/>
                <w:highlight w:val="none"/>
                <w:lang w:val="en-US" w:eastAsia="zh-CN"/>
              </w:rPr>
              <w:t>3</w:t>
            </w:r>
            <w:r>
              <w:rPr>
                <w:rFonts w:hint="eastAsia" w:ascii="Times New Roman" w:hAnsi="Times New Roman" w:cs="Times New Roman"/>
                <w:b w:val="0"/>
                <w:bCs w:val="0"/>
                <w:color w:val="000000"/>
                <w:kern w:val="0"/>
                <w:sz w:val="28"/>
                <w:szCs w:val="28"/>
                <w:highlight w:val="none"/>
              </w:rPr>
              <w:t>.</w:t>
            </w:r>
            <w:r>
              <w:rPr>
                <w:rFonts w:hint="eastAsia" w:ascii="Times New Roman" w:hAnsi="Times New Roman" w:cs="Times New Roman"/>
                <w:b w:val="0"/>
                <w:bCs w:val="0"/>
                <w:color w:val="000000"/>
                <w:kern w:val="0"/>
                <w:sz w:val="28"/>
                <w:szCs w:val="28"/>
                <w:highlight w:val="none"/>
                <w:lang w:val="en-US" w:eastAsia="zh-CN"/>
              </w:rPr>
              <w:t>19</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ascii="宋体" w:hAnsi="宋体" w:cs="宋体"/>
                <w:b w:val="0"/>
                <w:bCs w:val="0"/>
                <w:color w:val="000000"/>
                <w:kern w:val="0"/>
                <w:sz w:val="28"/>
                <w:szCs w:val="28"/>
                <w:highlight w:val="none"/>
              </w:rPr>
            </w:pPr>
            <w:r>
              <w:rPr>
                <w:rFonts w:hint="eastAsia" w:ascii="宋体" w:hAnsi="宋体" w:cs="宋体"/>
                <w:b w:val="0"/>
                <w:bCs w:val="0"/>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范围</w:t>
            </w:r>
            <w:r>
              <w:rPr>
                <w:rFonts w:hint="eastAsia" w:ascii="Times New Roman" w:hAnsi="Times New Roman" w:cs="Times New Roman"/>
                <w:b/>
                <w:bCs/>
                <w:color w:val="000000"/>
                <w:kern w:val="0"/>
                <w:sz w:val="28"/>
                <w:szCs w:val="28"/>
                <w:highlight w:val="none"/>
                <w:lang w:val="en-US" w:eastAsia="zh-CN"/>
              </w:rPr>
              <w:t>3</w:t>
            </w:r>
            <w:r>
              <w:rPr>
                <w:rFonts w:ascii="Times New Roman" w:hAnsi="Times New Roman" w:cs="Times New Roman"/>
                <w:b/>
                <w:bCs/>
                <w:color w:val="000000"/>
                <w:kern w:val="0"/>
                <w:sz w:val="28"/>
                <w:szCs w:val="28"/>
                <w:highlight w:val="none"/>
              </w:rPr>
              <w:t>：</w:t>
            </w:r>
            <w:r>
              <w:rPr>
                <w:rFonts w:hint="eastAsia" w:ascii="Times New Roman" w:hAnsi="Times New Roman" w:cs="Times New Roman"/>
                <w:b/>
                <w:bCs/>
                <w:color w:val="000000"/>
                <w:kern w:val="0"/>
                <w:sz w:val="28"/>
                <w:szCs w:val="28"/>
                <w:highlight w:val="none"/>
              </w:rPr>
              <w:t>其他间接温室气体排放</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eastAsiaTheme="minorEastAsia"/>
                <w:b/>
                <w:bCs/>
                <w:color w:val="000000"/>
                <w:kern w:val="0"/>
                <w:sz w:val="28"/>
                <w:szCs w:val="28"/>
                <w:highlight w:val="none"/>
                <w:lang w:val="en-US" w:eastAsia="zh-CN"/>
              </w:rPr>
            </w:pPr>
            <w:r>
              <w:rPr>
                <w:rFonts w:hint="eastAsia" w:ascii="Times New Roman" w:hAnsi="Times New Roman" w:cs="Times New Roman"/>
                <w:b/>
                <w:bCs/>
                <w:color w:val="000000"/>
                <w:kern w:val="0"/>
                <w:sz w:val="28"/>
                <w:szCs w:val="28"/>
                <w:highlight w:val="none"/>
                <w:lang w:val="en-US" w:eastAsia="zh-CN"/>
              </w:rPr>
              <w:t>39.53</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宋体" w:hAnsi="宋体" w:cs="宋体" w:eastAsiaTheme="minorEastAsia"/>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rPr>
                <w:rFonts w:ascii="Times New Roman" w:hAnsi="Times New Roman" w:cs="Times New Roman"/>
                <w:b/>
                <w:bCs/>
                <w:color w:val="000000"/>
                <w:kern w:val="0"/>
                <w:sz w:val="28"/>
                <w:szCs w:val="28"/>
                <w:highlight w:val="none"/>
              </w:rPr>
            </w:pPr>
            <w:r>
              <w:rPr>
                <w:rFonts w:ascii="Times New Roman" w:hAnsi="Times New Roman" w:cs="Times New Roman"/>
                <w:b w:val="0"/>
                <w:bCs w:val="0"/>
                <w:color w:val="000000"/>
                <w:kern w:val="0"/>
                <w:sz w:val="28"/>
                <w:szCs w:val="28"/>
                <w:highlight w:val="none"/>
              </w:rPr>
              <w:t>其中：</w:t>
            </w:r>
            <w:r>
              <w:rPr>
                <w:rFonts w:hint="eastAsia" w:ascii="宋体" w:hAnsi="宋体" w:cs="宋体"/>
                <w:b w:val="0"/>
                <w:bCs w:val="0"/>
                <w:color w:val="000000"/>
                <w:kern w:val="0"/>
                <w:sz w:val="28"/>
                <w:szCs w:val="28"/>
                <w:highlight w:val="none"/>
              </w:rPr>
              <w:t>办公用水</w:t>
            </w:r>
            <w:r>
              <w:rPr>
                <w:rFonts w:ascii="Times New Roman" w:hAnsi="Times New Roman" w:cs="Times New Roman"/>
                <w:b w:val="0"/>
                <w:bCs w:val="0"/>
                <w:color w:val="000000"/>
                <w:kern w:val="0"/>
                <w:sz w:val="28"/>
                <w:szCs w:val="28"/>
                <w:highlight w:val="none"/>
              </w:rPr>
              <w:t>产生的温室气体排放量</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eastAsiaTheme="minorEastAsia"/>
                <w:b w:val="0"/>
                <w:bCs w:val="0"/>
                <w:color w:val="000000"/>
                <w:kern w:val="0"/>
                <w:sz w:val="28"/>
                <w:szCs w:val="28"/>
                <w:highlight w:val="none"/>
                <w:lang w:val="en-US" w:eastAsia="zh-CN" w:bidi="ar-SA"/>
              </w:rPr>
            </w:pPr>
            <w:r>
              <w:rPr>
                <w:rFonts w:hint="eastAsia" w:ascii="Times New Roman" w:hAnsi="Times New Roman" w:cs="Times New Roman"/>
                <w:b w:val="0"/>
                <w:bCs w:val="0"/>
                <w:color w:val="000000"/>
                <w:kern w:val="0"/>
                <w:sz w:val="28"/>
                <w:szCs w:val="28"/>
                <w:highlight w:val="none"/>
                <w:lang w:val="en-US" w:eastAsia="zh-CN"/>
              </w:rPr>
              <w:t>26.88</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eastAsia" w:ascii="宋体" w:hAnsi="宋体" w:cs="宋体" w:eastAsiaTheme="minorEastAsia"/>
                <w:b w:val="0"/>
                <w:bCs w:val="0"/>
                <w:color w:val="000000"/>
                <w:kern w:val="0"/>
                <w:sz w:val="28"/>
                <w:szCs w:val="28"/>
                <w:highlight w:val="none"/>
                <w:lang w:val="en-US" w:eastAsia="zh-CN" w:bidi="ar-SA"/>
              </w:rPr>
            </w:pPr>
            <w:r>
              <w:rPr>
                <w:rFonts w:hint="eastAsia" w:ascii="宋体" w:hAnsi="宋体" w:cs="宋体"/>
                <w:b w:val="0"/>
                <w:bCs w:val="0"/>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ind w:firstLine="840" w:firstLineChars="300"/>
              <w:rPr>
                <w:rFonts w:ascii="Times New Roman" w:hAnsi="Times New Roman" w:cs="Times New Roman"/>
                <w:b w:val="0"/>
                <w:bCs w:val="0"/>
                <w:color w:val="000000"/>
                <w:kern w:val="0"/>
                <w:sz w:val="28"/>
                <w:szCs w:val="28"/>
                <w:highlight w:val="none"/>
              </w:rPr>
            </w:pPr>
            <w:r>
              <w:rPr>
                <w:rFonts w:hint="eastAsia" w:ascii="宋体" w:hAnsi="宋体" w:cs="宋体"/>
                <w:b w:val="0"/>
                <w:bCs w:val="0"/>
                <w:color w:val="000000"/>
                <w:kern w:val="0"/>
                <w:sz w:val="28"/>
                <w:szCs w:val="28"/>
                <w:highlight w:val="none"/>
              </w:rPr>
              <w:t>办公用纸</w:t>
            </w:r>
            <w:r>
              <w:rPr>
                <w:rFonts w:ascii="Times New Roman" w:hAnsi="Times New Roman" w:cs="Times New Roman"/>
                <w:b w:val="0"/>
                <w:bCs w:val="0"/>
                <w:color w:val="000000"/>
                <w:kern w:val="0"/>
                <w:sz w:val="28"/>
                <w:szCs w:val="28"/>
                <w:highlight w:val="none"/>
              </w:rPr>
              <w:t>产生的温室气体排放量</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eastAsiaTheme="minorEastAsia"/>
                <w:b w:val="0"/>
                <w:bCs w:val="0"/>
                <w:color w:val="000000"/>
                <w:kern w:val="0"/>
                <w:sz w:val="28"/>
                <w:szCs w:val="28"/>
                <w:highlight w:val="none"/>
                <w:lang w:val="en-US" w:eastAsia="zh-CN"/>
              </w:rPr>
            </w:pPr>
            <w:r>
              <w:rPr>
                <w:rFonts w:hint="eastAsia" w:ascii="Times New Roman" w:hAnsi="Times New Roman" w:cs="Times New Roman"/>
                <w:b w:val="0"/>
                <w:bCs w:val="0"/>
                <w:color w:val="000000"/>
                <w:kern w:val="0"/>
                <w:sz w:val="28"/>
                <w:szCs w:val="28"/>
                <w:highlight w:val="none"/>
                <w:lang w:val="en-US" w:eastAsia="zh-CN"/>
              </w:rPr>
              <w:t>12.65</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eastAsia" w:ascii="宋体" w:hAnsi="宋体" w:cs="宋体"/>
                <w:b w:val="0"/>
                <w:bCs w:val="0"/>
                <w:color w:val="000000"/>
                <w:kern w:val="0"/>
                <w:sz w:val="28"/>
                <w:szCs w:val="28"/>
                <w:highlight w:val="none"/>
                <w:lang w:val="en-US" w:eastAsia="zh-CN"/>
              </w:rPr>
            </w:pPr>
            <w:r>
              <w:rPr>
                <w:rFonts w:hint="eastAsia" w:ascii="宋体" w:hAnsi="宋体" w:cs="宋体"/>
                <w:b w:val="0"/>
                <w:bCs w:val="0"/>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5"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温室气体排放总量（范围1+2</w:t>
            </w:r>
            <w:r>
              <w:rPr>
                <w:rFonts w:hint="eastAsia" w:ascii="Times New Roman" w:hAnsi="Times New Roman" w:cs="Times New Roman"/>
                <w:b/>
                <w:bCs/>
                <w:color w:val="000000"/>
                <w:kern w:val="0"/>
                <w:sz w:val="28"/>
                <w:szCs w:val="28"/>
                <w:highlight w:val="none"/>
                <w:lang w:val="en-US" w:eastAsia="zh-CN"/>
              </w:rPr>
              <w:t>+3</w:t>
            </w:r>
            <w:r>
              <w:rPr>
                <w:rFonts w:ascii="Times New Roman" w:hAnsi="Times New Roman" w:cs="Times New Roman"/>
                <w:b/>
                <w:bCs/>
                <w:color w:val="000000"/>
                <w:kern w:val="0"/>
                <w:sz w:val="28"/>
                <w:szCs w:val="28"/>
                <w:highlight w:val="none"/>
              </w:rPr>
              <w:t>）</w:t>
            </w:r>
          </w:p>
        </w:tc>
        <w:tc>
          <w:tcPr>
            <w:tcW w:w="1520"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Times New Roman" w:hAnsi="Times New Roman" w:cs="Times New Roman" w:eastAsiaTheme="minorEastAsia"/>
                <w:b/>
                <w:bCs/>
                <w:color w:val="000000"/>
                <w:kern w:val="0"/>
                <w:sz w:val="28"/>
                <w:szCs w:val="28"/>
                <w:highlight w:val="none"/>
                <w:lang w:val="en-US" w:eastAsia="zh-CN"/>
              </w:rPr>
            </w:pPr>
            <w:r>
              <w:rPr>
                <w:rFonts w:hint="eastAsia" w:ascii="Times New Roman" w:hAnsi="Times New Roman" w:cs="Times New Roman"/>
                <w:b/>
                <w:bCs/>
                <w:color w:val="000000"/>
                <w:kern w:val="0"/>
                <w:sz w:val="28"/>
                <w:szCs w:val="28"/>
                <w:highlight w:val="none"/>
                <w:lang w:val="en-US" w:eastAsia="zh-CN"/>
              </w:rPr>
              <w:t>1157.87</w:t>
            </w:r>
          </w:p>
        </w:tc>
        <w:tc>
          <w:tcPr>
            <w:tcW w:w="1233" w:type="pct"/>
            <w:shd w:val="clear" w:color="auto" w:fill="FFFFFF" w:themeFill="background1"/>
            <w:vAlign w:val="center"/>
          </w:tcPr>
          <w:p>
            <w:pPr>
              <w:keepNext w:val="0"/>
              <w:keepLines w:val="0"/>
              <w:pageBreakBefore w:val="0"/>
              <w:widowControl/>
              <w:kinsoku/>
              <w:wordWrap/>
              <w:overflowPunct/>
              <w:topLinePunct w:val="0"/>
              <w:bidi w:val="0"/>
              <w:snapToGrid w:val="0"/>
              <w:spacing w:line="576" w:lineRule="exact"/>
              <w:jc w:val="right"/>
              <w:rPr>
                <w:rFonts w:hint="default" w:ascii="宋体" w:hAnsi="宋体" w:cs="宋体" w:eastAsiaTheme="minorEastAsia"/>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3.34</w:t>
            </w:r>
          </w:p>
        </w:tc>
      </w:tr>
    </w:tbl>
    <w:p>
      <w:pPr>
        <w:keepNext w:val="0"/>
        <w:keepLines w:val="0"/>
        <w:pageBreakBefore w:val="0"/>
        <w:numPr>
          <w:ilvl w:val="0"/>
          <w:numId w:val="0"/>
        </w:numPr>
        <w:kinsoku/>
        <w:wordWrap/>
        <w:overflowPunct/>
        <w:topLinePunct w:val="0"/>
        <w:bidi w:val="0"/>
        <w:snapToGrid w:val="0"/>
        <w:spacing w:line="576" w:lineRule="exact"/>
        <w:ind w:leftChars="0"/>
        <w:rPr>
          <w:rFonts w:hint="eastAsia"/>
          <w:highlight w:val="none"/>
        </w:rPr>
      </w:pPr>
      <w:r>
        <w:rPr>
          <w:rFonts w:hint="eastAsia"/>
          <w:highlight w:val="none"/>
        </w:rPr>
        <w:t>注：</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20" w:firstLineChars="20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①202</w:t>
      </w: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年度经营活动产生的温室气体排放包括直接温室气体排放量（范围一）</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间接温室气体排放量（范围二）</w:t>
      </w:r>
      <w:r>
        <w:rPr>
          <w:rFonts w:hint="eastAsia" w:ascii="仿宋_GB2312" w:hAnsi="仿宋_GB2312" w:eastAsia="仿宋_GB2312" w:cs="仿宋_GB2312"/>
          <w:sz w:val="21"/>
          <w:szCs w:val="21"/>
          <w:highlight w:val="none"/>
          <w:lang w:val="en-US" w:eastAsia="zh-CN"/>
        </w:rPr>
        <w:t>及其他间接温室气体排放</w:t>
      </w:r>
      <w:r>
        <w:rPr>
          <w:rFonts w:hint="eastAsia" w:ascii="仿宋_GB2312" w:hAnsi="仿宋_GB2312" w:eastAsia="仿宋_GB2312" w:cs="仿宋_GB2312"/>
          <w:sz w:val="21"/>
          <w:szCs w:val="21"/>
          <w:highlight w:val="none"/>
        </w:rPr>
        <w:t>（范围</w:t>
      </w:r>
      <w:r>
        <w:rPr>
          <w:rFonts w:hint="eastAsia" w:ascii="仿宋_GB2312" w:hAnsi="仿宋_GB2312" w:eastAsia="仿宋_GB2312" w:cs="仿宋_GB2312"/>
          <w:sz w:val="21"/>
          <w:szCs w:val="21"/>
          <w:highlight w:val="none"/>
          <w:lang w:val="en-US" w:eastAsia="zh-CN"/>
        </w:rPr>
        <w:t>三</w:t>
      </w:r>
      <w:r>
        <w:rPr>
          <w:rFonts w:hint="eastAsia" w:ascii="仿宋_GB2312" w:hAnsi="仿宋_GB2312" w:eastAsia="仿宋_GB2312" w:cs="仿宋_GB2312"/>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20" w:firstLineChars="20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②人均排放量测算以桐梓农商银行正式编制员工为基准；</w:t>
      </w:r>
    </w:p>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420" w:firstLineChars="20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③天然气、标准煤、柴油、汽油的二氧化碳排放系数来自于《绿色信贷项目节能减排量测算指引》；</w:t>
      </w:r>
    </w:p>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420" w:firstLineChars="20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④液化石油气二氧化碳排放系数来自于2006 IPCC Guidelines for National Greenhouse Gas Inventories Volume 2 Energy（IPCC 2006 国家温室气体排放清单编制指南第二卷能源），液化石油气折标系数来自于《综合能耗计算通则》（GB/T 2589 — 2008）；</w:t>
      </w:r>
    </w:p>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420" w:firstLineChars="200"/>
        <w:textAlignment w:val="auto"/>
        <w:rPr>
          <w:rFonts w:hint="eastAsia" w:ascii="仿宋_GB2312" w:hAnsi="仿宋_GB2312" w:eastAsia="仿宋_GB2312" w:cs="仿宋_GB2312"/>
          <w:sz w:val="21"/>
          <w:szCs w:val="21"/>
          <w:highlight w:val="none"/>
        </w:rPr>
      </w:pPr>
      <w:r>
        <w:rPr>
          <w:rFonts w:hint="eastAsia" w:ascii="宋体" w:hAnsi="宋体" w:eastAsia="宋体" w:cs="宋体"/>
          <w:sz w:val="21"/>
          <w:szCs w:val="21"/>
          <w:highlight w:val="none"/>
        </w:rPr>
        <w:t>⑤</w:t>
      </w:r>
      <w:r>
        <w:rPr>
          <w:rFonts w:hint="eastAsia" w:ascii="仿宋_GB2312" w:hAnsi="仿宋_GB2312" w:eastAsia="仿宋_GB2312" w:cs="仿宋_GB2312"/>
          <w:sz w:val="21"/>
          <w:szCs w:val="21"/>
          <w:highlight w:val="none"/>
        </w:rPr>
        <w:t>外购电力排放系数来自于国家发改委公布的南方区域电网平均二氧化碳排放因子；</w:t>
      </w:r>
    </w:p>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420" w:firstLineChars="200"/>
        <w:textAlignment w:val="auto"/>
        <w:rPr>
          <w:highlight w:val="none"/>
        </w:rPr>
      </w:pPr>
      <w:r>
        <w:rPr>
          <w:rFonts w:hint="eastAsia" w:ascii="宋体" w:hAnsi="宋体" w:eastAsia="宋体" w:cs="宋体"/>
          <w:sz w:val="21"/>
          <w:szCs w:val="21"/>
          <w:highlight w:val="none"/>
        </w:rPr>
        <w:t>⑥</w:t>
      </w:r>
      <w:r>
        <w:rPr>
          <w:rFonts w:hint="eastAsia" w:ascii="仿宋_GB2312" w:hAnsi="仿宋_GB2312" w:eastAsia="仿宋_GB2312" w:cs="仿宋_GB2312"/>
          <w:sz w:val="21"/>
          <w:szCs w:val="21"/>
          <w:highlight w:val="none"/>
        </w:rPr>
        <w:t>办公用水和用纸的二氧化碳排放系数来自生态环境部环境规划院碳达峰碳中和研究中心《中国产品全生命周期温室气体排放系数集（2022）》。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29" w:rightChars="0" w:firstLine="640" w:firstLineChars="20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绿色金融创新做法及成果奖项</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行坚持立足县域，服务“三农”市场定位，按照省联社“三通”产品（“小微通”“易贷通”“致富通”）规划，结合当前市场需求环境，不断加大环境及绿色金融二级子产品创新力度。一是在“小微通”产品下创设“税快贷”线上产品，为县域中小微企业提供“方便、快捷、便利”的融资服务，提升中小微企业服务体验。二是加大绿色企业信用贷款支持力度，降低抵质押担保物要求，为县域符合条件的绿色企业提供200万元以下的信用贷款支持，切实解决县域绿色企业缺乏押品的问题。三是为绿色企业配备“一对一”专属服务客户经理，为绿色企业提供“专业、优质、高效”服务。</w:t>
      </w:r>
    </w:p>
    <w:p>
      <w:pPr>
        <w:spacing w:line="360" w:lineRule="auto"/>
        <w:ind w:right="629"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八、支持普惠主体及中小企业绿色发展情况</w:t>
      </w:r>
    </w:p>
    <w:p>
      <w:pPr>
        <w:spacing w:line="576" w:lineRule="exact"/>
        <w:ind w:firstLine="640" w:firstLineChars="200"/>
        <w:rPr>
          <w:highlight w:val="none"/>
        </w:rPr>
      </w:pPr>
      <w:r>
        <w:rPr>
          <w:rFonts w:hint="eastAsia" w:ascii="仿宋_GB2312" w:hAnsi="仿宋_GB2312" w:eastAsia="仿宋_GB2312" w:cs="仿宋_GB2312"/>
          <w:sz w:val="32"/>
          <w:szCs w:val="32"/>
          <w:highlight w:val="none"/>
        </w:rPr>
        <w:t>截至2024年末，本行普惠小微贷款7887户，余额26.76亿元；中小微企业贷款7932户，余额33.21亿元。其中绿色贷款余额0.36</w:t>
      </w:r>
      <w:r>
        <w:rPr>
          <w:rStyle w:val="11"/>
          <w:rFonts w:hint="default" w:ascii="仿宋_GB2312" w:hAnsi="仿宋_GB2312" w:eastAsia="仿宋_GB2312" w:cs="仿宋_GB2312"/>
          <w:color w:val="auto"/>
          <w:sz w:val="32"/>
          <w:szCs w:val="32"/>
          <w:highlight w:val="none"/>
          <w:lang w:bidi="ar"/>
        </w:rPr>
        <w:t>亿</w:t>
      </w:r>
      <w:r>
        <w:rPr>
          <w:rFonts w:hint="eastAsia" w:ascii="仿宋_GB2312" w:hAnsi="仿宋_GB2312" w:eastAsia="仿宋_GB2312" w:cs="仿宋_GB2312"/>
          <w:sz w:val="32"/>
          <w:szCs w:val="32"/>
          <w:highlight w:val="none"/>
        </w:rPr>
        <w:t>元，主要投向生态环境产业3587.45万元（占比100%）。</w:t>
      </w:r>
    </w:p>
    <w:p>
      <w:pPr>
        <w:spacing w:before="156" w:beforeLines="50" w:after="156" w:afterLines="50" w:line="576" w:lineRule="exact"/>
        <w:jc w:val="center"/>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202</w:t>
      </w:r>
      <w:r>
        <w:rPr>
          <w:rFonts w:hint="eastAsia" w:ascii="Times New Roman" w:hAnsi="Times New Roman" w:eastAsia="宋体" w:cs="Times New Roman"/>
          <w:sz w:val="28"/>
          <w:szCs w:val="28"/>
          <w:highlight w:val="none"/>
        </w:rPr>
        <w:t>4</w:t>
      </w:r>
      <w:r>
        <w:rPr>
          <w:rFonts w:ascii="Times New Roman" w:hAnsi="Times New Roman" w:eastAsia="宋体" w:cs="Times New Roman"/>
          <w:sz w:val="28"/>
          <w:szCs w:val="28"/>
          <w:highlight w:val="none"/>
        </w:rPr>
        <w:t>年度绿色信贷情况概览</w:t>
      </w:r>
    </w:p>
    <w:tbl>
      <w:tblPr>
        <w:tblStyle w:val="7"/>
        <w:tblW w:w="4998" w:type="pct"/>
        <w:tblInd w:w="0" w:type="dxa"/>
        <w:tblLayout w:type="autofit"/>
        <w:tblCellMar>
          <w:top w:w="0" w:type="dxa"/>
          <w:left w:w="108" w:type="dxa"/>
          <w:bottom w:w="0" w:type="dxa"/>
          <w:right w:w="108" w:type="dxa"/>
        </w:tblCellMar>
      </w:tblPr>
      <w:tblGrid>
        <w:gridCol w:w="4513"/>
        <w:gridCol w:w="2422"/>
        <w:gridCol w:w="1584"/>
      </w:tblGrid>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宋体" w:hAnsi="宋体" w:eastAsia="宋体" w:cs="宋体"/>
                <w:b/>
                <w:bCs/>
                <w:sz w:val="28"/>
                <w:szCs w:val="28"/>
                <w:highlight w:val="none"/>
              </w:rPr>
            </w:pPr>
            <w:r>
              <w:rPr>
                <w:rFonts w:hint="eastAsia" w:ascii="宋体" w:hAnsi="宋体" w:eastAsia="宋体" w:cs="宋体"/>
                <w:b/>
                <w:bCs/>
                <w:kern w:val="0"/>
                <w:sz w:val="28"/>
                <w:szCs w:val="28"/>
                <w:highlight w:val="none"/>
                <w:lang w:bidi="ar"/>
              </w:rPr>
              <w:t>指标</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宋体" w:hAnsi="宋体" w:eastAsia="宋体" w:cs="宋体"/>
                <w:b/>
                <w:bCs/>
                <w:sz w:val="28"/>
                <w:szCs w:val="28"/>
                <w:highlight w:val="none"/>
              </w:rPr>
            </w:pPr>
            <w:r>
              <w:rPr>
                <w:rFonts w:hint="eastAsia" w:ascii="宋体" w:hAnsi="宋体" w:eastAsia="宋体" w:cs="宋体"/>
                <w:b/>
                <w:bCs/>
                <w:kern w:val="0"/>
                <w:sz w:val="28"/>
                <w:szCs w:val="28"/>
                <w:highlight w:val="none"/>
                <w:lang w:bidi="ar"/>
              </w:rPr>
              <w:t>数额</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宋体" w:hAnsi="宋体" w:eastAsia="宋体" w:cs="宋体"/>
                <w:b/>
                <w:bCs/>
                <w:sz w:val="28"/>
                <w:szCs w:val="28"/>
                <w:highlight w:val="none"/>
              </w:rPr>
            </w:pPr>
            <w:r>
              <w:rPr>
                <w:rFonts w:hint="eastAsia" w:ascii="宋体" w:hAnsi="宋体" w:eastAsia="宋体" w:cs="宋体"/>
                <w:b/>
                <w:bCs/>
                <w:kern w:val="0"/>
                <w:sz w:val="28"/>
                <w:szCs w:val="28"/>
                <w:highlight w:val="none"/>
                <w:lang w:bidi="ar"/>
              </w:rPr>
              <w:t>单位</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textAlignment w:val="top"/>
              <w:rPr>
                <w:rFonts w:ascii="宋体" w:hAnsi="宋体" w:eastAsia="宋体" w:cs="宋体"/>
                <w:b/>
                <w:bCs/>
                <w:sz w:val="28"/>
                <w:szCs w:val="28"/>
                <w:highlight w:val="none"/>
              </w:rPr>
            </w:pPr>
            <w:r>
              <w:rPr>
                <w:rFonts w:hint="eastAsia" w:ascii="宋体" w:hAnsi="宋体" w:eastAsia="宋体" w:cs="宋体"/>
                <w:b/>
                <w:bCs/>
                <w:kern w:val="0"/>
                <w:sz w:val="28"/>
                <w:szCs w:val="28"/>
                <w:highlight w:val="none"/>
                <w:lang w:bidi="ar"/>
              </w:rPr>
              <w:t>信贷余额</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hint="eastAsia" w:ascii="Times New Roman" w:hAnsi="Times New Roman" w:eastAsia="宋体" w:cs="Times New Roman"/>
                <w:kern w:val="0"/>
                <w:sz w:val="28"/>
                <w:szCs w:val="28"/>
                <w:highlight w:val="none"/>
                <w:lang w:bidi="ar"/>
              </w:rPr>
              <w:t>91.16</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Style w:val="11"/>
                <w:rFonts w:hint="default" w:ascii="Times New Roman" w:hAnsi="Times New Roman" w:cs="Times New Roman"/>
                <w:color w:val="auto"/>
                <w:sz w:val="28"/>
                <w:szCs w:val="28"/>
                <w:highlight w:val="none"/>
                <w:lang w:bidi="ar"/>
              </w:rPr>
              <w:t>亿元</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textAlignment w:val="top"/>
              <w:rPr>
                <w:rFonts w:ascii="宋体" w:hAnsi="宋体" w:eastAsia="宋体" w:cs="宋体"/>
                <w:b/>
                <w:bCs/>
                <w:sz w:val="28"/>
                <w:szCs w:val="28"/>
                <w:highlight w:val="none"/>
              </w:rPr>
            </w:pPr>
            <w:r>
              <w:rPr>
                <w:rFonts w:hint="eastAsia" w:ascii="宋体" w:hAnsi="宋体" w:eastAsia="宋体" w:cs="宋体"/>
                <w:b/>
                <w:bCs/>
                <w:kern w:val="0"/>
                <w:sz w:val="28"/>
                <w:szCs w:val="28"/>
                <w:highlight w:val="none"/>
                <w:lang w:bidi="ar"/>
              </w:rPr>
              <w:t>绿色信贷余额</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ascii="Times New Roman" w:hAnsi="Times New Roman" w:eastAsia="宋体" w:cs="Times New Roman"/>
                <w:kern w:val="0"/>
                <w:sz w:val="28"/>
                <w:szCs w:val="28"/>
                <w:highlight w:val="none"/>
                <w:lang w:bidi="ar"/>
              </w:rPr>
              <w:t>0.</w:t>
            </w:r>
            <w:r>
              <w:rPr>
                <w:rFonts w:hint="eastAsia" w:ascii="Times New Roman" w:hAnsi="Times New Roman" w:eastAsia="宋体" w:cs="Times New Roman"/>
                <w:kern w:val="0"/>
                <w:sz w:val="28"/>
                <w:szCs w:val="28"/>
                <w:highlight w:val="none"/>
                <w:lang w:bidi="ar"/>
              </w:rPr>
              <w:t>36</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Style w:val="11"/>
                <w:rFonts w:hint="default" w:ascii="Times New Roman" w:hAnsi="Times New Roman" w:cs="Times New Roman"/>
                <w:color w:val="auto"/>
                <w:sz w:val="28"/>
                <w:szCs w:val="28"/>
                <w:highlight w:val="none"/>
                <w:lang w:bidi="ar"/>
              </w:rPr>
              <w:t>亿元</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textAlignment w:val="top"/>
              <w:rPr>
                <w:rFonts w:ascii="宋体" w:hAnsi="宋体" w:eastAsia="宋体" w:cs="宋体"/>
                <w:sz w:val="28"/>
                <w:szCs w:val="28"/>
                <w:highlight w:val="none"/>
              </w:rPr>
            </w:pPr>
            <w:r>
              <w:rPr>
                <w:rFonts w:hint="eastAsia" w:ascii="宋体" w:hAnsi="宋体" w:eastAsia="宋体" w:cs="宋体"/>
                <w:kern w:val="0"/>
                <w:sz w:val="28"/>
                <w:szCs w:val="28"/>
                <w:highlight w:val="none"/>
                <w:lang w:bidi="ar"/>
              </w:rPr>
              <w:t>其中：绿色信贷余额占比</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ascii="Times New Roman" w:hAnsi="Times New Roman" w:eastAsia="宋体" w:cs="Times New Roman"/>
                <w:kern w:val="0"/>
                <w:sz w:val="28"/>
                <w:szCs w:val="28"/>
                <w:highlight w:val="none"/>
                <w:lang w:bidi="ar"/>
              </w:rPr>
              <w:t>0.</w:t>
            </w:r>
            <w:r>
              <w:rPr>
                <w:rFonts w:hint="eastAsia" w:ascii="Times New Roman" w:hAnsi="Times New Roman" w:eastAsia="宋体" w:cs="Times New Roman"/>
                <w:kern w:val="0"/>
                <w:sz w:val="28"/>
                <w:szCs w:val="28"/>
                <w:highlight w:val="none"/>
                <w:lang w:bidi="ar"/>
              </w:rPr>
              <w:t>39</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ascii="Times New Roman" w:hAnsi="Times New Roman" w:eastAsia="宋体" w:cs="Times New Roman"/>
                <w:kern w:val="0"/>
                <w:sz w:val="28"/>
                <w:szCs w:val="28"/>
                <w:highlight w:val="none"/>
                <w:lang w:bidi="ar"/>
              </w:rPr>
              <w:t>%</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ind w:firstLine="840" w:firstLineChars="300"/>
              <w:textAlignment w:val="top"/>
              <w:rPr>
                <w:rFonts w:ascii="宋体" w:hAnsi="宋体" w:eastAsia="宋体" w:cs="宋体"/>
                <w:sz w:val="28"/>
                <w:szCs w:val="28"/>
                <w:highlight w:val="none"/>
              </w:rPr>
            </w:pPr>
            <w:r>
              <w:rPr>
                <w:rFonts w:hint="eastAsia" w:ascii="宋体" w:hAnsi="宋体" w:eastAsia="宋体" w:cs="宋体"/>
                <w:kern w:val="0"/>
                <w:sz w:val="28"/>
                <w:szCs w:val="28"/>
                <w:highlight w:val="none"/>
                <w:lang w:bidi="ar"/>
              </w:rPr>
              <w:t>较年初增加额</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hint="eastAsia" w:ascii="Times New Roman" w:hAnsi="Times New Roman" w:eastAsia="宋体" w:cs="Times New Roman"/>
                <w:kern w:val="0"/>
                <w:sz w:val="28"/>
                <w:szCs w:val="28"/>
                <w:highlight w:val="none"/>
                <w:lang w:bidi="ar"/>
              </w:rPr>
              <w:t>-0.31</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ascii="Times New Roman" w:hAnsi="Times New Roman" w:eastAsia="宋体" w:cs="Times New Roman"/>
                <w:kern w:val="0"/>
                <w:sz w:val="28"/>
                <w:szCs w:val="28"/>
                <w:highlight w:val="none"/>
                <w:lang w:bidi="ar"/>
              </w:rPr>
              <w:t>亿元</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ind w:firstLine="840" w:firstLineChars="300"/>
              <w:textAlignment w:val="top"/>
              <w:rPr>
                <w:rFonts w:ascii="宋体" w:hAnsi="宋体" w:eastAsia="宋体" w:cs="宋体"/>
                <w:sz w:val="28"/>
                <w:szCs w:val="28"/>
                <w:highlight w:val="none"/>
              </w:rPr>
            </w:pPr>
            <w:r>
              <w:rPr>
                <w:rFonts w:hint="eastAsia" w:ascii="宋体" w:hAnsi="宋体" w:eastAsia="宋体" w:cs="宋体"/>
                <w:kern w:val="0"/>
                <w:sz w:val="28"/>
                <w:szCs w:val="28"/>
                <w:highlight w:val="none"/>
                <w:lang w:bidi="ar"/>
              </w:rPr>
              <w:t>较年初增幅</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hint="eastAsia" w:ascii="Times New Roman" w:hAnsi="Times New Roman" w:eastAsia="宋体" w:cs="Times New Roman"/>
                <w:kern w:val="0"/>
                <w:sz w:val="28"/>
                <w:szCs w:val="28"/>
                <w:highlight w:val="none"/>
                <w:lang w:bidi="ar"/>
              </w:rPr>
              <w:t>-46.27</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ascii="Times New Roman" w:hAnsi="Times New Roman" w:eastAsia="宋体" w:cs="Times New Roman"/>
                <w:kern w:val="0"/>
                <w:sz w:val="28"/>
                <w:szCs w:val="28"/>
                <w:highlight w:val="none"/>
                <w:lang w:bidi="ar"/>
              </w:rPr>
              <w:t>%</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ind w:firstLine="840" w:firstLineChars="300"/>
              <w:textAlignment w:val="top"/>
              <w:rPr>
                <w:rFonts w:ascii="宋体" w:hAnsi="宋体" w:eastAsia="宋体" w:cs="宋体"/>
                <w:sz w:val="28"/>
                <w:szCs w:val="28"/>
                <w:highlight w:val="none"/>
              </w:rPr>
            </w:pPr>
            <w:r>
              <w:rPr>
                <w:rFonts w:hint="eastAsia" w:ascii="宋体" w:hAnsi="宋体" w:eastAsia="宋体" w:cs="宋体"/>
                <w:kern w:val="0"/>
                <w:sz w:val="28"/>
                <w:szCs w:val="28"/>
                <w:highlight w:val="none"/>
                <w:lang w:bidi="ar"/>
              </w:rPr>
              <w:t>绿色客户数量</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hint="eastAsia" w:ascii="Times New Roman" w:hAnsi="Times New Roman" w:eastAsia="宋体" w:cs="Times New Roman"/>
                <w:kern w:val="0"/>
                <w:sz w:val="28"/>
                <w:szCs w:val="28"/>
                <w:highlight w:val="none"/>
                <w:lang w:bidi="ar"/>
              </w:rPr>
              <w:t>14</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ascii="Times New Roman" w:hAnsi="Times New Roman" w:eastAsia="宋体" w:cs="Times New Roman"/>
                <w:kern w:val="0"/>
                <w:sz w:val="28"/>
                <w:szCs w:val="28"/>
                <w:highlight w:val="none"/>
                <w:lang w:bidi="ar"/>
              </w:rPr>
              <w:t>户</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textAlignment w:val="top"/>
              <w:rPr>
                <w:rFonts w:ascii="宋体" w:hAnsi="宋体" w:eastAsia="宋体" w:cs="宋体"/>
                <w:b/>
                <w:bCs/>
                <w:sz w:val="28"/>
                <w:szCs w:val="28"/>
                <w:highlight w:val="none"/>
              </w:rPr>
            </w:pPr>
            <w:r>
              <w:rPr>
                <w:rFonts w:hint="eastAsia" w:ascii="宋体" w:hAnsi="宋体" w:eastAsia="宋体" w:cs="宋体"/>
                <w:b/>
                <w:bCs/>
                <w:kern w:val="0"/>
                <w:sz w:val="28"/>
                <w:szCs w:val="28"/>
                <w:highlight w:val="none"/>
                <w:lang w:bidi="ar"/>
              </w:rPr>
              <w:t>对公表内信贷余额</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hint="eastAsia" w:ascii="Times New Roman" w:hAnsi="Times New Roman" w:eastAsia="宋体" w:cs="Times New Roman"/>
                <w:kern w:val="0"/>
                <w:sz w:val="28"/>
                <w:szCs w:val="28"/>
                <w:highlight w:val="none"/>
                <w:lang w:bidi="ar"/>
              </w:rPr>
              <w:t>15.80</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Style w:val="11"/>
                <w:rFonts w:hint="default" w:ascii="Times New Roman" w:hAnsi="Times New Roman" w:cs="Times New Roman"/>
                <w:color w:val="auto"/>
                <w:sz w:val="28"/>
                <w:szCs w:val="28"/>
                <w:highlight w:val="none"/>
                <w:lang w:bidi="ar"/>
              </w:rPr>
              <w:t>亿元</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textAlignment w:val="top"/>
              <w:rPr>
                <w:rFonts w:ascii="宋体" w:hAnsi="宋体" w:eastAsia="宋体" w:cs="宋体"/>
                <w:b/>
                <w:bCs/>
                <w:sz w:val="28"/>
                <w:szCs w:val="28"/>
                <w:highlight w:val="none"/>
              </w:rPr>
            </w:pPr>
            <w:r>
              <w:rPr>
                <w:rFonts w:hint="eastAsia" w:ascii="宋体" w:hAnsi="宋体" w:eastAsia="宋体" w:cs="宋体"/>
                <w:b/>
                <w:bCs/>
                <w:kern w:val="0"/>
                <w:sz w:val="28"/>
                <w:szCs w:val="28"/>
                <w:highlight w:val="none"/>
                <w:lang w:bidi="ar"/>
              </w:rPr>
              <w:t>对公表内绿色信贷余额</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hint="eastAsia" w:ascii="Times New Roman" w:hAnsi="Times New Roman" w:eastAsia="宋体" w:cs="Times New Roman"/>
                <w:kern w:val="0"/>
                <w:sz w:val="28"/>
                <w:szCs w:val="28"/>
                <w:highlight w:val="none"/>
                <w:lang w:bidi="ar"/>
              </w:rPr>
              <w:t>0.36</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Style w:val="11"/>
                <w:rFonts w:hint="default" w:ascii="Times New Roman" w:hAnsi="Times New Roman" w:cs="Times New Roman"/>
                <w:color w:val="auto"/>
                <w:sz w:val="28"/>
                <w:szCs w:val="28"/>
                <w:highlight w:val="none"/>
                <w:lang w:bidi="ar"/>
              </w:rPr>
              <w:t>亿元</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textAlignment w:val="top"/>
              <w:rPr>
                <w:rFonts w:ascii="宋体" w:hAnsi="宋体" w:eastAsia="宋体" w:cs="宋体"/>
                <w:sz w:val="28"/>
                <w:szCs w:val="28"/>
                <w:highlight w:val="none"/>
              </w:rPr>
            </w:pPr>
            <w:r>
              <w:rPr>
                <w:rFonts w:hint="eastAsia" w:ascii="宋体" w:hAnsi="宋体" w:eastAsia="宋体" w:cs="宋体"/>
                <w:kern w:val="0"/>
                <w:sz w:val="28"/>
                <w:szCs w:val="28"/>
                <w:highlight w:val="none"/>
                <w:lang w:bidi="ar"/>
              </w:rPr>
              <w:t>其中：绿色信贷余额占对公表内信贷余额占比</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hint="eastAsia" w:ascii="Times New Roman" w:hAnsi="Times New Roman" w:eastAsia="宋体" w:cs="Times New Roman"/>
                <w:kern w:val="0"/>
                <w:sz w:val="28"/>
                <w:szCs w:val="28"/>
                <w:highlight w:val="none"/>
                <w:lang w:bidi="ar"/>
              </w:rPr>
              <w:t>2.28</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ascii="Times New Roman" w:hAnsi="Times New Roman" w:eastAsia="宋体" w:cs="Times New Roman"/>
                <w:kern w:val="0"/>
                <w:sz w:val="28"/>
                <w:szCs w:val="28"/>
                <w:highlight w:val="none"/>
                <w:lang w:bidi="ar"/>
              </w:rPr>
              <w:t>%</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ind w:firstLine="840" w:firstLineChars="300"/>
              <w:textAlignment w:val="top"/>
              <w:rPr>
                <w:rFonts w:ascii="宋体" w:hAnsi="宋体" w:eastAsia="宋体" w:cs="宋体"/>
                <w:sz w:val="28"/>
                <w:szCs w:val="28"/>
                <w:highlight w:val="none"/>
              </w:rPr>
            </w:pPr>
            <w:r>
              <w:rPr>
                <w:rFonts w:hint="eastAsia" w:ascii="宋体" w:hAnsi="宋体" w:eastAsia="宋体" w:cs="宋体"/>
                <w:kern w:val="0"/>
                <w:sz w:val="28"/>
                <w:szCs w:val="28"/>
                <w:highlight w:val="none"/>
                <w:lang w:bidi="ar"/>
              </w:rPr>
              <w:t>较年初增加额</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hint="eastAsia" w:ascii="Times New Roman" w:hAnsi="Times New Roman" w:eastAsia="宋体" w:cs="Times New Roman"/>
                <w:kern w:val="0"/>
                <w:sz w:val="28"/>
                <w:szCs w:val="28"/>
                <w:highlight w:val="none"/>
                <w:lang w:bidi="ar"/>
              </w:rPr>
              <w:t>-0.31</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ascii="Times New Roman" w:hAnsi="Times New Roman" w:eastAsia="宋体" w:cs="Times New Roman"/>
                <w:kern w:val="0"/>
                <w:sz w:val="28"/>
                <w:szCs w:val="28"/>
                <w:highlight w:val="none"/>
                <w:lang w:bidi="ar"/>
              </w:rPr>
              <w:t>亿元</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ind w:firstLine="840" w:firstLineChars="300"/>
              <w:textAlignment w:val="top"/>
              <w:rPr>
                <w:rFonts w:ascii="宋体" w:hAnsi="宋体" w:eastAsia="宋体" w:cs="宋体"/>
                <w:sz w:val="28"/>
                <w:szCs w:val="28"/>
                <w:highlight w:val="none"/>
              </w:rPr>
            </w:pPr>
            <w:r>
              <w:rPr>
                <w:rFonts w:hint="eastAsia" w:ascii="宋体" w:hAnsi="宋体" w:eastAsia="宋体" w:cs="宋体"/>
                <w:kern w:val="0"/>
                <w:sz w:val="28"/>
                <w:szCs w:val="28"/>
                <w:highlight w:val="none"/>
                <w:lang w:bidi="ar"/>
              </w:rPr>
              <w:t>较年初增幅</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hint="eastAsia" w:ascii="Times New Roman" w:hAnsi="Times New Roman" w:eastAsia="宋体" w:cs="Times New Roman"/>
                <w:kern w:val="0"/>
                <w:sz w:val="28"/>
                <w:szCs w:val="28"/>
                <w:highlight w:val="none"/>
                <w:lang w:bidi="ar"/>
              </w:rPr>
              <w:t>-46.27</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ascii="Times New Roman" w:hAnsi="Times New Roman" w:eastAsia="宋体" w:cs="Times New Roman"/>
                <w:kern w:val="0"/>
                <w:sz w:val="28"/>
                <w:szCs w:val="28"/>
                <w:highlight w:val="none"/>
                <w:lang w:bidi="ar"/>
              </w:rPr>
              <w:t>%</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ind w:firstLine="840" w:firstLineChars="300"/>
              <w:textAlignment w:val="top"/>
              <w:rPr>
                <w:rFonts w:ascii="宋体" w:hAnsi="宋体" w:eastAsia="宋体" w:cs="宋体"/>
                <w:sz w:val="28"/>
                <w:szCs w:val="28"/>
                <w:highlight w:val="none"/>
              </w:rPr>
            </w:pPr>
            <w:r>
              <w:rPr>
                <w:rFonts w:hint="eastAsia" w:ascii="宋体" w:hAnsi="宋体" w:eastAsia="宋体" w:cs="宋体"/>
                <w:kern w:val="0"/>
                <w:sz w:val="28"/>
                <w:szCs w:val="28"/>
                <w:highlight w:val="none"/>
                <w:lang w:bidi="ar"/>
              </w:rPr>
              <w:t>对公绿色客户数量</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hint="eastAsia" w:ascii="Times New Roman" w:hAnsi="Times New Roman" w:eastAsia="宋体" w:cs="Times New Roman"/>
                <w:kern w:val="0"/>
                <w:sz w:val="28"/>
                <w:szCs w:val="28"/>
                <w:highlight w:val="none"/>
                <w:lang w:bidi="ar"/>
              </w:rPr>
              <w:t>14</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ascii="Times New Roman" w:hAnsi="Times New Roman" w:eastAsia="宋体" w:cs="Times New Roman"/>
                <w:kern w:val="0"/>
                <w:sz w:val="28"/>
                <w:szCs w:val="28"/>
                <w:highlight w:val="none"/>
                <w:lang w:bidi="ar"/>
              </w:rPr>
              <w:t>户</w:t>
            </w:r>
          </w:p>
        </w:tc>
      </w:tr>
      <w:tr>
        <w:tblPrEx>
          <w:tblCellMar>
            <w:top w:w="0" w:type="dxa"/>
            <w:left w:w="108" w:type="dxa"/>
            <w:bottom w:w="0" w:type="dxa"/>
            <w:right w:w="108" w:type="dxa"/>
          </w:tblCellMar>
        </w:tblPrEx>
        <w:trPr>
          <w:trHeight w:val="280" w:hRule="atLeast"/>
        </w:trPr>
        <w:tc>
          <w:tcPr>
            <w:tcW w:w="264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textAlignment w:val="top"/>
              <w:rPr>
                <w:rFonts w:ascii="宋体" w:hAnsi="宋体" w:eastAsia="宋体" w:cs="宋体"/>
                <w:b/>
                <w:bCs/>
                <w:sz w:val="28"/>
                <w:szCs w:val="28"/>
                <w:highlight w:val="none"/>
              </w:rPr>
            </w:pPr>
            <w:r>
              <w:rPr>
                <w:rFonts w:hint="eastAsia" w:ascii="宋体" w:hAnsi="宋体" w:eastAsia="宋体" w:cs="宋体"/>
                <w:b/>
                <w:bCs/>
                <w:kern w:val="0"/>
                <w:sz w:val="28"/>
                <w:szCs w:val="28"/>
                <w:highlight w:val="none"/>
                <w:lang w:bidi="ar"/>
              </w:rPr>
              <w:t>零售信贷余额</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hint="eastAsia" w:ascii="Times New Roman" w:hAnsi="Times New Roman" w:eastAsia="宋体" w:cs="Times New Roman"/>
                <w:kern w:val="0"/>
                <w:sz w:val="28"/>
                <w:szCs w:val="28"/>
                <w:highlight w:val="none"/>
                <w:lang w:bidi="ar"/>
              </w:rPr>
              <w:t>75.36</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76" w:lineRule="exact"/>
              <w:jc w:val="center"/>
              <w:textAlignment w:val="top"/>
              <w:rPr>
                <w:rFonts w:ascii="Times New Roman" w:hAnsi="Times New Roman" w:eastAsia="宋体" w:cs="Times New Roman"/>
                <w:sz w:val="28"/>
                <w:szCs w:val="28"/>
                <w:highlight w:val="none"/>
              </w:rPr>
            </w:pPr>
            <w:r>
              <w:rPr>
                <w:rFonts w:ascii="Times New Roman" w:hAnsi="Times New Roman" w:eastAsia="宋体" w:cs="Times New Roman"/>
                <w:kern w:val="0"/>
                <w:sz w:val="28"/>
                <w:szCs w:val="28"/>
                <w:highlight w:val="none"/>
                <w:lang w:bidi="ar"/>
              </w:rPr>
              <w:t>亿元</w:t>
            </w:r>
          </w:p>
        </w:tc>
      </w:tr>
    </w:tbl>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九、数据梳理、校验及保护</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6"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为保障绿色金融及环境相关统计数据安全和统计数据质量，本行一是经营层下设信息科技部、财务管理部（统计</w:t>
      </w:r>
      <w:bookmarkStart w:id="0" w:name="_GoBack"/>
      <w:bookmarkEnd w:id="0"/>
      <w:r>
        <w:rPr>
          <w:rFonts w:hint="eastAsia" w:ascii="仿宋_GB2312" w:hAnsi="仿宋_GB2312" w:eastAsia="仿宋_GB2312" w:cs="仿宋_GB2312"/>
          <w:sz w:val="32"/>
          <w:szCs w:val="32"/>
          <w:highlight w:val="none"/>
          <w:lang w:val="en-US" w:eastAsia="zh-CN"/>
        </w:rPr>
        <w:t>），明确工作职责，切实履行绿色金融及环境相关统计数据安全和统计责任；二是印发《贵州桐梓农村商业银行股份有限公司信息科技风险管理办法》《贵州桐梓农村商业银行股份有限公司数据治理管理办法》《贵州桐梓农村商业银行股份有限公司统计工作考核办法》，保障绿色金融及环境相关统计数据安全和统计数据质量。</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18A24"/>
    <w:multiLevelType w:val="multilevel"/>
    <w:tmpl w:val="66E18A24"/>
    <w:lvl w:ilvl="0" w:tentative="0">
      <w:start w:val="3"/>
      <w:numFmt w:val="decimal"/>
      <w:lvlText w:val="%1."/>
      <w:lvlJc w:val="left"/>
      <w:pPr>
        <w:ind w:left="432" w:hanging="432"/>
      </w:pPr>
      <w:rPr>
        <w:rFonts w:hint="default" w:ascii="宋体" w:hAnsi="宋体" w:eastAsia="宋体" w:cs="宋体"/>
      </w:rPr>
    </w:lvl>
    <w:lvl w:ilvl="1" w:tentative="0">
      <w:start w:val="2"/>
      <w:numFmt w:val="decimal"/>
      <w:pStyle w:val="4"/>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A151F"/>
    <w:rsid w:val="06F542EC"/>
    <w:rsid w:val="095D6741"/>
    <w:rsid w:val="0E4A4A58"/>
    <w:rsid w:val="0E697F36"/>
    <w:rsid w:val="0E8B51F8"/>
    <w:rsid w:val="0ED663BD"/>
    <w:rsid w:val="0EE7457F"/>
    <w:rsid w:val="0FA45382"/>
    <w:rsid w:val="10C12C04"/>
    <w:rsid w:val="1162095F"/>
    <w:rsid w:val="1476365A"/>
    <w:rsid w:val="18366A20"/>
    <w:rsid w:val="1845737D"/>
    <w:rsid w:val="1A1955DB"/>
    <w:rsid w:val="1BF35EA9"/>
    <w:rsid w:val="1F757E1F"/>
    <w:rsid w:val="211D1DEC"/>
    <w:rsid w:val="24A87C93"/>
    <w:rsid w:val="24DB29AB"/>
    <w:rsid w:val="25174A04"/>
    <w:rsid w:val="265812D4"/>
    <w:rsid w:val="2C9F247A"/>
    <w:rsid w:val="2CBC430D"/>
    <w:rsid w:val="2D381135"/>
    <w:rsid w:val="2E0B6511"/>
    <w:rsid w:val="327A518C"/>
    <w:rsid w:val="330D1FF5"/>
    <w:rsid w:val="37D958C0"/>
    <w:rsid w:val="3A80071B"/>
    <w:rsid w:val="3CDD1B35"/>
    <w:rsid w:val="3CFD6E5F"/>
    <w:rsid w:val="3D3855EA"/>
    <w:rsid w:val="3E621B9A"/>
    <w:rsid w:val="3F541B0F"/>
    <w:rsid w:val="40402D14"/>
    <w:rsid w:val="439F48FE"/>
    <w:rsid w:val="448331C8"/>
    <w:rsid w:val="458939AD"/>
    <w:rsid w:val="463D7BBC"/>
    <w:rsid w:val="473D794E"/>
    <w:rsid w:val="48495DED"/>
    <w:rsid w:val="48FA5931"/>
    <w:rsid w:val="49B51459"/>
    <w:rsid w:val="4B1300C1"/>
    <w:rsid w:val="4D0863D4"/>
    <w:rsid w:val="4D5C1C75"/>
    <w:rsid w:val="4E692711"/>
    <w:rsid w:val="4F192D88"/>
    <w:rsid w:val="52522DE0"/>
    <w:rsid w:val="543C365D"/>
    <w:rsid w:val="55E21233"/>
    <w:rsid w:val="587179FE"/>
    <w:rsid w:val="5BC52CCE"/>
    <w:rsid w:val="5C687A8F"/>
    <w:rsid w:val="5DF1060A"/>
    <w:rsid w:val="60C029D6"/>
    <w:rsid w:val="628562F9"/>
    <w:rsid w:val="661C592D"/>
    <w:rsid w:val="6632074A"/>
    <w:rsid w:val="671F7872"/>
    <w:rsid w:val="68103561"/>
    <w:rsid w:val="6BD34B12"/>
    <w:rsid w:val="6EDE2DD3"/>
    <w:rsid w:val="6F960DB6"/>
    <w:rsid w:val="6FF62C2F"/>
    <w:rsid w:val="725B4074"/>
    <w:rsid w:val="72910A60"/>
    <w:rsid w:val="73936460"/>
    <w:rsid w:val="779C7409"/>
    <w:rsid w:val="77EC3451"/>
    <w:rsid w:val="78D14097"/>
    <w:rsid w:val="7A0A2647"/>
    <w:rsid w:val="7C3D34FC"/>
    <w:rsid w:val="7C93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rPr>
      <w:rFonts w:ascii="Calibri" w:hAnsi="Calibri" w:eastAsia="宋体" w:cs="Times New Roman"/>
      <w:szCs w:val="24"/>
    </w:rPr>
  </w:style>
  <w:style w:type="character" w:customStyle="1" w:styleId="11">
    <w:name w:val="font4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4583</Words>
  <Characters>4988</Characters>
  <Lines>0</Lines>
  <Paragraphs>0</Paragraphs>
  <TotalTime>1</TotalTime>
  <ScaleCrop>false</ScaleCrop>
  <LinksUpToDate>false</LinksUpToDate>
  <CharactersWithSpaces>5015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2022-03-28T03:40:00Z</dcterms:created>
  <dc:creator>GZNX</dc:creator>
  <cp:lastModifiedBy>lenovo</cp:lastModifiedBy>
  <cp:lastPrinted>2025-04-15T03:30:00Z</cp:lastPrinted>
  <dcterms:modified xsi:type="dcterms:W3CDTF">2025-05-06T09:41:53Z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D97B790E2CC140D69E0B34905898EA3D</vt:lpwstr>
  </property>
</Properties>
</file>