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C5C130">
      <w:pPr>
        <w:rPr>
          <w:highlight w:val="none"/>
        </w:rPr>
      </w:pPr>
    </w:p>
    <w:p w14:paraId="122BB010">
      <w:pPr>
        <w:jc w:val="center"/>
        <w:rPr>
          <w:rFonts w:hint="eastAsia" w:ascii="宋体" w:hAnsi="宋体" w:eastAsia="宋体" w:cs="Times New Roman"/>
          <w:kern w:val="2"/>
          <w:sz w:val="48"/>
          <w:szCs w:val="52"/>
          <w:highlight w:val="none"/>
          <w:lang w:val="en-US" w:eastAsia="zh-CN" w:bidi="ar-SA"/>
        </w:rPr>
      </w:pPr>
    </w:p>
    <w:p w14:paraId="4C55A884">
      <w:pPr>
        <w:jc w:val="center"/>
        <w:rPr>
          <w:rFonts w:hint="eastAsia" w:ascii="宋体" w:hAnsi="宋体" w:eastAsia="宋体" w:cs="Times New Roman"/>
          <w:kern w:val="2"/>
          <w:sz w:val="48"/>
          <w:szCs w:val="52"/>
          <w:highlight w:val="none"/>
          <w:lang w:val="en-US" w:eastAsia="zh-CN" w:bidi="ar-SA"/>
        </w:rPr>
      </w:pPr>
    </w:p>
    <w:p w14:paraId="731E8254">
      <w:pPr>
        <w:jc w:val="center"/>
        <w:rPr>
          <w:rFonts w:hint="eastAsia" w:ascii="宋体" w:hAnsi="宋体" w:eastAsia="宋体" w:cs="Times New Roman"/>
          <w:kern w:val="2"/>
          <w:sz w:val="48"/>
          <w:szCs w:val="52"/>
          <w:highlight w:val="none"/>
          <w:lang w:val="en-US" w:eastAsia="zh-CN" w:bidi="ar-SA"/>
        </w:rPr>
      </w:pPr>
    </w:p>
    <w:p w14:paraId="55AB0F40">
      <w:pPr>
        <w:jc w:val="center"/>
        <w:rPr>
          <w:rFonts w:hint="eastAsia" w:ascii="宋体" w:hAnsi="宋体" w:eastAsia="宋体" w:cs="Times New Roman"/>
          <w:kern w:val="2"/>
          <w:sz w:val="48"/>
          <w:szCs w:val="52"/>
          <w:highlight w:val="none"/>
          <w:lang w:val="en-US" w:eastAsia="zh-CN" w:bidi="ar-SA"/>
        </w:rPr>
      </w:pPr>
    </w:p>
    <w:p w14:paraId="7D8B32E6">
      <w:pPr>
        <w:jc w:val="center"/>
        <w:rPr>
          <w:rFonts w:hint="eastAsia" w:ascii="宋体" w:hAnsi="宋体" w:eastAsia="宋体" w:cs="Times New Roman"/>
          <w:kern w:val="2"/>
          <w:sz w:val="48"/>
          <w:szCs w:val="52"/>
          <w:highlight w:val="none"/>
          <w:lang w:val="en-US" w:eastAsia="zh-CN" w:bidi="ar-SA"/>
        </w:rPr>
      </w:pPr>
    </w:p>
    <w:p w14:paraId="17B2239F">
      <w:pPr>
        <w:jc w:val="center"/>
        <w:rPr>
          <w:rFonts w:hint="eastAsia" w:ascii="宋体" w:hAnsi="宋体" w:eastAsia="宋体" w:cs="Times New Roman"/>
          <w:kern w:val="2"/>
          <w:sz w:val="48"/>
          <w:szCs w:val="52"/>
          <w:highlight w:val="none"/>
          <w:lang w:val="en-US" w:eastAsia="zh-CN" w:bidi="ar-SA"/>
        </w:rPr>
      </w:pPr>
    </w:p>
    <w:p w14:paraId="3E7A58C1">
      <w:pPr>
        <w:jc w:val="center"/>
        <w:rPr>
          <w:rFonts w:hint="eastAsia" w:ascii="宋体" w:hAnsi="宋体" w:eastAsia="宋体" w:cs="Times New Roman"/>
          <w:kern w:val="2"/>
          <w:sz w:val="48"/>
          <w:szCs w:val="52"/>
          <w:highlight w:val="none"/>
          <w:lang w:val="en-US" w:eastAsia="zh-CN" w:bidi="ar-SA"/>
        </w:rPr>
      </w:pPr>
    </w:p>
    <w:p w14:paraId="33475760">
      <w:pPr>
        <w:jc w:val="center"/>
        <w:rPr>
          <w:rFonts w:hint="eastAsia" w:ascii="宋体" w:hAnsi="宋体" w:eastAsia="宋体" w:cs="Times New Roman"/>
          <w:kern w:val="2"/>
          <w:sz w:val="48"/>
          <w:szCs w:val="52"/>
          <w:highlight w:val="none"/>
          <w:lang w:val="en-US" w:eastAsia="zh-CN" w:bidi="ar-SA"/>
        </w:rPr>
      </w:pPr>
    </w:p>
    <w:p w14:paraId="2E641D11">
      <w:pPr>
        <w:jc w:val="center"/>
        <w:rPr>
          <w:rFonts w:hint="eastAsia" w:ascii="宋体" w:hAnsi="宋体" w:eastAsia="宋体" w:cs="Times New Roman"/>
          <w:b/>
          <w:bCs/>
          <w:kern w:val="2"/>
          <w:sz w:val="48"/>
          <w:szCs w:val="52"/>
          <w:highlight w:val="none"/>
          <w:lang w:val="en-US" w:eastAsia="zh-CN" w:bidi="ar-SA"/>
        </w:rPr>
      </w:pPr>
      <w:r>
        <w:rPr>
          <w:rFonts w:hint="eastAsia" w:ascii="宋体" w:hAnsi="宋体" w:eastAsia="宋体" w:cs="Times New Roman"/>
          <w:b/>
          <w:bCs/>
          <w:kern w:val="2"/>
          <w:sz w:val="48"/>
          <w:szCs w:val="52"/>
          <w:highlight w:val="none"/>
          <w:lang w:val="en-US" w:eastAsia="zh-CN" w:bidi="ar-SA"/>
        </w:rPr>
        <w:t>贵州惠水农村商业银行股份有限公司</w:t>
      </w:r>
    </w:p>
    <w:p w14:paraId="74691B11">
      <w:pPr>
        <w:jc w:val="center"/>
        <w:rPr>
          <w:rFonts w:hint="default" w:ascii="宋体" w:hAnsi="宋体" w:eastAsia="宋体" w:cs="Times New Roman"/>
          <w:b/>
          <w:bCs/>
          <w:kern w:val="2"/>
          <w:sz w:val="48"/>
          <w:szCs w:val="52"/>
          <w:highlight w:val="none"/>
          <w:lang w:val="en-US" w:eastAsia="zh-CN" w:bidi="ar-SA"/>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r>
        <w:rPr>
          <w:rFonts w:hint="eastAsia" w:ascii="宋体" w:hAnsi="宋体" w:eastAsia="宋体" w:cs="Times New Roman"/>
          <w:b/>
          <w:bCs/>
          <w:kern w:val="2"/>
          <w:sz w:val="48"/>
          <w:szCs w:val="52"/>
          <w:highlight w:val="none"/>
          <w:lang w:val="en-US" w:eastAsia="zh-CN" w:bidi="ar-SA"/>
        </w:rPr>
        <w:t>2024年度信息披露报告</w:t>
      </w:r>
    </w:p>
    <w:p w14:paraId="023876A0">
      <w:pPr>
        <w:keepNext w:val="0"/>
        <w:keepLines w:val="0"/>
        <w:pageBreakBefore w:val="0"/>
        <w:kinsoku/>
        <w:wordWrap/>
        <w:overflowPunct/>
        <w:topLinePunct w:val="0"/>
        <w:autoSpaceDE/>
        <w:autoSpaceDN/>
        <w:bidi w:val="0"/>
        <w:adjustRightInd w:val="0"/>
        <w:snapToGrid w:val="0"/>
        <w:spacing w:line="560" w:lineRule="exact"/>
        <w:jc w:val="center"/>
        <w:textAlignment w:val="auto"/>
        <w:outlineLvl w:val="0"/>
        <w:rPr>
          <w:rFonts w:hint="eastAsia" w:ascii="Times New Roman" w:hAnsi="Times New Roman" w:eastAsia="黑体"/>
          <w:sz w:val="32"/>
          <w:szCs w:val="32"/>
          <w:highlight w:val="none"/>
        </w:rPr>
      </w:pPr>
      <w:bookmarkStart w:id="0" w:name="_Toc19902"/>
    </w:p>
    <w:p w14:paraId="31376DF0">
      <w:pPr>
        <w:keepNext w:val="0"/>
        <w:keepLines w:val="0"/>
        <w:pageBreakBefore w:val="0"/>
        <w:kinsoku/>
        <w:wordWrap/>
        <w:overflowPunct/>
        <w:topLinePunct w:val="0"/>
        <w:autoSpaceDE/>
        <w:autoSpaceDN/>
        <w:bidi w:val="0"/>
        <w:adjustRightInd w:val="0"/>
        <w:snapToGrid w:val="0"/>
        <w:spacing w:line="560" w:lineRule="exact"/>
        <w:jc w:val="center"/>
        <w:textAlignment w:val="auto"/>
        <w:outlineLvl w:val="0"/>
        <w:rPr>
          <w:rFonts w:ascii="Times New Roman" w:hAnsi="Times New Roman" w:eastAsia="黑体"/>
          <w:sz w:val="32"/>
          <w:szCs w:val="32"/>
          <w:highlight w:val="none"/>
        </w:rPr>
      </w:pPr>
      <w:r>
        <w:rPr>
          <w:rFonts w:hint="eastAsia" w:ascii="Times New Roman" w:hAnsi="Times New Roman" w:eastAsia="黑体"/>
          <w:sz w:val="32"/>
          <w:szCs w:val="32"/>
          <w:highlight w:val="none"/>
        </w:rPr>
        <w:t>第一章</w:t>
      </w:r>
      <w:r>
        <w:rPr>
          <w:rFonts w:ascii="Times New Roman" w:hAnsi="Times New Roman" w:eastAsia="黑体"/>
          <w:sz w:val="32"/>
          <w:szCs w:val="32"/>
          <w:highlight w:val="none"/>
        </w:rPr>
        <w:t xml:space="preserve">  </w:t>
      </w:r>
      <w:r>
        <w:rPr>
          <w:rFonts w:hint="eastAsia" w:ascii="Times New Roman" w:hAnsi="Times New Roman" w:eastAsia="黑体"/>
          <w:sz w:val="32"/>
          <w:szCs w:val="32"/>
          <w:highlight w:val="none"/>
        </w:rPr>
        <w:t>本行概况</w:t>
      </w:r>
      <w:bookmarkEnd w:id="0"/>
    </w:p>
    <w:p w14:paraId="05DCE62A">
      <w:pPr>
        <w:keepNext w:val="0"/>
        <w:keepLines w:val="0"/>
        <w:pageBreakBefore w:val="0"/>
        <w:kinsoku/>
        <w:wordWrap/>
        <w:overflowPunct/>
        <w:topLinePunct w:val="0"/>
        <w:autoSpaceDE/>
        <w:autoSpaceDN/>
        <w:bidi w:val="0"/>
        <w:adjustRightInd w:val="0"/>
        <w:snapToGrid w:val="0"/>
        <w:spacing w:line="560" w:lineRule="exact"/>
        <w:ind w:firstLine="640" w:firstLineChars="200"/>
        <w:jc w:val="left"/>
        <w:textAlignment w:val="auto"/>
        <w:outlineLvl w:val="9"/>
        <w:rPr>
          <w:rFonts w:ascii="Times New Roman" w:hAnsi="Times New Roman" w:eastAsia="仿宋_GB2312"/>
          <w:sz w:val="32"/>
          <w:szCs w:val="32"/>
          <w:highlight w:val="none"/>
        </w:rPr>
      </w:pPr>
      <w:r>
        <w:rPr>
          <w:rFonts w:hint="eastAsia" w:ascii="Times New Roman" w:hAnsi="Times New Roman" w:eastAsia="黑体"/>
          <w:sz w:val="32"/>
          <w:szCs w:val="32"/>
          <w:highlight w:val="none"/>
        </w:rPr>
        <w:t>一、本行注册名称：</w:t>
      </w:r>
      <w:r>
        <w:rPr>
          <w:rFonts w:hint="eastAsia" w:ascii="Times New Roman" w:hAnsi="Times New Roman" w:eastAsia="仿宋_GB2312"/>
          <w:sz w:val="32"/>
          <w:szCs w:val="32"/>
          <w:highlight w:val="none"/>
        </w:rPr>
        <w:t>贵州惠水农村商业银行股份有限公司（简称</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惠水农商银行</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，下称</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本行</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w:t>
      </w:r>
    </w:p>
    <w:p w14:paraId="279D8A38">
      <w:pPr>
        <w:keepNext w:val="0"/>
        <w:keepLines w:val="0"/>
        <w:pageBreakBefore w:val="0"/>
        <w:kinsoku/>
        <w:wordWrap/>
        <w:overflowPunct/>
        <w:topLinePunct w:val="0"/>
        <w:autoSpaceDE/>
        <w:autoSpaceDN/>
        <w:bidi w:val="0"/>
        <w:adjustRightInd w:val="0"/>
        <w:snapToGrid w:val="0"/>
        <w:spacing w:line="560" w:lineRule="exact"/>
        <w:ind w:firstLine="640" w:firstLineChars="200"/>
        <w:jc w:val="left"/>
        <w:textAlignment w:val="auto"/>
        <w:outlineLvl w:val="9"/>
        <w:rPr>
          <w:rFonts w:ascii="Times New Roman" w:hAnsi="Times New Roman" w:eastAsia="黑体"/>
          <w:sz w:val="32"/>
          <w:szCs w:val="32"/>
          <w:highlight w:val="none"/>
        </w:rPr>
      </w:pPr>
      <w:r>
        <w:rPr>
          <w:rFonts w:hint="eastAsia" w:ascii="Times New Roman" w:hAnsi="Times New Roman" w:eastAsia="仿宋_GB2312"/>
          <w:sz w:val="32"/>
          <w:szCs w:val="32"/>
          <w:highlight w:val="none"/>
        </w:rPr>
        <w:t>本行英文名称：</w:t>
      </w:r>
      <w:r>
        <w:rPr>
          <w:rFonts w:ascii="Times New Roman" w:hAnsi="Times New Roman" w:eastAsia="仿宋_GB2312"/>
          <w:sz w:val="32"/>
          <w:szCs w:val="32"/>
          <w:highlight w:val="none"/>
        </w:rPr>
        <w:t>Guizhou Huishui Rural Commercial Bank Company Limited</w:t>
      </w:r>
      <w:r>
        <w:rPr>
          <w:rFonts w:hint="eastAsia" w:ascii="Times New Roman" w:hAnsi="Times New Roman" w:eastAsia="仿宋_GB2312"/>
          <w:sz w:val="32"/>
          <w:szCs w:val="32"/>
          <w:highlight w:val="none"/>
        </w:rPr>
        <w:t>（简称</w:t>
      </w:r>
      <w:r>
        <w:rPr>
          <w:rFonts w:ascii="Times New Roman" w:hAnsi="Times New Roman" w:eastAsia="仿宋_GB2312"/>
          <w:sz w:val="32"/>
          <w:szCs w:val="32"/>
          <w:highlight w:val="none"/>
        </w:rPr>
        <w:t xml:space="preserve"> Huishui Rural Commercial Bank</w:t>
      </w:r>
      <w:r>
        <w:rPr>
          <w:rFonts w:hint="eastAsia" w:ascii="Times New Roman" w:hAnsi="Times New Roman" w:eastAsia="仿宋_GB2312"/>
          <w:sz w:val="32"/>
          <w:szCs w:val="32"/>
          <w:highlight w:val="none"/>
        </w:rPr>
        <w:t>或</w:t>
      </w:r>
      <w:r>
        <w:rPr>
          <w:rFonts w:ascii="Times New Roman" w:hAnsi="Times New Roman" w:eastAsia="仿宋_GB2312"/>
          <w:sz w:val="32"/>
          <w:szCs w:val="32"/>
          <w:highlight w:val="none"/>
        </w:rPr>
        <w:t>HSRCB</w:t>
      </w:r>
      <w:r>
        <w:rPr>
          <w:rFonts w:hint="eastAsia" w:ascii="Times New Roman" w:hAnsi="Times New Roman" w:eastAsia="仿宋_GB2312"/>
          <w:sz w:val="32"/>
          <w:szCs w:val="32"/>
          <w:highlight w:val="none"/>
        </w:rPr>
        <w:t>）</w:t>
      </w:r>
    </w:p>
    <w:p w14:paraId="34821B98">
      <w:pPr>
        <w:keepNext w:val="0"/>
        <w:keepLines w:val="0"/>
        <w:pageBreakBefore w:val="0"/>
        <w:kinsoku/>
        <w:wordWrap/>
        <w:overflowPunct/>
        <w:topLinePunct w:val="0"/>
        <w:autoSpaceDE/>
        <w:autoSpaceDN/>
        <w:bidi w:val="0"/>
        <w:adjustRightInd w:val="0"/>
        <w:snapToGrid w:val="0"/>
        <w:spacing w:line="560" w:lineRule="exact"/>
        <w:ind w:firstLine="640" w:firstLineChars="200"/>
        <w:jc w:val="left"/>
        <w:textAlignment w:val="auto"/>
        <w:outlineLvl w:val="9"/>
        <w:rPr>
          <w:rFonts w:ascii="Times New Roman" w:hAnsi="Times New Roman" w:eastAsia="黑体"/>
          <w:sz w:val="32"/>
          <w:szCs w:val="32"/>
          <w:highlight w:val="none"/>
        </w:rPr>
      </w:pPr>
      <w:r>
        <w:rPr>
          <w:rFonts w:hint="eastAsia" w:ascii="Times New Roman" w:hAnsi="Times New Roman" w:eastAsia="黑体"/>
          <w:sz w:val="32"/>
          <w:szCs w:val="32"/>
          <w:highlight w:val="none"/>
        </w:rPr>
        <w:t>二、本行法定代表人：辜贤玉</w:t>
      </w:r>
    </w:p>
    <w:p w14:paraId="51318764">
      <w:pPr>
        <w:keepNext w:val="0"/>
        <w:keepLines w:val="0"/>
        <w:pageBreakBefore w:val="0"/>
        <w:kinsoku/>
        <w:wordWrap/>
        <w:overflowPunct/>
        <w:topLinePunct w:val="0"/>
        <w:autoSpaceDE/>
        <w:autoSpaceDN/>
        <w:bidi w:val="0"/>
        <w:adjustRightInd w:val="0"/>
        <w:snapToGrid w:val="0"/>
        <w:spacing w:line="560" w:lineRule="exact"/>
        <w:ind w:firstLine="640" w:firstLineChars="200"/>
        <w:jc w:val="left"/>
        <w:textAlignment w:val="auto"/>
        <w:outlineLvl w:val="9"/>
        <w:rPr>
          <w:rFonts w:ascii="Times New Roman" w:hAnsi="Times New Roman" w:eastAsia="黑体"/>
          <w:sz w:val="32"/>
          <w:szCs w:val="32"/>
          <w:highlight w:val="none"/>
        </w:rPr>
      </w:pPr>
      <w:r>
        <w:rPr>
          <w:rFonts w:hint="eastAsia" w:ascii="Times New Roman" w:hAnsi="Times New Roman" w:eastAsia="黑体"/>
          <w:sz w:val="32"/>
          <w:szCs w:val="32"/>
          <w:highlight w:val="none"/>
        </w:rPr>
        <w:t>三、本行注册地址及办公地址：</w:t>
      </w:r>
      <w:r>
        <w:rPr>
          <w:rFonts w:hint="eastAsia" w:ascii="Times New Roman" w:hAnsi="Times New Roman" w:eastAsia="仿宋_GB2312"/>
          <w:sz w:val="32"/>
          <w:szCs w:val="32"/>
          <w:highlight w:val="none"/>
        </w:rPr>
        <w:t>贵州省黔南布依族苗族自治州惠水县城北新区贵惠大道西侧。邮政编码：</w:t>
      </w:r>
      <w:r>
        <w:rPr>
          <w:rFonts w:ascii="Times New Roman" w:hAnsi="Times New Roman" w:eastAsia="仿宋_GB2312"/>
          <w:sz w:val="32"/>
          <w:szCs w:val="32"/>
          <w:highlight w:val="none"/>
        </w:rPr>
        <w:t>550600</w:t>
      </w:r>
      <w:r>
        <w:rPr>
          <w:rFonts w:hint="eastAsia" w:ascii="Times New Roman" w:hAnsi="Times New Roman" w:eastAsia="仿宋_GB2312"/>
          <w:sz w:val="32"/>
          <w:szCs w:val="32"/>
          <w:highlight w:val="none"/>
        </w:rPr>
        <w:t>。</w:t>
      </w:r>
    </w:p>
    <w:p w14:paraId="1B4D2CF7">
      <w:pPr>
        <w:keepNext w:val="0"/>
        <w:keepLines w:val="0"/>
        <w:pageBreakBefore w:val="0"/>
        <w:kinsoku/>
        <w:wordWrap/>
        <w:overflowPunct/>
        <w:topLinePunct w:val="0"/>
        <w:autoSpaceDE/>
        <w:autoSpaceDN/>
        <w:bidi w:val="0"/>
        <w:adjustRightInd w:val="0"/>
        <w:snapToGrid w:val="0"/>
        <w:spacing w:line="560" w:lineRule="exact"/>
        <w:ind w:firstLine="640" w:firstLineChars="200"/>
        <w:jc w:val="left"/>
        <w:textAlignment w:val="auto"/>
        <w:outlineLvl w:val="9"/>
        <w:rPr>
          <w:rFonts w:ascii="Times New Roman" w:hAnsi="Times New Roman" w:eastAsia="黑体"/>
          <w:sz w:val="32"/>
          <w:szCs w:val="32"/>
          <w:highlight w:val="none"/>
        </w:rPr>
      </w:pPr>
      <w:r>
        <w:rPr>
          <w:rFonts w:hint="eastAsia" w:ascii="Times New Roman" w:hAnsi="Times New Roman" w:eastAsia="黑体"/>
          <w:sz w:val="32"/>
          <w:szCs w:val="32"/>
          <w:highlight w:val="none"/>
        </w:rPr>
        <w:t>四、本行选定的信息披露方式</w:t>
      </w:r>
    </w:p>
    <w:p w14:paraId="57B075FE">
      <w:pPr>
        <w:keepNext w:val="0"/>
        <w:keepLines w:val="0"/>
        <w:pageBreakBefore w:val="0"/>
        <w:kinsoku/>
        <w:wordWrap/>
        <w:overflowPunct/>
        <w:topLinePunct w:val="0"/>
        <w:autoSpaceDE/>
        <w:autoSpaceDN/>
        <w:bidi w:val="0"/>
        <w:adjustRightInd w:val="0"/>
        <w:snapToGrid w:val="0"/>
        <w:spacing w:line="560" w:lineRule="exact"/>
        <w:ind w:firstLine="640" w:firstLineChars="200"/>
        <w:jc w:val="left"/>
        <w:textAlignment w:val="auto"/>
        <w:outlineLvl w:val="9"/>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年度报告披露的网址：</w:t>
      </w:r>
      <w:r>
        <w:rPr>
          <w:highlight w:val="none"/>
        </w:rPr>
        <w:fldChar w:fldCharType="begin"/>
      </w:r>
      <w:r>
        <w:rPr>
          <w:highlight w:val="none"/>
        </w:rPr>
        <w:instrText xml:space="preserve"> HYPERLINK "http://qnhs.gznxbank.com/" </w:instrText>
      </w:r>
      <w:r>
        <w:rPr>
          <w:highlight w:val="none"/>
        </w:rPr>
        <w:fldChar w:fldCharType="separate"/>
      </w:r>
      <w:r>
        <w:rPr>
          <w:rStyle w:val="14"/>
          <w:rFonts w:ascii="Times New Roman" w:hAnsi="Times New Roman" w:eastAsia="仿宋_GB2312"/>
          <w:sz w:val="32"/>
          <w:szCs w:val="32"/>
          <w:highlight w:val="none"/>
        </w:rPr>
        <w:t>http://qnhs.gznxbank.com/</w:t>
      </w:r>
      <w:r>
        <w:rPr>
          <w:rStyle w:val="14"/>
          <w:rFonts w:ascii="Times New Roman" w:hAnsi="Times New Roman" w:eastAsia="仿宋_GB2312"/>
          <w:sz w:val="32"/>
          <w:szCs w:val="32"/>
          <w:highlight w:val="none"/>
        </w:rPr>
        <w:fldChar w:fldCharType="end"/>
      </w:r>
    </w:p>
    <w:p w14:paraId="17814B13">
      <w:pPr>
        <w:keepNext w:val="0"/>
        <w:keepLines w:val="0"/>
        <w:pageBreakBefore w:val="0"/>
        <w:kinsoku/>
        <w:wordWrap/>
        <w:overflowPunct/>
        <w:topLinePunct w:val="0"/>
        <w:autoSpaceDE/>
        <w:autoSpaceDN/>
        <w:bidi w:val="0"/>
        <w:adjustRightInd w:val="0"/>
        <w:snapToGrid w:val="0"/>
        <w:spacing w:line="560" w:lineRule="exact"/>
        <w:ind w:firstLine="640" w:firstLineChars="200"/>
        <w:jc w:val="left"/>
        <w:textAlignment w:val="auto"/>
        <w:outlineLvl w:val="9"/>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年度报告备置地点：惠水农商银行董事会办公室及下辖各营业网点</w:t>
      </w:r>
    </w:p>
    <w:p w14:paraId="36B940B8">
      <w:pPr>
        <w:keepNext w:val="0"/>
        <w:keepLines w:val="0"/>
        <w:pageBreakBefore w:val="0"/>
        <w:kinsoku/>
        <w:wordWrap/>
        <w:overflowPunct/>
        <w:topLinePunct w:val="0"/>
        <w:autoSpaceDE/>
        <w:autoSpaceDN/>
        <w:bidi w:val="0"/>
        <w:adjustRightInd w:val="0"/>
        <w:snapToGrid w:val="0"/>
        <w:spacing w:line="560" w:lineRule="exact"/>
        <w:ind w:firstLine="640" w:firstLineChars="200"/>
        <w:jc w:val="left"/>
        <w:textAlignment w:val="auto"/>
        <w:outlineLvl w:val="9"/>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信息披露事务联系人：吴翠平</w:t>
      </w:r>
    </w:p>
    <w:p w14:paraId="4DB9A0A4">
      <w:pPr>
        <w:keepNext w:val="0"/>
        <w:keepLines w:val="0"/>
        <w:pageBreakBefore w:val="0"/>
        <w:kinsoku/>
        <w:wordWrap/>
        <w:overflowPunct/>
        <w:topLinePunct w:val="0"/>
        <w:autoSpaceDE/>
        <w:autoSpaceDN/>
        <w:bidi w:val="0"/>
        <w:adjustRightInd w:val="0"/>
        <w:snapToGrid w:val="0"/>
        <w:spacing w:line="560" w:lineRule="exact"/>
        <w:ind w:firstLine="640" w:firstLineChars="200"/>
        <w:jc w:val="left"/>
        <w:textAlignment w:val="auto"/>
        <w:outlineLvl w:val="9"/>
        <w:rPr>
          <w:rFonts w:ascii="Times New Roman" w:hAnsi="Times New Roman" w:eastAsia="仿宋_GB2312"/>
          <w:color w:val="000000"/>
          <w:sz w:val="32"/>
          <w:szCs w:val="32"/>
          <w:highlight w:val="none"/>
        </w:rPr>
      </w:pPr>
      <w:r>
        <w:rPr>
          <w:rFonts w:hint="eastAsia" w:ascii="Times New Roman" w:hAnsi="Times New Roman" w:eastAsia="仿宋_GB2312"/>
          <w:color w:val="000000"/>
          <w:sz w:val="32"/>
          <w:szCs w:val="32"/>
          <w:highlight w:val="none"/>
        </w:rPr>
        <w:t>联系电话：</w:t>
      </w:r>
      <w:r>
        <w:rPr>
          <w:rFonts w:ascii="Times New Roman" w:hAnsi="Times New Roman" w:eastAsia="仿宋_GB2312"/>
          <w:color w:val="000000"/>
          <w:sz w:val="32"/>
          <w:szCs w:val="32"/>
          <w:highlight w:val="none"/>
        </w:rPr>
        <w:t>0854-</w:t>
      </w:r>
      <w:r>
        <w:rPr>
          <w:rFonts w:hint="eastAsia" w:ascii="Times New Roman" w:hAnsi="Times New Roman" w:eastAsia="仿宋_GB2312"/>
          <w:color w:val="000000"/>
          <w:sz w:val="32"/>
          <w:szCs w:val="32"/>
          <w:highlight w:val="none"/>
        </w:rPr>
        <w:t>6235660</w:t>
      </w:r>
    </w:p>
    <w:p w14:paraId="3307180C">
      <w:pPr>
        <w:keepNext w:val="0"/>
        <w:keepLines w:val="0"/>
        <w:pageBreakBefore w:val="0"/>
        <w:kinsoku/>
        <w:wordWrap/>
        <w:overflowPunct/>
        <w:topLinePunct w:val="0"/>
        <w:autoSpaceDE/>
        <w:autoSpaceDN/>
        <w:bidi w:val="0"/>
        <w:adjustRightInd w:val="0"/>
        <w:snapToGrid w:val="0"/>
        <w:spacing w:line="560" w:lineRule="exact"/>
        <w:ind w:firstLine="640" w:firstLineChars="200"/>
        <w:jc w:val="left"/>
        <w:textAlignment w:val="auto"/>
        <w:outlineLvl w:val="9"/>
        <w:rPr>
          <w:rFonts w:ascii="Times New Roman" w:hAnsi="Times New Roman" w:eastAsia="仿宋_GB2312"/>
          <w:color w:val="000000"/>
          <w:sz w:val="32"/>
          <w:szCs w:val="32"/>
          <w:highlight w:val="none"/>
        </w:rPr>
      </w:pPr>
      <w:r>
        <w:rPr>
          <w:rFonts w:hint="eastAsia" w:ascii="Times New Roman" w:hAnsi="Times New Roman" w:eastAsia="仿宋_GB2312"/>
          <w:color w:val="000000"/>
          <w:sz w:val="32"/>
          <w:szCs w:val="32"/>
          <w:highlight w:val="none"/>
        </w:rPr>
        <w:t>电子邮箱：540028201</w:t>
      </w:r>
      <w:r>
        <w:rPr>
          <w:rFonts w:ascii="Times New Roman" w:hAnsi="Times New Roman" w:eastAsia="仿宋_GB2312"/>
          <w:color w:val="000000"/>
          <w:sz w:val="32"/>
          <w:szCs w:val="32"/>
          <w:highlight w:val="none"/>
        </w:rPr>
        <w:t>@qq.com</w:t>
      </w:r>
    </w:p>
    <w:p w14:paraId="281B4514">
      <w:pPr>
        <w:keepNext w:val="0"/>
        <w:keepLines w:val="0"/>
        <w:pageBreakBefore w:val="0"/>
        <w:kinsoku/>
        <w:wordWrap/>
        <w:overflowPunct/>
        <w:topLinePunct w:val="0"/>
        <w:autoSpaceDE/>
        <w:autoSpaceDN/>
        <w:bidi w:val="0"/>
        <w:adjustRightInd w:val="0"/>
        <w:snapToGrid w:val="0"/>
        <w:spacing w:line="560" w:lineRule="exact"/>
        <w:ind w:firstLine="640" w:firstLineChars="200"/>
        <w:jc w:val="left"/>
        <w:textAlignment w:val="auto"/>
        <w:outlineLvl w:val="9"/>
        <w:rPr>
          <w:rFonts w:ascii="Times New Roman" w:hAnsi="Times New Roman" w:eastAsia="黑体"/>
          <w:color w:val="000000"/>
          <w:sz w:val="32"/>
          <w:szCs w:val="32"/>
          <w:highlight w:val="none"/>
        </w:rPr>
      </w:pPr>
      <w:r>
        <w:rPr>
          <w:rFonts w:hint="eastAsia" w:ascii="Times New Roman" w:hAnsi="Times New Roman" w:eastAsia="黑体"/>
          <w:color w:val="000000"/>
          <w:sz w:val="32"/>
          <w:szCs w:val="32"/>
          <w:highlight w:val="none"/>
        </w:rPr>
        <w:t>五、聘请的会计师事务所名称及办公地址</w:t>
      </w:r>
    </w:p>
    <w:p w14:paraId="2CE31258">
      <w:pPr>
        <w:keepNext w:val="0"/>
        <w:keepLines w:val="0"/>
        <w:pageBreakBefore w:val="0"/>
        <w:kinsoku/>
        <w:wordWrap/>
        <w:overflowPunct/>
        <w:topLinePunct w:val="0"/>
        <w:autoSpaceDE/>
        <w:autoSpaceDN/>
        <w:bidi w:val="0"/>
        <w:adjustRightInd w:val="0"/>
        <w:snapToGrid w:val="0"/>
        <w:spacing w:line="560" w:lineRule="exact"/>
        <w:ind w:firstLine="640" w:firstLineChars="200"/>
        <w:jc w:val="left"/>
        <w:textAlignment w:val="auto"/>
        <w:outlineLvl w:val="9"/>
        <w:rPr>
          <w:rFonts w:ascii="Times New Roman" w:hAnsi="Times New Roman" w:eastAsia="仿宋_GB2312"/>
          <w:color w:val="000000"/>
          <w:sz w:val="32"/>
          <w:szCs w:val="32"/>
          <w:highlight w:val="none"/>
        </w:rPr>
      </w:pPr>
      <w:r>
        <w:rPr>
          <w:rFonts w:hint="eastAsia" w:ascii="Times New Roman" w:hAnsi="Times New Roman" w:eastAsia="黑体"/>
          <w:color w:val="000000"/>
          <w:sz w:val="32"/>
          <w:szCs w:val="32"/>
          <w:highlight w:val="none"/>
        </w:rPr>
        <w:t>名称：</w:t>
      </w:r>
      <w:r>
        <w:rPr>
          <w:rFonts w:hint="eastAsia" w:ascii="Times New Roman" w:hAnsi="Times New Roman" w:eastAsia="仿宋_GB2312"/>
          <w:color w:val="000000"/>
          <w:sz w:val="32"/>
          <w:szCs w:val="32"/>
          <w:highlight w:val="none"/>
        </w:rPr>
        <w:t>贵州源信益会计师事务所（普通合伙）</w:t>
      </w:r>
    </w:p>
    <w:p w14:paraId="60CFA34C">
      <w:pPr>
        <w:keepNext w:val="0"/>
        <w:keepLines w:val="0"/>
        <w:pageBreakBefore w:val="0"/>
        <w:kinsoku/>
        <w:wordWrap/>
        <w:overflowPunct/>
        <w:topLinePunct w:val="0"/>
        <w:autoSpaceDE/>
        <w:autoSpaceDN/>
        <w:bidi w:val="0"/>
        <w:adjustRightInd w:val="0"/>
        <w:snapToGrid w:val="0"/>
        <w:spacing w:line="560" w:lineRule="exact"/>
        <w:ind w:firstLine="640" w:firstLineChars="200"/>
        <w:jc w:val="left"/>
        <w:textAlignment w:val="auto"/>
        <w:outlineLvl w:val="9"/>
        <w:rPr>
          <w:rFonts w:ascii="Times New Roman" w:hAnsi="Times New Roman" w:eastAsia="仿宋_GB2312"/>
          <w:sz w:val="32"/>
          <w:szCs w:val="32"/>
          <w:highlight w:val="none"/>
        </w:rPr>
      </w:pPr>
      <w:r>
        <w:rPr>
          <w:rFonts w:hint="eastAsia" w:ascii="Times New Roman" w:hAnsi="Times New Roman" w:eastAsia="黑体"/>
          <w:sz w:val="32"/>
          <w:szCs w:val="32"/>
          <w:highlight w:val="none"/>
        </w:rPr>
        <w:t>办公地址：</w:t>
      </w:r>
      <w:r>
        <w:rPr>
          <w:rFonts w:hint="eastAsia" w:ascii="Times New Roman" w:hAnsi="Times New Roman" w:eastAsia="仿宋_GB2312"/>
          <w:sz w:val="32"/>
          <w:szCs w:val="32"/>
          <w:highlight w:val="none"/>
        </w:rPr>
        <w:t>贵州省贵阳市观山湖区会展城SOHO办公区F座11楼1号</w:t>
      </w:r>
    </w:p>
    <w:p w14:paraId="5B9D4C75">
      <w:pPr>
        <w:keepNext w:val="0"/>
        <w:keepLines w:val="0"/>
        <w:pageBreakBefore w:val="0"/>
        <w:kinsoku/>
        <w:wordWrap/>
        <w:overflowPunct/>
        <w:topLinePunct w:val="0"/>
        <w:autoSpaceDE/>
        <w:autoSpaceDN/>
        <w:bidi w:val="0"/>
        <w:adjustRightInd w:val="0"/>
        <w:snapToGrid w:val="0"/>
        <w:spacing w:line="560" w:lineRule="exact"/>
        <w:ind w:firstLine="640" w:firstLineChars="200"/>
        <w:jc w:val="left"/>
        <w:textAlignment w:val="auto"/>
        <w:outlineLvl w:val="9"/>
        <w:rPr>
          <w:rFonts w:ascii="Times New Roman" w:hAnsi="Times New Roman" w:eastAsia="黑体"/>
          <w:sz w:val="32"/>
          <w:szCs w:val="32"/>
          <w:highlight w:val="none"/>
        </w:rPr>
      </w:pPr>
      <w:r>
        <w:rPr>
          <w:rFonts w:hint="eastAsia" w:ascii="Times New Roman" w:hAnsi="Times New Roman" w:eastAsia="黑体"/>
          <w:sz w:val="32"/>
          <w:szCs w:val="32"/>
          <w:highlight w:val="none"/>
        </w:rPr>
        <w:t>六、其他有关信息</w:t>
      </w:r>
    </w:p>
    <w:p w14:paraId="2494EC48">
      <w:pPr>
        <w:keepNext w:val="0"/>
        <w:keepLines w:val="0"/>
        <w:pageBreakBefore w:val="0"/>
        <w:kinsoku/>
        <w:wordWrap/>
        <w:overflowPunct/>
        <w:topLinePunct w:val="0"/>
        <w:autoSpaceDE/>
        <w:autoSpaceDN/>
        <w:bidi w:val="0"/>
        <w:adjustRightInd w:val="0"/>
        <w:snapToGrid w:val="0"/>
        <w:spacing w:line="560" w:lineRule="exact"/>
        <w:ind w:firstLine="640" w:firstLineChars="200"/>
        <w:jc w:val="left"/>
        <w:textAlignment w:val="auto"/>
        <w:outlineLvl w:val="9"/>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本行经银监会批准日期：</w:t>
      </w:r>
      <w:r>
        <w:rPr>
          <w:rFonts w:ascii="Times New Roman" w:hAnsi="Times New Roman" w:eastAsia="仿宋_GB2312"/>
          <w:sz w:val="32"/>
          <w:szCs w:val="32"/>
          <w:highlight w:val="none"/>
        </w:rPr>
        <w:t>2015</w:t>
      </w:r>
      <w:r>
        <w:rPr>
          <w:rFonts w:hint="eastAsia" w:ascii="Times New Roman" w:hAnsi="Times New Roman" w:eastAsia="仿宋_GB2312"/>
          <w:sz w:val="32"/>
          <w:szCs w:val="32"/>
          <w:highlight w:val="none"/>
        </w:rPr>
        <w:t>年</w:t>
      </w:r>
      <w:r>
        <w:rPr>
          <w:rFonts w:ascii="Times New Roman" w:hAnsi="Times New Roman" w:eastAsia="仿宋_GB2312"/>
          <w:sz w:val="32"/>
          <w:szCs w:val="32"/>
          <w:highlight w:val="none"/>
        </w:rPr>
        <w:t>1</w:t>
      </w:r>
      <w:r>
        <w:rPr>
          <w:rFonts w:hint="eastAsia" w:ascii="Times New Roman" w:hAnsi="Times New Roman" w:eastAsia="仿宋_GB2312"/>
          <w:sz w:val="32"/>
          <w:szCs w:val="32"/>
          <w:highlight w:val="none"/>
        </w:rPr>
        <w:t>月</w:t>
      </w:r>
      <w:r>
        <w:rPr>
          <w:rFonts w:ascii="Times New Roman" w:hAnsi="Times New Roman" w:eastAsia="仿宋_GB2312"/>
          <w:sz w:val="32"/>
          <w:szCs w:val="32"/>
          <w:highlight w:val="none"/>
        </w:rPr>
        <w:t>23</w:t>
      </w:r>
      <w:r>
        <w:rPr>
          <w:rFonts w:hint="eastAsia" w:ascii="Times New Roman" w:hAnsi="Times New Roman" w:eastAsia="仿宋_GB2312"/>
          <w:sz w:val="32"/>
          <w:szCs w:val="32"/>
          <w:highlight w:val="none"/>
        </w:rPr>
        <w:t>日</w:t>
      </w:r>
    </w:p>
    <w:p w14:paraId="7ACBE12C">
      <w:pPr>
        <w:keepNext w:val="0"/>
        <w:keepLines w:val="0"/>
        <w:pageBreakBefore w:val="0"/>
        <w:kinsoku/>
        <w:wordWrap/>
        <w:overflowPunct/>
        <w:topLinePunct w:val="0"/>
        <w:autoSpaceDE/>
        <w:autoSpaceDN/>
        <w:bidi w:val="0"/>
        <w:adjustRightInd w:val="0"/>
        <w:snapToGrid w:val="0"/>
        <w:spacing w:line="560" w:lineRule="exact"/>
        <w:ind w:firstLine="640" w:firstLineChars="200"/>
        <w:jc w:val="left"/>
        <w:textAlignment w:val="auto"/>
        <w:outlineLvl w:val="9"/>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统一社会信用代码：</w:t>
      </w:r>
      <w:r>
        <w:rPr>
          <w:rFonts w:ascii="Times New Roman" w:hAnsi="Times New Roman" w:eastAsia="仿宋_GB2312"/>
          <w:sz w:val="32"/>
          <w:szCs w:val="32"/>
          <w:highlight w:val="none"/>
        </w:rPr>
        <w:t>91522731MA6DJDF479</w:t>
      </w:r>
    </w:p>
    <w:p w14:paraId="3797F9F0">
      <w:pPr>
        <w:keepNext w:val="0"/>
        <w:keepLines w:val="0"/>
        <w:pageBreakBefore w:val="0"/>
        <w:kinsoku/>
        <w:wordWrap/>
        <w:overflowPunct/>
        <w:topLinePunct w:val="0"/>
        <w:autoSpaceDE/>
        <w:autoSpaceDN/>
        <w:bidi w:val="0"/>
        <w:adjustRightInd w:val="0"/>
        <w:snapToGrid w:val="0"/>
        <w:spacing w:line="560" w:lineRule="exact"/>
        <w:ind w:firstLine="640" w:firstLineChars="200"/>
        <w:jc w:val="left"/>
        <w:textAlignment w:val="auto"/>
        <w:outlineLvl w:val="9"/>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本行注册登记日期：</w:t>
      </w:r>
      <w:r>
        <w:rPr>
          <w:rFonts w:ascii="Times New Roman" w:hAnsi="Times New Roman" w:eastAsia="仿宋_GB2312"/>
          <w:sz w:val="32"/>
          <w:szCs w:val="32"/>
          <w:highlight w:val="none"/>
        </w:rPr>
        <w:t>2015</w:t>
      </w:r>
      <w:r>
        <w:rPr>
          <w:rFonts w:hint="eastAsia" w:ascii="Times New Roman" w:hAnsi="Times New Roman" w:eastAsia="仿宋_GB2312"/>
          <w:sz w:val="32"/>
          <w:szCs w:val="32"/>
          <w:highlight w:val="none"/>
        </w:rPr>
        <w:t>年</w:t>
      </w:r>
      <w:r>
        <w:rPr>
          <w:rFonts w:ascii="Times New Roman" w:hAnsi="Times New Roman" w:eastAsia="仿宋_GB2312"/>
          <w:sz w:val="32"/>
          <w:szCs w:val="32"/>
          <w:highlight w:val="none"/>
        </w:rPr>
        <w:t>11</w:t>
      </w:r>
      <w:r>
        <w:rPr>
          <w:rFonts w:hint="eastAsia" w:ascii="Times New Roman" w:hAnsi="Times New Roman" w:eastAsia="仿宋_GB2312"/>
          <w:sz w:val="32"/>
          <w:szCs w:val="32"/>
          <w:highlight w:val="none"/>
        </w:rPr>
        <w:t>月</w:t>
      </w:r>
      <w:r>
        <w:rPr>
          <w:rFonts w:ascii="Times New Roman" w:hAnsi="Times New Roman" w:eastAsia="仿宋_GB2312"/>
          <w:sz w:val="32"/>
          <w:szCs w:val="32"/>
          <w:highlight w:val="none"/>
        </w:rPr>
        <w:t>1</w:t>
      </w:r>
      <w:r>
        <w:rPr>
          <w:rFonts w:hint="eastAsia" w:ascii="Times New Roman" w:hAnsi="Times New Roman" w:eastAsia="仿宋_GB2312"/>
          <w:sz w:val="32"/>
          <w:szCs w:val="32"/>
          <w:highlight w:val="none"/>
        </w:rPr>
        <w:t>0日</w:t>
      </w:r>
    </w:p>
    <w:p w14:paraId="29B2B721">
      <w:pPr>
        <w:keepNext w:val="0"/>
        <w:keepLines w:val="0"/>
        <w:pageBreakBefore w:val="0"/>
        <w:kinsoku/>
        <w:wordWrap/>
        <w:overflowPunct/>
        <w:topLinePunct w:val="0"/>
        <w:autoSpaceDE/>
        <w:autoSpaceDN/>
        <w:bidi w:val="0"/>
        <w:adjustRightInd w:val="0"/>
        <w:snapToGrid w:val="0"/>
        <w:spacing w:line="560" w:lineRule="exact"/>
        <w:ind w:firstLine="640" w:firstLineChars="200"/>
        <w:jc w:val="left"/>
        <w:textAlignment w:val="auto"/>
        <w:outlineLvl w:val="9"/>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登记地点：惠水县工商行政管理局</w:t>
      </w:r>
    </w:p>
    <w:p w14:paraId="63828E70">
      <w:pPr>
        <w:keepNext w:val="0"/>
        <w:keepLines w:val="0"/>
        <w:pageBreakBefore w:val="0"/>
        <w:kinsoku/>
        <w:wordWrap/>
        <w:overflowPunct/>
        <w:topLinePunct w:val="0"/>
        <w:autoSpaceDE/>
        <w:autoSpaceDN/>
        <w:bidi w:val="0"/>
        <w:adjustRightInd w:val="0"/>
        <w:snapToGrid w:val="0"/>
        <w:spacing w:line="560" w:lineRule="exact"/>
        <w:ind w:firstLine="640" w:firstLineChars="200"/>
        <w:jc w:val="left"/>
        <w:textAlignment w:val="auto"/>
        <w:outlineLvl w:val="9"/>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本行经济性质：股份有限公司（非上市、自然人投资或控股）</w:t>
      </w:r>
    </w:p>
    <w:p w14:paraId="36BBD42A">
      <w:pPr>
        <w:keepNext w:val="0"/>
        <w:keepLines w:val="0"/>
        <w:pageBreakBefore w:val="0"/>
        <w:kinsoku/>
        <w:wordWrap/>
        <w:overflowPunct/>
        <w:topLinePunct w:val="0"/>
        <w:autoSpaceDE/>
        <w:autoSpaceDN/>
        <w:bidi w:val="0"/>
        <w:adjustRightInd w:val="0"/>
        <w:snapToGrid w:val="0"/>
        <w:spacing w:line="560" w:lineRule="exact"/>
        <w:ind w:firstLine="640" w:firstLineChars="200"/>
        <w:jc w:val="left"/>
        <w:textAlignment w:val="auto"/>
        <w:outlineLvl w:val="9"/>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本行注册资金：人民币31872</w:t>
      </w:r>
      <w:r>
        <w:rPr>
          <w:rFonts w:hint="eastAsia" w:ascii="Times New Roman" w:hAnsi="Times New Roman" w:eastAsia="仿宋_GB2312"/>
          <w:sz w:val="32"/>
          <w:szCs w:val="32"/>
          <w:highlight w:val="none"/>
          <w:lang w:val="en-US" w:eastAsia="zh-CN"/>
        </w:rPr>
        <w:t>.8785</w:t>
      </w:r>
      <w:r>
        <w:rPr>
          <w:rFonts w:hint="eastAsia" w:ascii="Times New Roman" w:hAnsi="Times New Roman" w:eastAsia="仿宋_GB2312"/>
          <w:sz w:val="32"/>
          <w:szCs w:val="32"/>
          <w:highlight w:val="none"/>
        </w:rPr>
        <w:t>万元</w:t>
      </w:r>
    </w:p>
    <w:p w14:paraId="2D0246F6">
      <w:pPr>
        <w:keepNext w:val="0"/>
        <w:keepLines w:val="0"/>
        <w:pageBreakBefore w:val="0"/>
        <w:kinsoku/>
        <w:wordWrap/>
        <w:overflowPunct/>
        <w:topLinePunct w:val="0"/>
        <w:autoSpaceDE/>
        <w:autoSpaceDN/>
        <w:bidi w:val="0"/>
        <w:adjustRightInd w:val="0"/>
        <w:snapToGrid w:val="0"/>
        <w:spacing w:line="560" w:lineRule="exact"/>
        <w:ind w:firstLine="640" w:firstLineChars="200"/>
        <w:jc w:val="left"/>
        <w:textAlignment w:val="auto"/>
        <w:outlineLvl w:val="9"/>
        <w:rPr>
          <w:rFonts w:hint="default" w:ascii="Times New Roman" w:hAnsi="Times New Roman" w:eastAsia="仿宋_GB2312"/>
          <w:sz w:val="32"/>
          <w:szCs w:val="32"/>
          <w:highlight w:val="none"/>
          <w:lang w:val="en-US"/>
        </w:rPr>
      </w:pPr>
      <w:r>
        <w:rPr>
          <w:rFonts w:hint="eastAsia" w:ascii="Times New Roman" w:hAnsi="Times New Roman" w:eastAsia="仿宋_GB2312"/>
          <w:sz w:val="32"/>
          <w:szCs w:val="32"/>
          <w:highlight w:val="none"/>
          <w:lang w:eastAsia="zh-CN"/>
        </w:rPr>
        <w:t>客服电话：</w:t>
      </w:r>
      <w:r>
        <w:rPr>
          <w:rFonts w:hint="eastAsia" w:ascii="Times New Roman" w:hAnsi="Times New Roman" w:eastAsia="仿宋_GB2312"/>
          <w:sz w:val="32"/>
          <w:szCs w:val="32"/>
          <w:highlight w:val="none"/>
          <w:lang w:val="en-US" w:eastAsia="zh-CN"/>
        </w:rPr>
        <w:t>96688</w:t>
      </w:r>
    </w:p>
    <w:p w14:paraId="00DF51B3">
      <w:pPr>
        <w:keepNext w:val="0"/>
        <w:keepLines w:val="0"/>
        <w:pageBreakBefore w:val="0"/>
        <w:kinsoku/>
        <w:wordWrap/>
        <w:overflowPunct/>
        <w:topLinePunct w:val="0"/>
        <w:autoSpaceDE/>
        <w:autoSpaceDN/>
        <w:bidi w:val="0"/>
        <w:adjustRightInd w:val="0"/>
        <w:snapToGrid w:val="0"/>
        <w:spacing w:line="560" w:lineRule="exact"/>
        <w:ind w:firstLine="640" w:firstLineChars="200"/>
        <w:jc w:val="left"/>
        <w:textAlignment w:val="auto"/>
        <w:outlineLvl w:val="9"/>
        <w:rPr>
          <w:rFonts w:hint="default" w:ascii="Times New Roman" w:hAnsi="Times New Roman" w:eastAsia="仿宋_GB2312"/>
          <w:sz w:val="32"/>
          <w:szCs w:val="32"/>
          <w:highlight w:val="none"/>
          <w:lang w:val="en-US" w:eastAsia="zh-CN"/>
        </w:rPr>
      </w:pPr>
      <w:r>
        <w:rPr>
          <w:rFonts w:hint="eastAsia" w:ascii="Times New Roman" w:hAnsi="Times New Roman" w:eastAsia="仿宋_GB2312"/>
          <w:sz w:val="32"/>
          <w:szCs w:val="32"/>
          <w:highlight w:val="none"/>
          <w:lang w:eastAsia="zh-CN"/>
        </w:rPr>
        <w:t>投诉电话：</w:t>
      </w:r>
      <w:r>
        <w:rPr>
          <w:rFonts w:hint="eastAsia" w:ascii="Times New Roman" w:hAnsi="Times New Roman" w:eastAsia="仿宋_GB2312"/>
          <w:sz w:val="32"/>
          <w:szCs w:val="32"/>
          <w:highlight w:val="none"/>
          <w:lang w:val="en-US" w:eastAsia="zh-CN"/>
        </w:rPr>
        <w:t>0854-6222267</w:t>
      </w:r>
    </w:p>
    <w:p w14:paraId="2E2945B0">
      <w:pPr>
        <w:keepNext w:val="0"/>
        <w:keepLines w:val="0"/>
        <w:pageBreakBefore w:val="0"/>
        <w:kinsoku/>
        <w:wordWrap/>
        <w:overflowPunct/>
        <w:topLinePunct w:val="0"/>
        <w:autoSpaceDE/>
        <w:autoSpaceDN/>
        <w:bidi w:val="0"/>
        <w:adjustRightInd w:val="0"/>
        <w:snapToGrid w:val="0"/>
        <w:spacing w:line="560" w:lineRule="exact"/>
        <w:ind w:firstLine="640" w:firstLineChars="200"/>
        <w:jc w:val="left"/>
        <w:textAlignment w:val="auto"/>
        <w:outlineLvl w:val="9"/>
        <w:rPr>
          <w:rFonts w:hint="default" w:ascii="Times New Roman" w:hAnsi="Times New Roman" w:eastAsia="仿宋_GB2312"/>
          <w:color w:val="auto"/>
          <w:sz w:val="32"/>
          <w:szCs w:val="32"/>
          <w:highlight w:val="none"/>
          <w:lang w:val="en-US" w:eastAsia="zh-CN"/>
        </w:rPr>
      </w:pPr>
      <w:r>
        <w:rPr>
          <w:rFonts w:hint="eastAsia" w:ascii="Times New Roman" w:hAnsi="Times New Roman" w:eastAsia="仿宋_GB2312"/>
          <w:color w:val="auto"/>
          <w:sz w:val="32"/>
          <w:szCs w:val="32"/>
          <w:highlight w:val="none"/>
          <w:lang w:eastAsia="zh-CN"/>
        </w:rPr>
        <w:t>各分支机构营业场所：</w:t>
      </w:r>
    </w:p>
    <w:tbl>
      <w:tblPr>
        <w:tblStyle w:val="11"/>
        <w:tblW w:w="8856" w:type="dxa"/>
        <w:tblInd w:w="0" w:type="dxa"/>
        <w:shd w:val="clear" w:color="auto" w:fill="auto"/>
        <w:tblLayout w:type="autofit"/>
        <w:tblCellMar>
          <w:top w:w="0" w:type="dxa"/>
          <w:left w:w="0" w:type="dxa"/>
          <w:bottom w:w="0" w:type="dxa"/>
          <w:right w:w="0" w:type="dxa"/>
        </w:tblCellMar>
      </w:tblPr>
      <w:tblGrid>
        <w:gridCol w:w="606"/>
        <w:gridCol w:w="1614"/>
        <w:gridCol w:w="1485"/>
        <w:gridCol w:w="5151"/>
      </w:tblGrid>
      <w:tr w14:paraId="087A42D7">
        <w:tblPrEx>
          <w:shd w:val="clear" w:color="auto" w:fill="auto"/>
          <w:tblCellMar>
            <w:top w:w="0" w:type="dxa"/>
            <w:left w:w="0" w:type="dxa"/>
            <w:bottom w:w="0" w:type="dxa"/>
            <w:right w:w="0" w:type="dxa"/>
          </w:tblCellMar>
        </w:tblPrEx>
        <w:trPr>
          <w:trHeight w:val="397" w:hRule="exact"/>
        </w:trPr>
        <w:tc>
          <w:tcPr>
            <w:tcW w:w="6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178138A">
            <w:pPr>
              <w:keepNext w:val="0"/>
              <w:keepLines w:val="0"/>
              <w:widowControl/>
              <w:suppressLineNumbers w:val="0"/>
              <w:jc w:val="center"/>
              <w:textAlignment w:val="center"/>
              <w:rPr>
                <w:rFonts w:hint="eastAsia" w:ascii="宋体" w:hAnsi="宋体" w:eastAsia="宋体" w:cs="宋体"/>
                <w:b/>
                <w:i w:val="0"/>
                <w:color w:val="000000"/>
                <w:sz w:val="20"/>
                <w:szCs w:val="20"/>
                <w:highlight w:val="none"/>
                <w:u w:val="none"/>
              </w:rPr>
            </w:pPr>
            <w:r>
              <w:rPr>
                <w:rFonts w:hint="eastAsia" w:ascii="宋体" w:hAnsi="宋体" w:eastAsia="宋体" w:cs="宋体"/>
                <w:b/>
                <w:i w:val="0"/>
                <w:color w:val="000000"/>
                <w:kern w:val="0"/>
                <w:sz w:val="20"/>
                <w:szCs w:val="20"/>
                <w:highlight w:val="none"/>
                <w:u w:val="none"/>
                <w:lang w:val="en-US" w:eastAsia="zh-CN" w:bidi="ar"/>
              </w:rPr>
              <w:t>序号</w:t>
            </w:r>
          </w:p>
        </w:tc>
        <w:tc>
          <w:tcPr>
            <w:tcW w:w="1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67350F6">
            <w:pPr>
              <w:keepNext w:val="0"/>
              <w:keepLines w:val="0"/>
              <w:widowControl/>
              <w:suppressLineNumbers w:val="0"/>
              <w:jc w:val="center"/>
              <w:textAlignment w:val="center"/>
              <w:rPr>
                <w:rFonts w:hint="eastAsia" w:ascii="宋体" w:hAnsi="宋体" w:eastAsia="宋体" w:cs="宋体"/>
                <w:b/>
                <w:i w:val="0"/>
                <w:color w:val="000000"/>
                <w:sz w:val="20"/>
                <w:szCs w:val="20"/>
                <w:highlight w:val="none"/>
                <w:u w:val="none"/>
              </w:rPr>
            </w:pPr>
            <w:r>
              <w:rPr>
                <w:rFonts w:hint="eastAsia" w:ascii="宋体" w:hAnsi="宋体" w:eastAsia="宋体" w:cs="宋体"/>
                <w:b/>
                <w:i w:val="0"/>
                <w:color w:val="000000"/>
                <w:kern w:val="0"/>
                <w:sz w:val="20"/>
                <w:szCs w:val="20"/>
                <w:highlight w:val="none"/>
                <w:u w:val="none"/>
                <w:lang w:val="en-US" w:eastAsia="zh-CN" w:bidi="ar"/>
              </w:rPr>
              <w:t>网点名称</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9BEE33">
            <w:pPr>
              <w:keepNext w:val="0"/>
              <w:keepLines w:val="0"/>
              <w:widowControl/>
              <w:suppressLineNumbers w:val="0"/>
              <w:jc w:val="center"/>
              <w:textAlignment w:val="center"/>
              <w:rPr>
                <w:rFonts w:hint="eastAsia" w:ascii="宋体" w:hAnsi="宋体" w:eastAsia="宋体" w:cs="宋体"/>
                <w:b/>
                <w:i w:val="0"/>
                <w:color w:val="000000"/>
                <w:sz w:val="20"/>
                <w:szCs w:val="20"/>
                <w:highlight w:val="none"/>
                <w:u w:val="none"/>
              </w:rPr>
            </w:pPr>
            <w:r>
              <w:rPr>
                <w:rFonts w:hint="eastAsia" w:ascii="宋体" w:hAnsi="宋体" w:eastAsia="宋体" w:cs="宋体"/>
                <w:b/>
                <w:i w:val="0"/>
                <w:color w:val="000000"/>
                <w:kern w:val="0"/>
                <w:sz w:val="20"/>
                <w:szCs w:val="20"/>
                <w:highlight w:val="none"/>
                <w:u w:val="none"/>
                <w:lang w:val="en-US" w:eastAsia="zh-CN" w:bidi="ar"/>
              </w:rPr>
              <w:t>联系电话</w:t>
            </w:r>
          </w:p>
        </w:tc>
        <w:tc>
          <w:tcPr>
            <w:tcW w:w="51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EB4B7C4">
            <w:pPr>
              <w:keepNext w:val="0"/>
              <w:keepLines w:val="0"/>
              <w:widowControl/>
              <w:suppressLineNumbers w:val="0"/>
              <w:jc w:val="center"/>
              <w:textAlignment w:val="center"/>
              <w:rPr>
                <w:rFonts w:hint="eastAsia" w:ascii="宋体" w:hAnsi="宋体" w:eastAsia="宋体" w:cs="宋体"/>
                <w:b/>
                <w:i w:val="0"/>
                <w:color w:val="000000"/>
                <w:sz w:val="20"/>
                <w:szCs w:val="20"/>
                <w:highlight w:val="none"/>
                <w:u w:val="none"/>
              </w:rPr>
            </w:pPr>
            <w:r>
              <w:rPr>
                <w:rFonts w:hint="eastAsia" w:ascii="宋体" w:hAnsi="宋体" w:eastAsia="宋体" w:cs="宋体"/>
                <w:b/>
                <w:i w:val="0"/>
                <w:color w:val="000000"/>
                <w:kern w:val="0"/>
                <w:sz w:val="20"/>
                <w:szCs w:val="20"/>
                <w:highlight w:val="none"/>
                <w:u w:val="none"/>
                <w:lang w:val="en-US" w:eastAsia="zh-CN" w:bidi="ar"/>
              </w:rPr>
              <w:t>经营地址</w:t>
            </w:r>
          </w:p>
        </w:tc>
      </w:tr>
      <w:tr w14:paraId="12AB438F">
        <w:tblPrEx>
          <w:tblCellMar>
            <w:top w:w="0" w:type="dxa"/>
            <w:left w:w="0" w:type="dxa"/>
            <w:bottom w:w="0" w:type="dxa"/>
            <w:right w:w="0" w:type="dxa"/>
          </w:tblCellMar>
        </w:tblPrEx>
        <w:trPr>
          <w:trHeight w:val="397" w:hRule="exact"/>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22FDD1">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w:t>
            </w:r>
          </w:p>
        </w:tc>
        <w:tc>
          <w:tcPr>
            <w:tcW w:w="1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C83567">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营业部</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749B8E6">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0854-6230339</w:t>
            </w:r>
          </w:p>
        </w:tc>
        <w:tc>
          <w:tcPr>
            <w:tcW w:w="51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8E214AD">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贵州省惠水县城北新区贵惠大道西侧</w:t>
            </w:r>
          </w:p>
        </w:tc>
      </w:tr>
      <w:tr w14:paraId="4F3D3A7E">
        <w:tblPrEx>
          <w:tblCellMar>
            <w:top w:w="0" w:type="dxa"/>
            <w:left w:w="0" w:type="dxa"/>
            <w:bottom w:w="0" w:type="dxa"/>
            <w:right w:w="0" w:type="dxa"/>
          </w:tblCellMar>
        </w:tblPrEx>
        <w:trPr>
          <w:trHeight w:val="397" w:hRule="exact"/>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44DE3F">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w:t>
            </w:r>
          </w:p>
        </w:tc>
        <w:tc>
          <w:tcPr>
            <w:tcW w:w="1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D5FC0F7">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振兴分理处</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E84CE3C">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0854-6225496</w:t>
            </w:r>
          </w:p>
        </w:tc>
        <w:tc>
          <w:tcPr>
            <w:tcW w:w="51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AB82F7">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贵州省惠水县涟江街道办事处盛兴禧花园</w:t>
            </w:r>
          </w:p>
        </w:tc>
      </w:tr>
      <w:tr w14:paraId="52953A59">
        <w:tblPrEx>
          <w:tblCellMar>
            <w:top w:w="0" w:type="dxa"/>
            <w:left w:w="0" w:type="dxa"/>
            <w:bottom w:w="0" w:type="dxa"/>
            <w:right w:w="0" w:type="dxa"/>
          </w:tblCellMar>
        </w:tblPrEx>
        <w:trPr>
          <w:trHeight w:val="397" w:hRule="exact"/>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C83D2A">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3</w:t>
            </w:r>
          </w:p>
        </w:tc>
        <w:tc>
          <w:tcPr>
            <w:tcW w:w="1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AFF35BD">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新城分理处</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303C27F">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0854-6226914</w:t>
            </w:r>
          </w:p>
        </w:tc>
        <w:tc>
          <w:tcPr>
            <w:tcW w:w="51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B079A5">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贵州省惠水县涟江街道办事处涟江南路涟江印象商住楼</w:t>
            </w:r>
          </w:p>
        </w:tc>
      </w:tr>
      <w:tr w14:paraId="01847C0D">
        <w:tblPrEx>
          <w:tblCellMar>
            <w:top w:w="0" w:type="dxa"/>
            <w:left w:w="0" w:type="dxa"/>
            <w:bottom w:w="0" w:type="dxa"/>
            <w:right w:w="0" w:type="dxa"/>
          </w:tblCellMar>
        </w:tblPrEx>
        <w:trPr>
          <w:trHeight w:val="397" w:hRule="exact"/>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9D4155">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4</w:t>
            </w:r>
          </w:p>
        </w:tc>
        <w:tc>
          <w:tcPr>
            <w:tcW w:w="1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2D71D0">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惠兴分理处</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FDC20FF">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0854-6221901</w:t>
            </w:r>
          </w:p>
        </w:tc>
        <w:tc>
          <w:tcPr>
            <w:tcW w:w="51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6C2AF2">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贵州省惠水县涟江街道办事处圆台东路4号</w:t>
            </w:r>
          </w:p>
        </w:tc>
      </w:tr>
      <w:tr w14:paraId="1D3D2115">
        <w:tblPrEx>
          <w:tblCellMar>
            <w:top w:w="0" w:type="dxa"/>
            <w:left w:w="0" w:type="dxa"/>
            <w:bottom w:w="0" w:type="dxa"/>
            <w:right w:w="0" w:type="dxa"/>
          </w:tblCellMar>
        </w:tblPrEx>
        <w:trPr>
          <w:trHeight w:val="397" w:hRule="exact"/>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DC9C90">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5</w:t>
            </w:r>
          </w:p>
        </w:tc>
        <w:tc>
          <w:tcPr>
            <w:tcW w:w="1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DCC0FE">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时代分理处</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104C605">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0854-6526889</w:t>
            </w:r>
          </w:p>
        </w:tc>
        <w:tc>
          <w:tcPr>
            <w:tcW w:w="51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D360BA1">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贵州省惠水县涟江街道办事处纸酒路恒基时代广场</w:t>
            </w:r>
          </w:p>
        </w:tc>
      </w:tr>
      <w:tr w14:paraId="542647FB">
        <w:tblPrEx>
          <w:tblCellMar>
            <w:top w:w="0" w:type="dxa"/>
            <w:left w:w="0" w:type="dxa"/>
            <w:bottom w:w="0" w:type="dxa"/>
            <w:right w:w="0" w:type="dxa"/>
          </w:tblCellMar>
        </w:tblPrEx>
        <w:trPr>
          <w:trHeight w:val="397" w:hRule="exact"/>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C8C9D9">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6</w:t>
            </w:r>
          </w:p>
        </w:tc>
        <w:tc>
          <w:tcPr>
            <w:tcW w:w="1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A323536">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凤山支行</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3B744E3">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0854-6221901</w:t>
            </w:r>
          </w:p>
        </w:tc>
        <w:tc>
          <w:tcPr>
            <w:tcW w:w="51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E5AD90">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贵州省惠水县涟江街道办事处圆台东路4号</w:t>
            </w:r>
          </w:p>
        </w:tc>
      </w:tr>
      <w:tr w14:paraId="37BF1C50">
        <w:tblPrEx>
          <w:tblCellMar>
            <w:top w:w="0" w:type="dxa"/>
            <w:left w:w="0" w:type="dxa"/>
            <w:bottom w:w="0" w:type="dxa"/>
            <w:right w:w="0" w:type="dxa"/>
          </w:tblCellMar>
        </w:tblPrEx>
        <w:trPr>
          <w:trHeight w:val="397" w:hRule="exact"/>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EF8B74">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7</w:t>
            </w:r>
          </w:p>
        </w:tc>
        <w:tc>
          <w:tcPr>
            <w:tcW w:w="1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623FEF">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凤兴分理处</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D9C560E">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0854-6221351</w:t>
            </w:r>
          </w:p>
        </w:tc>
        <w:tc>
          <w:tcPr>
            <w:tcW w:w="51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574919">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贵州省惠水县和平镇人民北路1号</w:t>
            </w:r>
          </w:p>
        </w:tc>
      </w:tr>
      <w:tr w14:paraId="16FC4861">
        <w:tblPrEx>
          <w:tblCellMar>
            <w:top w:w="0" w:type="dxa"/>
            <w:left w:w="0" w:type="dxa"/>
            <w:bottom w:w="0" w:type="dxa"/>
            <w:right w:w="0" w:type="dxa"/>
          </w:tblCellMar>
        </w:tblPrEx>
        <w:trPr>
          <w:trHeight w:val="397" w:hRule="exact"/>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F4A1E5">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8</w:t>
            </w:r>
          </w:p>
        </w:tc>
        <w:tc>
          <w:tcPr>
            <w:tcW w:w="1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29E793E">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濛江支行</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C52B21">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0854-6327432</w:t>
            </w:r>
          </w:p>
        </w:tc>
        <w:tc>
          <w:tcPr>
            <w:tcW w:w="51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63B6FB7">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贵州省惠水县濛江街道办事处高镇村</w:t>
            </w:r>
          </w:p>
        </w:tc>
      </w:tr>
      <w:tr w14:paraId="1F490584">
        <w:tblPrEx>
          <w:tblCellMar>
            <w:top w:w="0" w:type="dxa"/>
            <w:left w:w="0" w:type="dxa"/>
            <w:bottom w:w="0" w:type="dxa"/>
            <w:right w:w="0" w:type="dxa"/>
          </w:tblCellMar>
        </w:tblPrEx>
        <w:trPr>
          <w:trHeight w:val="397" w:hRule="exact"/>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56B137">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9</w:t>
            </w:r>
          </w:p>
        </w:tc>
        <w:tc>
          <w:tcPr>
            <w:tcW w:w="1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20468D3">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长田分理处</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5F716A">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0854-6358255</w:t>
            </w:r>
          </w:p>
        </w:tc>
        <w:tc>
          <w:tcPr>
            <w:tcW w:w="51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C6391D">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贵州省惠水县长田工业园区</w:t>
            </w:r>
          </w:p>
        </w:tc>
      </w:tr>
      <w:tr w14:paraId="5C10E70C">
        <w:tblPrEx>
          <w:tblCellMar>
            <w:top w:w="0" w:type="dxa"/>
            <w:left w:w="0" w:type="dxa"/>
            <w:bottom w:w="0" w:type="dxa"/>
            <w:right w:w="0" w:type="dxa"/>
          </w:tblCellMar>
        </w:tblPrEx>
        <w:trPr>
          <w:trHeight w:val="397" w:hRule="exact"/>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8C791C">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10</w:t>
            </w:r>
          </w:p>
        </w:tc>
        <w:tc>
          <w:tcPr>
            <w:tcW w:w="1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D3EC5A6">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好花红支行</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92D55B3">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0854-6424232</w:t>
            </w:r>
          </w:p>
        </w:tc>
        <w:tc>
          <w:tcPr>
            <w:tcW w:w="51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4C37F7">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贵州省惠水县好花红镇三都村</w:t>
            </w:r>
          </w:p>
        </w:tc>
      </w:tr>
      <w:tr w14:paraId="67180C73">
        <w:tblPrEx>
          <w:tblCellMar>
            <w:top w:w="0" w:type="dxa"/>
            <w:left w:w="0" w:type="dxa"/>
            <w:bottom w:w="0" w:type="dxa"/>
            <w:right w:w="0" w:type="dxa"/>
          </w:tblCellMar>
        </w:tblPrEx>
        <w:trPr>
          <w:trHeight w:val="397" w:hRule="exact"/>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6F987F">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11</w:t>
            </w:r>
          </w:p>
        </w:tc>
        <w:tc>
          <w:tcPr>
            <w:tcW w:w="1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C8FD8DC">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毛家苑支行</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8A38AFE">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0854-6429443</w:t>
            </w:r>
          </w:p>
        </w:tc>
        <w:tc>
          <w:tcPr>
            <w:tcW w:w="51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E7F721B">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贵州省惠水县好花红镇新门村</w:t>
            </w:r>
          </w:p>
        </w:tc>
      </w:tr>
      <w:tr w14:paraId="202085E1">
        <w:tblPrEx>
          <w:tblCellMar>
            <w:top w:w="0" w:type="dxa"/>
            <w:left w:w="0" w:type="dxa"/>
            <w:bottom w:w="0" w:type="dxa"/>
            <w:right w:w="0" w:type="dxa"/>
          </w:tblCellMar>
        </w:tblPrEx>
        <w:trPr>
          <w:trHeight w:val="397" w:hRule="exact"/>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838056">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12</w:t>
            </w:r>
          </w:p>
        </w:tc>
        <w:tc>
          <w:tcPr>
            <w:tcW w:w="1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143062">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摆金支行</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A0A9AEC">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0854-6524611</w:t>
            </w:r>
          </w:p>
        </w:tc>
        <w:tc>
          <w:tcPr>
            <w:tcW w:w="51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8B3AA0D">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贵州省惠水县摆金镇摆金村</w:t>
            </w:r>
          </w:p>
        </w:tc>
      </w:tr>
      <w:tr w14:paraId="42A652DC">
        <w:tblPrEx>
          <w:tblCellMar>
            <w:top w:w="0" w:type="dxa"/>
            <w:left w:w="0" w:type="dxa"/>
            <w:bottom w:w="0" w:type="dxa"/>
            <w:right w:w="0" w:type="dxa"/>
          </w:tblCellMar>
        </w:tblPrEx>
        <w:trPr>
          <w:trHeight w:val="397" w:hRule="exact"/>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DA8A14">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13</w:t>
            </w:r>
          </w:p>
        </w:tc>
        <w:tc>
          <w:tcPr>
            <w:tcW w:w="1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7619CB8">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岗度分理处</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5A0A916">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0854-6534808</w:t>
            </w:r>
          </w:p>
        </w:tc>
        <w:tc>
          <w:tcPr>
            <w:tcW w:w="51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8662A78">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贵州省惠水县岗度镇岗度村</w:t>
            </w:r>
          </w:p>
        </w:tc>
      </w:tr>
      <w:tr w14:paraId="7072E2A4">
        <w:tblPrEx>
          <w:tblCellMar>
            <w:top w:w="0" w:type="dxa"/>
            <w:left w:w="0" w:type="dxa"/>
            <w:bottom w:w="0" w:type="dxa"/>
            <w:right w:w="0" w:type="dxa"/>
          </w:tblCellMar>
        </w:tblPrEx>
        <w:trPr>
          <w:trHeight w:val="397" w:hRule="exact"/>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4E3E21">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14</w:t>
            </w:r>
          </w:p>
        </w:tc>
        <w:tc>
          <w:tcPr>
            <w:tcW w:w="1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894BFC">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雅水支行</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76A4FCD">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0854-6564746</w:t>
            </w:r>
          </w:p>
        </w:tc>
        <w:tc>
          <w:tcPr>
            <w:tcW w:w="51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72F59F">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贵州省惠水县雅水镇雅水村</w:t>
            </w:r>
          </w:p>
        </w:tc>
      </w:tr>
      <w:tr w14:paraId="26AB7595">
        <w:tblPrEx>
          <w:tblCellMar>
            <w:top w:w="0" w:type="dxa"/>
            <w:left w:w="0" w:type="dxa"/>
            <w:bottom w:w="0" w:type="dxa"/>
            <w:right w:w="0" w:type="dxa"/>
          </w:tblCellMar>
        </w:tblPrEx>
        <w:trPr>
          <w:trHeight w:val="397" w:hRule="exact"/>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5525B0">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15</w:t>
            </w:r>
          </w:p>
        </w:tc>
        <w:tc>
          <w:tcPr>
            <w:tcW w:w="1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9A4236">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芦山支行</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217324">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0854-6494824</w:t>
            </w:r>
          </w:p>
        </w:tc>
        <w:tc>
          <w:tcPr>
            <w:tcW w:w="51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B3A355">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贵州省惠水县芦山镇芦山村</w:t>
            </w:r>
          </w:p>
        </w:tc>
      </w:tr>
      <w:tr w14:paraId="118EE6A8">
        <w:tblPrEx>
          <w:tblCellMar>
            <w:top w:w="0" w:type="dxa"/>
            <w:left w:w="0" w:type="dxa"/>
            <w:bottom w:w="0" w:type="dxa"/>
            <w:right w:w="0" w:type="dxa"/>
          </w:tblCellMar>
        </w:tblPrEx>
        <w:trPr>
          <w:trHeight w:val="397" w:hRule="exact"/>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777ABC">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16</w:t>
            </w:r>
          </w:p>
        </w:tc>
        <w:tc>
          <w:tcPr>
            <w:tcW w:w="1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87923BD">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王佑支行</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E55D52">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0854-6488801</w:t>
            </w:r>
          </w:p>
        </w:tc>
        <w:tc>
          <w:tcPr>
            <w:tcW w:w="51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47EF6A">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贵州省惠水县王佑镇王佑村</w:t>
            </w:r>
          </w:p>
        </w:tc>
      </w:tr>
      <w:tr w14:paraId="3470398D">
        <w:tblPrEx>
          <w:tblCellMar>
            <w:top w:w="0" w:type="dxa"/>
            <w:left w:w="0" w:type="dxa"/>
            <w:bottom w:w="0" w:type="dxa"/>
            <w:right w:w="0" w:type="dxa"/>
          </w:tblCellMar>
        </w:tblPrEx>
        <w:trPr>
          <w:trHeight w:val="397" w:hRule="exact"/>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5AC8AB">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17</w:t>
            </w:r>
          </w:p>
        </w:tc>
        <w:tc>
          <w:tcPr>
            <w:tcW w:w="1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C99407">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羡塘支行</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31DC16">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0854-6459088</w:t>
            </w:r>
          </w:p>
        </w:tc>
        <w:tc>
          <w:tcPr>
            <w:tcW w:w="51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0404F18">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贵州省惠水县羡塘镇红旗村</w:t>
            </w:r>
          </w:p>
        </w:tc>
      </w:tr>
      <w:tr w14:paraId="398BB923">
        <w:tblPrEx>
          <w:tblCellMar>
            <w:top w:w="0" w:type="dxa"/>
            <w:left w:w="0" w:type="dxa"/>
            <w:bottom w:w="0" w:type="dxa"/>
            <w:right w:w="0" w:type="dxa"/>
          </w:tblCellMar>
        </w:tblPrEx>
        <w:trPr>
          <w:trHeight w:val="397" w:hRule="exact"/>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63DADD">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18</w:t>
            </w:r>
          </w:p>
        </w:tc>
        <w:tc>
          <w:tcPr>
            <w:tcW w:w="1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E7594CB">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断杉支行</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C1D1757">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0854-6454369</w:t>
            </w:r>
          </w:p>
        </w:tc>
        <w:tc>
          <w:tcPr>
            <w:tcW w:w="51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329EC7D">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贵州省惠水县断杉镇八大村街上</w:t>
            </w:r>
          </w:p>
        </w:tc>
      </w:tr>
      <w:tr w14:paraId="6D5C2FAC">
        <w:tblPrEx>
          <w:tblCellMar>
            <w:top w:w="0" w:type="dxa"/>
            <w:left w:w="0" w:type="dxa"/>
            <w:bottom w:w="0" w:type="dxa"/>
            <w:right w:w="0" w:type="dxa"/>
          </w:tblCellMar>
        </w:tblPrEx>
        <w:trPr>
          <w:trHeight w:val="397" w:hRule="exact"/>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FE869E">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19</w:t>
            </w:r>
          </w:p>
        </w:tc>
        <w:tc>
          <w:tcPr>
            <w:tcW w:w="1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86023A">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环南支行</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33CD59F">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0854-6226196</w:t>
            </w:r>
          </w:p>
        </w:tc>
        <w:tc>
          <w:tcPr>
            <w:tcW w:w="51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57EF079">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贵州省惠水县涟江街道办事处振兴路106号</w:t>
            </w:r>
          </w:p>
        </w:tc>
      </w:tr>
      <w:tr w14:paraId="15E78801">
        <w:tblPrEx>
          <w:tblCellMar>
            <w:top w:w="0" w:type="dxa"/>
            <w:left w:w="0" w:type="dxa"/>
            <w:bottom w:w="0" w:type="dxa"/>
            <w:right w:w="0" w:type="dxa"/>
          </w:tblCellMar>
        </w:tblPrEx>
        <w:trPr>
          <w:trHeight w:val="397" w:hRule="exact"/>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0A415F">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20</w:t>
            </w:r>
          </w:p>
        </w:tc>
        <w:tc>
          <w:tcPr>
            <w:tcW w:w="1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9E11A58">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涟江分理处</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05992B">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0854-6230339</w:t>
            </w:r>
          </w:p>
        </w:tc>
        <w:tc>
          <w:tcPr>
            <w:tcW w:w="51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071E8B2">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贵州省惠水县城北新区贵惠大道西侧</w:t>
            </w:r>
          </w:p>
        </w:tc>
      </w:tr>
      <w:tr w14:paraId="30B44ACA">
        <w:tblPrEx>
          <w:tblCellMar>
            <w:top w:w="0" w:type="dxa"/>
            <w:left w:w="0" w:type="dxa"/>
            <w:bottom w:w="0" w:type="dxa"/>
            <w:right w:w="0" w:type="dxa"/>
          </w:tblCellMar>
        </w:tblPrEx>
        <w:trPr>
          <w:trHeight w:val="397" w:hRule="exact"/>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A12771">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21</w:t>
            </w:r>
          </w:p>
        </w:tc>
        <w:tc>
          <w:tcPr>
            <w:tcW w:w="1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6CBD5B7">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南苑分理处</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42644D">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0854-6320086</w:t>
            </w:r>
          </w:p>
        </w:tc>
        <w:tc>
          <w:tcPr>
            <w:tcW w:w="51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DAEC0E0">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贵州省惠水县涟江街道县府南路南苑花城</w:t>
            </w:r>
          </w:p>
        </w:tc>
      </w:tr>
      <w:tr w14:paraId="7CCD8518">
        <w:tblPrEx>
          <w:tblCellMar>
            <w:top w:w="0" w:type="dxa"/>
            <w:left w:w="0" w:type="dxa"/>
            <w:bottom w:w="0" w:type="dxa"/>
            <w:right w:w="0" w:type="dxa"/>
          </w:tblCellMar>
        </w:tblPrEx>
        <w:trPr>
          <w:trHeight w:val="397" w:hRule="exact"/>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1EE05D">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22</w:t>
            </w:r>
          </w:p>
        </w:tc>
        <w:tc>
          <w:tcPr>
            <w:tcW w:w="1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3273078">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三都分理处</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0280413">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0854-6424232</w:t>
            </w:r>
          </w:p>
        </w:tc>
        <w:tc>
          <w:tcPr>
            <w:tcW w:w="51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9D778CB">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贵州省惠水县好花红镇三都村</w:t>
            </w:r>
          </w:p>
        </w:tc>
      </w:tr>
    </w:tbl>
    <w:p w14:paraId="734E1F51">
      <w:pPr>
        <w:keepNext w:val="0"/>
        <w:keepLines w:val="0"/>
        <w:pageBreakBefore w:val="0"/>
        <w:kinsoku/>
        <w:wordWrap/>
        <w:overflowPunct/>
        <w:topLinePunct w:val="0"/>
        <w:autoSpaceDE/>
        <w:autoSpaceDN/>
        <w:bidi w:val="0"/>
        <w:adjustRightInd w:val="0"/>
        <w:snapToGrid w:val="0"/>
        <w:spacing w:line="560" w:lineRule="exact"/>
        <w:ind w:firstLine="640" w:firstLineChars="200"/>
        <w:jc w:val="left"/>
        <w:textAlignment w:val="auto"/>
        <w:outlineLvl w:val="9"/>
        <w:rPr>
          <w:rFonts w:ascii="Times New Roman" w:hAnsi="Times New Roman" w:eastAsia="黑体"/>
          <w:sz w:val="32"/>
          <w:szCs w:val="32"/>
          <w:highlight w:val="none"/>
        </w:rPr>
      </w:pPr>
      <w:r>
        <w:rPr>
          <w:rFonts w:hint="eastAsia" w:ascii="Times New Roman" w:hAnsi="Times New Roman" w:eastAsia="黑体"/>
          <w:sz w:val="32"/>
          <w:szCs w:val="32"/>
          <w:highlight w:val="none"/>
        </w:rPr>
        <w:t>七、本行经营范围</w:t>
      </w:r>
    </w:p>
    <w:p w14:paraId="5B0032E6">
      <w:pPr>
        <w:keepNext w:val="0"/>
        <w:keepLines w:val="0"/>
        <w:pageBreakBefore w:val="0"/>
        <w:widowControl/>
        <w:kinsoku/>
        <w:wordWrap/>
        <w:overflowPunct/>
        <w:topLinePunct w:val="0"/>
        <w:autoSpaceDE/>
        <w:autoSpaceDN/>
        <w:bidi w:val="0"/>
        <w:adjustRightInd w:val="0"/>
        <w:snapToGrid w:val="0"/>
        <w:spacing w:line="560" w:lineRule="exact"/>
        <w:ind w:firstLine="640" w:firstLineChars="200"/>
        <w:textAlignment w:val="auto"/>
        <w:outlineLvl w:val="9"/>
        <w:rPr>
          <w:rFonts w:ascii="Times New Roman" w:hAnsi="Times New Roman" w:eastAsia="仿宋_GB2312"/>
          <w:color w:val="000000"/>
          <w:kern w:val="0"/>
          <w:sz w:val="32"/>
          <w:szCs w:val="32"/>
          <w:highlight w:val="none"/>
        </w:rPr>
      </w:pPr>
      <w:r>
        <w:rPr>
          <w:rFonts w:hint="eastAsia" w:ascii="Times New Roman" w:hAnsi="Times New Roman" w:eastAsia="仿宋_GB2312"/>
          <w:kern w:val="0"/>
          <w:sz w:val="32"/>
          <w:szCs w:val="32"/>
          <w:highlight w:val="none"/>
        </w:rPr>
        <w:t>本行《企业法人营业执照》列示的经营范围包括：</w:t>
      </w:r>
      <w:r>
        <w:rPr>
          <w:rFonts w:hint="eastAsia" w:ascii="Times New Roman" w:hAnsi="Times New Roman" w:eastAsia="仿宋_GB2312"/>
          <w:color w:val="000000"/>
          <w:kern w:val="0"/>
          <w:sz w:val="32"/>
          <w:szCs w:val="32"/>
          <w:highlight w:val="none"/>
        </w:rPr>
        <w:t>经营中国银行业监督管理委员会依照有关法律、行政法规和其他规定批准的业务，经营范围以批准文件所规定的为准。（依法须经批准的项目，经相关部门批准后方可开展经营活动）。</w:t>
      </w:r>
    </w:p>
    <w:p w14:paraId="1363A2DD">
      <w:pPr>
        <w:keepNext w:val="0"/>
        <w:keepLines w:val="0"/>
        <w:pageBreakBefore w:val="0"/>
        <w:kinsoku/>
        <w:wordWrap/>
        <w:overflowPunct/>
        <w:topLinePunct w:val="0"/>
        <w:autoSpaceDE/>
        <w:autoSpaceDN/>
        <w:bidi w:val="0"/>
        <w:adjustRightInd w:val="0"/>
        <w:snapToGrid w:val="0"/>
        <w:spacing w:line="560" w:lineRule="exact"/>
        <w:jc w:val="center"/>
        <w:textAlignment w:val="auto"/>
        <w:outlineLvl w:val="0"/>
        <w:rPr>
          <w:rFonts w:hint="eastAsia" w:ascii="Times New Roman" w:hAnsi="Times New Roman" w:eastAsia="黑体"/>
          <w:color w:val="auto"/>
          <w:sz w:val="32"/>
          <w:szCs w:val="32"/>
          <w:highlight w:val="none"/>
        </w:rPr>
      </w:pPr>
      <w:bookmarkStart w:id="1" w:name="_Toc275"/>
    </w:p>
    <w:p w14:paraId="7470DA37">
      <w:pPr>
        <w:keepNext w:val="0"/>
        <w:keepLines w:val="0"/>
        <w:pageBreakBefore w:val="0"/>
        <w:numPr>
          <w:ilvl w:val="0"/>
          <w:numId w:val="1"/>
        </w:numPr>
        <w:kinsoku/>
        <w:wordWrap/>
        <w:overflowPunct/>
        <w:topLinePunct w:val="0"/>
        <w:autoSpaceDE/>
        <w:autoSpaceDN/>
        <w:bidi w:val="0"/>
        <w:adjustRightInd w:val="0"/>
        <w:snapToGrid w:val="0"/>
        <w:spacing w:line="560" w:lineRule="exact"/>
        <w:jc w:val="center"/>
        <w:textAlignment w:val="auto"/>
        <w:outlineLvl w:val="0"/>
        <w:rPr>
          <w:rFonts w:hint="eastAsia" w:ascii="Times New Roman" w:hAnsi="Times New Roman" w:eastAsia="黑体"/>
          <w:color w:val="auto"/>
          <w:sz w:val="32"/>
          <w:szCs w:val="32"/>
          <w:highlight w:val="none"/>
        </w:rPr>
      </w:pPr>
      <w:r>
        <w:rPr>
          <w:rFonts w:ascii="Times New Roman" w:hAnsi="Times New Roman" w:eastAsia="黑体"/>
          <w:color w:val="auto"/>
          <w:sz w:val="32"/>
          <w:szCs w:val="32"/>
          <w:highlight w:val="none"/>
        </w:rPr>
        <w:t xml:space="preserve"> </w:t>
      </w:r>
      <w:r>
        <w:rPr>
          <w:rFonts w:hint="eastAsia" w:ascii="Times New Roman" w:hAnsi="Times New Roman" w:eastAsia="黑体"/>
          <w:color w:val="auto"/>
          <w:sz w:val="32"/>
          <w:szCs w:val="32"/>
          <w:highlight w:val="none"/>
        </w:rPr>
        <w:t>财务会计报告</w:t>
      </w:r>
      <w:bookmarkEnd w:id="1"/>
    </w:p>
    <w:p w14:paraId="3807FE85">
      <w:pPr>
        <w:pStyle w:val="2"/>
        <w:numPr>
          <w:ilvl w:val="0"/>
          <w:numId w:val="0"/>
        </w:numPr>
      </w:pPr>
    </w:p>
    <w:p w14:paraId="7A84A11B">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outlineLvl w:val="1"/>
        <w:rPr>
          <w:rFonts w:ascii="Times New Roman" w:hAnsi="Times New Roman" w:eastAsia="黑体"/>
          <w:color w:val="auto"/>
          <w:sz w:val="32"/>
          <w:szCs w:val="32"/>
          <w:highlight w:val="none"/>
        </w:rPr>
      </w:pPr>
      <w:bookmarkStart w:id="2" w:name="_Toc13623"/>
      <w:r>
        <w:rPr>
          <w:rFonts w:hint="eastAsia" w:ascii="Times New Roman" w:hAnsi="Times New Roman" w:eastAsia="黑体"/>
          <w:color w:val="auto"/>
          <w:sz w:val="32"/>
          <w:szCs w:val="32"/>
          <w:highlight w:val="none"/>
        </w:rPr>
        <w:t>一、会计报表附注</w:t>
      </w:r>
      <w:bookmarkEnd w:id="2"/>
    </w:p>
    <w:p w14:paraId="1CD54100">
      <w:pPr>
        <w:keepNext w:val="0"/>
        <w:keepLines w:val="0"/>
        <w:pageBreakBefore w:val="0"/>
        <w:kinsoku/>
        <w:wordWrap/>
        <w:overflowPunct/>
        <w:topLinePunct w:val="0"/>
        <w:autoSpaceDE/>
        <w:autoSpaceDN/>
        <w:bidi w:val="0"/>
        <w:adjustRightInd w:val="0"/>
        <w:snapToGrid w:val="0"/>
        <w:spacing w:line="560" w:lineRule="exact"/>
        <w:ind w:firstLine="627" w:firstLineChars="196"/>
        <w:textAlignment w:val="auto"/>
        <w:outlineLvl w:val="9"/>
        <w:rPr>
          <w:rFonts w:ascii="Times New Roman" w:hAnsi="Times New Roman" w:eastAsia="仿宋_GB2312"/>
          <w:color w:val="FF0000"/>
          <w:sz w:val="32"/>
          <w:szCs w:val="32"/>
          <w:highlight w:val="none"/>
        </w:rPr>
      </w:pPr>
      <w:r>
        <w:rPr>
          <w:rFonts w:hint="eastAsia" w:ascii="Times New Roman" w:hAnsi="Times New Roman" w:eastAsia="仿宋_GB2312"/>
          <w:color w:val="auto"/>
          <w:sz w:val="32"/>
          <w:szCs w:val="32"/>
          <w:highlight w:val="none"/>
        </w:rPr>
        <w:t>本财务报表以持续经营为基础编制，根据实际发生的交易和事项，按照《企业会计准则---基本准则》和其他各项会计准则的规定进行确认和计量，在此基础上编制财务报表。</w:t>
      </w:r>
      <w:r>
        <w:rPr>
          <w:rFonts w:hint="eastAsia" w:ascii="Times New Roman" w:hAnsi="Times New Roman" w:eastAsia="仿宋_GB2312"/>
          <w:color w:val="FF0000"/>
          <w:sz w:val="32"/>
          <w:szCs w:val="32"/>
          <w:highlight w:val="none"/>
        </w:rPr>
        <w:t xml:space="preserve"> </w:t>
      </w:r>
    </w:p>
    <w:p w14:paraId="6B5947D8">
      <w:pPr>
        <w:keepNext w:val="0"/>
        <w:keepLines w:val="0"/>
        <w:pageBreakBefore w:val="0"/>
        <w:kinsoku/>
        <w:wordWrap/>
        <w:overflowPunct/>
        <w:topLinePunct w:val="0"/>
        <w:autoSpaceDE/>
        <w:autoSpaceDN/>
        <w:bidi w:val="0"/>
        <w:adjustRightInd w:val="0"/>
        <w:snapToGrid w:val="0"/>
        <w:spacing w:line="560" w:lineRule="exact"/>
        <w:ind w:firstLine="627" w:firstLineChars="196"/>
        <w:textAlignment w:val="auto"/>
        <w:outlineLvl w:val="2"/>
        <w:rPr>
          <w:rFonts w:ascii="Times New Roman" w:hAnsi="Times New Roman" w:eastAsia="黑体"/>
          <w:color w:val="auto"/>
          <w:sz w:val="32"/>
          <w:szCs w:val="32"/>
          <w:highlight w:val="none"/>
        </w:rPr>
      </w:pPr>
      <w:r>
        <w:rPr>
          <w:rFonts w:hint="eastAsia" w:ascii="Times New Roman" w:hAnsi="Times New Roman" w:eastAsia="黑体"/>
          <w:color w:val="auto"/>
          <w:sz w:val="32"/>
          <w:szCs w:val="32"/>
          <w:highlight w:val="none"/>
        </w:rPr>
        <w:t>（一）会计师事务所审计意见</w:t>
      </w:r>
    </w:p>
    <w:p w14:paraId="68FD49A8">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outlineLvl w:val="9"/>
        <w:rPr>
          <w:rFonts w:hint="eastAsia" w:ascii="Times New Roman" w:hAnsi="Times New Roman" w:eastAsia="仿宋_GB2312"/>
          <w:color w:val="auto"/>
          <w:kern w:val="0"/>
          <w:sz w:val="32"/>
          <w:szCs w:val="32"/>
          <w:highlight w:val="none"/>
        </w:rPr>
      </w:pPr>
      <w:r>
        <w:rPr>
          <w:rFonts w:hint="eastAsia" w:ascii="Times New Roman" w:hAnsi="Times New Roman" w:eastAsia="仿宋_GB2312"/>
          <w:color w:val="auto"/>
          <w:kern w:val="0"/>
          <w:sz w:val="32"/>
          <w:szCs w:val="32"/>
          <w:highlight w:val="none"/>
        </w:rPr>
        <w:t>我们审计了贵州惠水农村商业银行股份有限公司（以下简称贵行）财务报表，包括 202</w:t>
      </w:r>
      <w:r>
        <w:rPr>
          <w:rFonts w:hint="eastAsia" w:ascii="Times New Roman" w:hAnsi="Times New Roman" w:eastAsia="仿宋_GB2312"/>
          <w:color w:val="auto"/>
          <w:kern w:val="0"/>
          <w:sz w:val="32"/>
          <w:szCs w:val="32"/>
          <w:highlight w:val="none"/>
          <w:lang w:val="en-US" w:eastAsia="zh-CN"/>
        </w:rPr>
        <w:t>4</w:t>
      </w:r>
      <w:r>
        <w:rPr>
          <w:rFonts w:hint="eastAsia" w:ascii="Times New Roman" w:hAnsi="Times New Roman" w:eastAsia="仿宋_GB2312"/>
          <w:color w:val="auto"/>
          <w:kern w:val="0"/>
          <w:sz w:val="32"/>
          <w:szCs w:val="32"/>
          <w:highlight w:val="none"/>
        </w:rPr>
        <w:t>年12月31日的资产负债表，202</w:t>
      </w:r>
      <w:r>
        <w:rPr>
          <w:rFonts w:hint="eastAsia" w:ascii="Times New Roman" w:hAnsi="Times New Roman" w:eastAsia="仿宋_GB2312"/>
          <w:color w:val="auto"/>
          <w:kern w:val="0"/>
          <w:sz w:val="32"/>
          <w:szCs w:val="32"/>
          <w:highlight w:val="none"/>
          <w:lang w:val="en-US" w:eastAsia="zh-CN"/>
        </w:rPr>
        <w:t>4</w:t>
      </w:r>
      <w:r>
        <w:rPr>
          <w:rFonts w:hint="eastAsia" w:ascii="Times New Roman" w:hAnsi="Times New Roman" w:eastAsia="仿宋_GB2312"/>
          <w:color w:val="auto"/>
          <w:kern w:val="0"/>
          <w:sz w:val="32"/>
          <w:szCs w:val="32"/>
          <w:highlight w:val="none"/>
        </w:rPr>
        <w:t>年度的利润表、损益表、现金流量表、所有者权益变动表及相关财务报表附注。</w:t>
      </w:r>
    </w:p>
    <w:p w14:paraId="79A295B1">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outlineLvl w:val="9"/>
        <w:rPr>
          <w:rFonts w:hint="eastAsia" w:ascii="Times New Roman" w:hAnsi="Times New Roman" w:eastAsia="仿宋_GB2312"/>
          <w:color w:val="auto"/>
          <w:kern w:val="0"/>
          <w:sz w:val="32"/>
          <w:szCs w:val="32"/>
          <w:highlight w:val="none"/>
        </w:rPr>
      </w:pPr>
      <w:r>
        <w:rPr>
          <w:rFonts w:hint="eastAsia" w:ascii="Times New Roman" w:hAnsi="Times New Roman" w:eastAsia="仿宋_GB2312"/>
          <w:color w:val="auto"/>
          <w:kern w:val="0"/>
          <w:sz w:val="32"/>
          <w:szCs w:val="32"/>
          <w:highlight w:val="none"/>
        </w:rPr>
        <w:t>我们认为，后附的财务报表在所有重大方面按照企业会计准则的规定编制，公允反映了贵行202</w:t>
      </w:r>
      <w:r>
        <w:rPr>
          <w:rFonts w:hint="eastAsia" w:ascii="Times New Roman" w:hAnsi="Times New Roman" w:eastAsia="仿宋_GB2312"/>
          <w:color w:val="auto"/>
          <w:kern w:val="0"/>
          <w:sz w:val="32"/>
          <w:szCs w:val="32"/>
          <w:highlight w:val="none"/>
          <w:lang w:val="en-US" w:eastAsia="zh-CN"/>
        </w:rPr>
        <w:t>4</w:t>
      </w:r>
      <w:r>
        <w:rPr>
          <w:rFonts w:hint="eastAsia" w:ascii="Times New Roman" w:hAnsi="Times New Roman" w:eastAsia="仿宋_GB2312"/>
          <w:color w:val="auto"/>
          <w:kern w:val="0"/>
          <w:sz w:val="32"/>
          <w:szCs w:val="32"/>
          <w:highlight w:val="none"/>
        </w:rPr>
        <w:t>年12月31日的财务状况以及202</w:t>
      </w:r>
      <w:r>
        <w:rPr>
          <w:rFonts w:hint="eastAsia" w:ascii="Times New Roman" w:hAnsi="Times New Roman" w:eastAsia="仿宋_GB2312"/>
          <w:color w:val="auto"/>
          <w:kern w:val="0"/>
          <w:sz w:val="32"/>
          <w:szCs w:val="32"/>
          <w:highlight w:val="none"/>
          <w:lang w:val="en-US" w:eastAsia="zh-CN"/>
        </w:rPr>
        <w:t>4</w:t>
      </w:r>
      <w:r>
        <w:rPr>
          <w:rFonts w:hint="eastAsia" w:ascii="Times New Roman" w:hAnsi="Times New Roman" w:eastAsia="仿宋_GB2312"/>
          <w:color w:val="auto"/>
          <w:kern w:val="0"/>
          <w:sz w:val="32"/>
          <w:szCs w:val="32"/>
          <w:highlight w:val="none"/>
        </w:rPr>
        <w:t>年度的经营成果和现金流量。</w:t>
      </w:r>
    </w:p>
    <w:p w14:paraId="0DC69751">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outlineLvl w:val="2"/>
        <w:rPr>
          <w:rFonts w:ascii="Times New Roman" w:hAnsi="Times New Roman" w:eastAsia="黑体"/>
          <w:color w:val="auto"/>
          <w:sz w:val="32"/>
          <w:szCs w:val="32"/>
          <w:highlight w:val="none"/>
        </w:rPr>
      </w:pPr>
      <w:r>
        <w:rPr>
          <w:rFonts w:hint="eastAsia" w:ascii="Times New Roman" w:hAnsi="Times New Roman" w:eastAsia="黑体"/>
          <w:color w:val="auto"/>
          <w:sz w:val="32"/>
          <w:szCs w:val="32"/>
          <w:highlight w:val="none"/>
        </w:rPr>
        <w:t>（二）会计政策和会计估计变更</w:t>
      </w:r>
    </w:p>
    <w:p w14:paraId="5406F541">
      <w:pPr>
        <w:keepNext w:val="0"/>
        <w:keepLines w:val="0"/>
        <w:pageBreakBefore w:val="0"/>
        <w:widowControl/>
        <w:kinsoku/>
        <w:wordWrap/>
        <w:overflowPunct/>
        <w:topLinePunct w:val="0"/>
        <w:autoSpaceDE/>
        <w:autoSpaceDN/>
        <w:bidi w:val="0"/>
        <w:adjustRightInd w:val="0"/>
        <w:snapToGrid w:val="0"/>
        <w:spacing w:line="560" w:lineRule="exact"/>
        <w:ind w:firstLine="640" w:firstLineChars="200"/>
        <w:jc w:val="left"/>
        <w:textAlignment w:val="auto"/>
        <w:outlineLvl w:val="9"/>
        <w:rPr>
          <w:rFonts w:ascii="Times New Roman" w:hAnsi="Times New Roman" w:eastAsia="仿宋_GB2312"/>
          <w:color w:val="auto"/>
          <w:kern w:val="0"/>
          <w:sz w:val="32"/>
          <w:szCs w:val="32"/>
          <w:highlight w:val="none"/>
        </w:rPr>
      </w:pPr>
      <w:r>
        <w:rPr>
          <w:rFonts w:ascii="Times New Roman" w:hAnsi="Times New Roman" w:eastAsia="仿宋_GB2312"/>
          <w:color w:val="auto"/>
          <w:kern w:val="0"/>
          <w:sz w:val="32"/>
          <w:szCs w:val="32"/>
          <w:highlight w:val="none"/>
        </w:rPr>
        <w:t>1.</w:t>
      </w:r>
      <w:r>
        <w:rPr>
          <w:rFonts w:hint="eastAsia" w:ascii="Times New Roman" w:hAnsi="Times New Roman" w:eastAsia="仿宋_GB2312"/>
          <w:color w:val="auto"/>
          <w:kern w:val="0"/>
          <w:sz w:val="32"/>
          <w:szCs w:val="32"/>
          <w:highlight w:val="none"/>
        </w:rPr>
        <w:t>会计制度。根据财政部、银保监会于2020年12月30日发布《关于进一步贯彻落实新金融工具相关会计准则的通知》财会〔2020〕22号文件，执行企业会计准则的非上市企业自2021年1月1日起施行《企业会计准则第22号——金融工具确认和计量》（财会〔2017〕7号）、《企业会计准则第23号——金融资产转移》（财会〔2017〕8号）、《企业会计准则第24号——套期会计》（财会〔2017〕9号）和《企业会计准则第37号——金融工具列报》（财会〔2017〕14号），简称新金融工具相关会计准则。贵州省农村信用社联合社及辖内各农村信用合作联社、农村商业银行于2021年1月1日起正式施行新金融工具相关会计准则。</w:t>
      </w:r>
    </w:p>
    <w:p w14:paraId="6202E350">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outlineLvl w:val="9"/>
        <w:rPr>
          <w:rFonts w:ascii="Times New Roman" w:hAnsi="Times New Roman" w:eastAsia="仿宋_GB2312"/>
          <w:color w:val="auto"/>
          <w:kern w:val="0"/>
          <w:sz w:val="32"/>
          <w:szCs w:val="32"/>
          <w:highlight w:val="none"/>
        </w:rPr>
      </w:pPr>
      <w:r>
        <w:rPr>
          <w:rFonts w:ascii="Times New Roman" w:hAnsi="Times New Roman" w:eastAsia="仿宋_GB2312"/>
          <w:color w:val="auto"/>
          <w:sz w:val="32"/>
          <w:szCs w:val="32"/>
          <w:highlight w:val="none"/>
        </w:rPr>
        <w:t>2.</w:t>
      </w:r>
      <w:r>
        <w:rPr>
          <w:rFonts w:hint="eastAsia" w:ascii="Times New Roman" w:hAnsi="Times New Roman" w:eastAsia="仿宋_GB2312"/>
          <w:color w:val="auto"/>
          <w:sz w:val="32"/>
          <w:szCs w:val="32"/>
          <w:highlight w:val="none"/>
        </w:rPr>
        <w:t>本行的会计年度采用公历年度，即每年自1月1日起至12月31日止。</w:t>
      </w:r>
    </w:p>
    <w:p w14:paraId="32677D8D">
      <w:pPr>
        <w:keepNext w:val="0"/>
        <w:keepLines w:val="0"/>
        <w:pageBreakBefore w:val="0"/>
        <w:kinsoku/>
        <w:wordWrap/>
        <w:overflowPunct/>
        <w:topLinePunct w:val="0"/>
        <w:autoSpaceDE/>
        <w:autoSpaceDN/>
        <w:bidi w:val="0"/>
        <w:adjustRightInd w:val="0"/>
        <w:snapToGrid w:val="0"/>
        <w:spacing w:line="560" w:lineRule="exact"/>
        <w:ind w:firstLine="627" w:firstLineChars="196"/>
        <w:textAlignment w:val="auto"/>
        <w:outlineLvl w:val="9"/>
        <w:rPr>
          <w:rFonts w:hint="eastAsia" w:ascii="Times New Roman" w:hAnsi="Times New Roman" w:eastAsia="黑体"/>
          <w:kern w:val="0"/>
          <w:sz w:val="32"/>
          <w:szCs w:val="32"/>
          <w:highlight w:val="none"/>
        </w:rPr>
      </w:pPr>
      <w:r>
        <w:rPr>
          <w:rFonts w:ascii="Times New Roman" w:hAnsi="Times New Roman" w:eastAsia="仿宋_GB2312"/>
          <w:color w:val="auto"/>
          <w:kern w:val="0"/>
          <w:sz w:val="32"/>
          <w:szCs w:val="32"/>
          <w:highlight w:val="none"/>
        </w:rPr>
        <w:t>3.</w:t>
      </w:r>
      <w:r>
        <w:rPr>
          <w:rFonts w:hint="eastAsia" w:ascii="Times New Roman" w:hAnsi="Times New Roman" w:eastAsia="仿宋_GB2312"/>
          <w:color w:val="auto"/>
          <w:kern w:val="0"/>
          <w:sz w:val="32"/>
          <w:szCs w:val="32"/>
          <w:highlight w:val="none"/>
        </w:rPr>
        <w:t>记账基础和计价原则。以权责发生制为记账原则，以历史成本为计价基础。</w:t>
      </w:r>
    </w:p>
    <w:p w14:paraId="006627DB">
      <w:pPr>
        <w:keepNext w:val="0"/>
        <w:keepLines w:val="0"/>
        <w:pageBreakBefore w:val="0"/>
        <w:kinsoku/>
        <w:wordWrap/>
        <w:overflowPunct/>
        <w:topLinePunct w:val="0"/>
        <w:autoSpaceDE/>
        <w:autoSpaceDN/>
        <w:bidi w:val="0"/>
        <w:adjustRightInd w:val="0"/>
        <w:snapToGrid w:val="0"/>
        <w:spacing w:line="560" w:lineRule="exact"/>
        <w:ind w:firstLine="627" w:firstLineChars="196"/>
        <w:textAlignment w:val="auto"/>
        <w:outlineLvl w:val="2"/>
        <w:rPr>
          <w:rFonts w:ascii="Times New Roman" w:hAnsi="Times New Roman" w:eastAsia="黑体"/>
          <w:kern w:val="0"/>
          <w:sz w:val="32"/>
          <w:szCs w:val="32"/>
          <w:highlight w:val="none"/>
        </w:rPr>
      </w:pPr>
      <w:r>
        <w:rPr>
          <w:rFonts w:hint="eastAsia" w:ascii="Times New Roman" w:hAnsi="Times New Roman" w:eastAsia="黑体"/>
          <w:kern w:val="0"/>
          <w:sz w:val="32"/>
          <w:szCs w:val="32"/>
          <w:highlight w:val="none"/>
        </w:rPr>
        <w:t>（三）关联交易情况</w:t>
      </w:r>
    </w:p>
    <w:p w14:paraId="580965C1">
      <w:pPr>
        <w:spacing w:line="560" w:lineRule="exact"/>
        <w:ind w:firstLine="640" w:firstLineChars="200"/>
        <w:rPr>
          <w:rFonts w:hint="eastAsia" w:ascii="楷体_GB2312" w:hAnsi="楷体_GB2312" w:eastAsia="楷体_GB2312" w:cs="楷体_GB2312"/>
          <w:b w:val="0"/>
          <w:sz w:val="32"/>
          <w:lang w:val="en-US" w:eastAsia="zh-CN"/>
        </w:rPr>
      </w:pPr>
      <w:r>
        <w:rPr>
          <w:rFonts w:hint="default" w:ascii="仿宋_GB2312" w:hAnsi="仿宋_GB2312" w:eastAsia="仿宋_GB2312" w:cs="仿宋_GB2312"/>
          <w:sz w:val="32"/>
          <w:lang w:val="en-US" w:eastAsia="zh-CN"/>
        </w:rPr>
        <w:t>2024</w:t>
      </w:r>
      <w:r>
        <w:rPr>
          <w:rFonts w:hint="eastAsia" w:ascii="仿宋_GB2312" w:hAnsi="仿宋_GB2312" w:eastAsia="仿宋_GB2312" w:cs="仿宋_GB2312"/>
          <w:sz w:val="32"/>
          <w:lang w:val="en-US" w:eastAsia="zh-CN"/>
        </w:rPr>
        <w:t>年，本行一般关联交易共计发生</w:t>
      </w:r>
      <w:r>
        <w:rPr>
          <w:rFonts w:hint="default" w:ascii="仿宋_GB2312" w:hAnsi="仿宋_GB2312" w:eastAsia="仿宋_GB2312" w:cs="仿宋_GB2312"/>
          <w:sz w:val="32"/>
          <w:lang w:val="en-US" w:eastAsia="zh-CN"/>
        </w:rPr>
        <w:t>91</w:t>
      </w:r>
      <w:r>
        <w:rPr>
          <w:rFonts w:hint="eastAsia" w:ascii="仿宋_GB2312" w:hAnsi="仿宋_GB2312" w:eastAsia="仿宋_GB2312" w:cs="仿宋_GB2312"/>
          <w:sz w:val="32"/>
          <w:lang w:val="en-US" w:eastAsia="zh-CN"/>
        </w:rPr>
        <w:t>笔</w:t>
      </w:r>
      <w:r>
        <w:rPr>
          <w:rFonts w:hint="default" w:ascii="仿宋_GB2312" w:hAnsi="仿宋_GB2312" w:eastAsia="仿宋_GB2312" w:cs="仿宋_GB2312"/>
          <w:sz w:val="32"/>
          <w:lang w:val="en-US" w:eastAsia="zh-CN"/>
        </w:rPr>
        <w:t>1407</w:t>
      </w:r>
      <w:r>
        <w:rPr>
          <w:rFonts w:hint="eastAsia" w:ascii="仿宋_GB2312" w:hAnsi="仿宋_GB2312" w:eastAsia="仿宋_GB2312" w:cs="仿宋_GB2312"/>
          <w:sz w:val="32"/>
          <w:lang w:val="en-US" w:eastAsia="zh-CN"/>
        </w:rPr>
        <w:t>.</w:t>
      </w:r>
      <w:r>
        <w:rPr>
          <w:rFonts w:hint="default" w:ascii="仿宋_GB2312" w:hAnsi="仿宋_GB2312" w:eastAsia="仿宋_GB2312" w:cs="仿宋_GB2312"/>
          <w:sz w:val="32"/>
          <w:lang w:val="en-US" w:eastAsia="zh-CN"/>
        </w:rPr>
        <w:t>73</w:t>
      </w:r>
      <w:r>
        <w:rPr>
          <w:rFonts w:hint="eastAsia" w:ascii="仿宋_GB2312" w:hAnsi="仿宋_GB2312" w:eastAsia="仿宋_GB2312" w:cs="仿宋_GB2312"/>
          <w:sz w:val="32"/>
          <w:lang w:val="en-US" w:eastAsia="zh-CN"/>
        </w:rPr>
        <w:t>万元，其中授信类关联交易</w:t>
      </w:r>
      <w:r>
        <w:rPr>
          <w:rFonts w:hint="default" w:ascii="仿宋_GB2312" w:hAnsi="仿宋_GB2312" w:eastAsia="仿宋_GB2312" w:cs="仿宋_GB2312"/>
          <w:sz w:val="32"/>
          <w:lang w:val="en-US" w:eastAsia="zh-CN"/>
        </w:rPr>
        <w:t>79</w:t>
      </w:r>
      <w:r>
        <w:rPr>
          <w:rFonts w:hint="eastAsia" w:ascii="仿宋_GB2312" w:hAnsi="仿宋_GB2312" w:eastAsia="仿宋_GB2312" w:cs="仿宋_GB2312"/>
          <w:sz w:val="32"/>
          <w:lang w:val="en-US" w:eastAsia="zh-CN"/>
        </w:rPr>
        <w:t>笔金额</w:t>
      </w:r>
      <w:r>
        <w:rPr>
          <w:rFonts w:hint="default" w:ascii="仿宋_GB2312" w:hAnsi="仿宋_GB2312" w:eastAsia="仿宋_GB2312" w:cs="仿宋_GB2312"/>
          <w:sz w:val="32"/>
          <w:lang w:val="en-US" w:eastAsia="zh-CN"/>
        </w:rPr>
        <w:t>1311</w:t>
      </w:r>
      <w:r>
        <w:rPr>
          <w:rFonts w:hint="eastAsia" w:ascii="仿宋_GB2312" w:hAnsi="仿宋_GB2312" w:eastAsia="仿宋_GB2312" w:cs="仿宋_GB2312"/>
          <w:sz w:val="32"/>
          <w:lang w:val="en-US" w:eastAsia="zh-CN"/>
        </w:rPr>
        <w:t>.</w:t>
      </w:r>
      <w:r>
        <w:rPr>
          <w:rFonts w:hint="default" w:ascii="仿宋_GB2312" w:hAnsi="仿宋_GB2312" w:eastAsia="仿宋_GB2312" w:cs="仿宋_GB2312"/>
          <w:sz w:val="32"/>
          <w:lang w:val="en-US" w:eastAsia="zh-CN"/>
        </w:rPr>
        <w:t>38</w:t>
      </w:r>
      <w:r>
        <w:rPr>
          <w:rFonts w:hint="eastAsia" w:ascii="仿宋_GB2312" w:hAnsi="仿宋_GB2312" w:eastAsia="仿宋_GB2312" w:cs="仿宋_GB2312"/>
          <w:sz w:val="32"/>
          <w:lang w:val="en-US" w:eastAsia="zh-CN"/>
        </w:rPr>
        <w:t>万元；服务类关联交易</w:t>
      </w:r>
      <w:r>
        <w:rPr>
          <w:rFonts w:hint="default" w:ascii="仿宋_GB2312" w:hAnsi="仿宋_GB2312" w:eastAsia="仿宋_GB2312" w:cs="仿宋_GB2312"/>
          <w:sz w:val="32"/>
          <w:lang w:val="en-US" w:eastAsia="zh-CN"/>
        </w:rPr>
        <w:t>12</w:t>
      </w:r>
      <w:r>
        <w:rPr>
          <w:rFonts w:hint="eastAsia" w:ascii="仿宋_GB2312" w:hAnsi="仿宋_GB2312" w:eastAsia="仿宋_GB2312" w:cs="仿宋_GB2312"/>
          <w:sz w:val="32"/>
          <w:lang w:val="en-US" w:eastAsia="zh-CN"/>
        </w:rPr>
        <w:t>笔金额</w:t>
      </w:r>
      <w:r>
        <w:rPr>
          <w:rFonts w:hint="default" w:ascii="仿宋_GB2312" w:hAnsi="仿宋_GB2312" w:eastAsia="仿宋_GB2312" w:cs="仿宋_GB2312"/>
          <w:sz w:val="32"/>
          <w:lang w:val="en-US" w:eastAsia="zh-CN"/>
        </w:rPr>
        <w:t>96</w:t>
      </w:r>
      <w:r>
        <w:rPr>
          <w:rFonts w:hint="eastAsia" w:ascii="仿宋_GB2312" w:hAnsi="仿宋_GB2312" w:eastAsia="仿宋_GB2312" w:cs="仿宋_GB2312"/>
          <w:sz w:val="32"/>
          <w:lang w:val="en-US" w:eastAsia="zh-CN"/>
        </w:rPr>
        <w:t>.</w:t>
      </w:r>
      <w:r>
        <w:rPr>
          <w:rFonts w:hint="default" w:ascii="仿宋_GB2312" w:hAnsi="仿宋_GB2312" w:eastAsia="仿宋_GB2312" w:cs="仿宋_GB2312"/>
          <w:sz w:val="32"/>
          <w:lang w:val="en-US" w:eastAsia="zh-CN"/>
        </w:rPr>
        <w:t>35</w:t>
      </w:r>
      <w:r>
        <w:rPr>
          <w:rFonts w:hint="eastAsia" w:ascii="仿宋_GB2312" w:hAnsi="仿宋_GB2312" w:eastAsia="仿宋_GB2312" w:cs="仿宋_GB2312"/>
          <w:sz w:val="32"/>
          <w:lang w:val="en-US" w:eastAsia="zh-CN"/>
        </w:rPr>
        <w:t>万元。按规定向董事会下设合规与关联交易委员会报备，服务类关联交易价格参照市场价格，授信类关联交易根据本行现行管理办法、客户评级和风险情况确定相应价格，无优于其他同类交易情况。</w:t>
      </w:r>
    </w:p>
    <w:p w14:paraId="6238744A">
      <w:pPr>
        <w:spacing w:line="560" w:lineRule="exact"/>
        <w:ind w:firstLine="640" w:firstLineChars="200"/>
        <w:rPr>
          <w:rFonts w:hint="eastAsia" w:ascii="仿宋_GB2312" w:hAnsi="仿宋_GB2312" w:eastAsia="仿宋_GB2312" w:cs="仿宋_GB2312"/>
          <w:sz w:val="32"/>
          <w:lang w:val="en-US" w:eastAsia="zh-CN"/>
        </w:rPr>
      </w:pPr>
      <w:r>
        <w:rPr>
          <w:rFonts w:hint="eastAsia" w:ascii="仿宋_GB2312" w:hAnsi="仿宋_GB2312" w:eastAsia="仿宋_GB2312" w:cs="仿宋_GB2312"/>
          <w:sz w:val="32"/>
          <w:lang w:val="en-US" w:eastAsia="zh-CN"/>
        </w:rPr>
        <w:t>截至</w:t>
      </w:r>
      <w:r>
        <w:rPr>
          <w:rFonts w:hint="default" w:ascii="仿宋_GB2312" w:hAnsi="仿宋_GB2312" w:eastAsia="仿宋_GB2312" w:cs="仿宋_GB2312"/>
          <w:sz w:val="32"/>
          <w:lang w:val="en-US" w:eastAsia="zh-CN"/>
        </w:rPr>
        <w:t>2024</w:t>
      </w:r>
      <w:r>
        <w:rPr>
          <w:rFonts w:hint="eastAsia" w:ascii="仿宋_GB2312" w:hAnsi="仿宋_GB2312" w:eastAsia="仿宋_GB2312" w:cs="仿宋_GB2312"/>
          <w:sz w:val="32"/>
          <w:lang w:val="en-US" w:eastAsia="zh-CN"/>
        </w:rPr>
        <w:t>年末，我行无重大关联交易。</w:t>
      </w:r>
    </w:p>
    <w:p w14:paraId="52E72E7E">
      <w:pPr>
        <w:keepNext w:val="0"/>
        <w:keepLines w:val="0"/>
        <w:pageBreakBefore w:val="0"/>
        <w:widowControl/>
        <w:kinsoku/>
        <w:wordWrap/>
        <w:overflowPunct/>
        <w:bidi w:val="0"/>
        <w:adjustRightInd w:val="0"/>
        <w:snapToGrid w:val="0"/>
        <w:spacing w:line="560" w:lineRule="exact"/>
        <w:ind w:firstLine="640" w:firstLineChars="200"/>
        <w:jc w:val="left"/>
        <w:textAlignment w:val="auto"/>
        <w:outlineLvl w:val="1"/>
        <w:rPr>
          <w:rFonts w:ascii="Times New Roman" w:hAnsi="Times New Roman" w:eastAsia="黑体"/>
          <w:sz w:val="32"/>
          <w:szCs w:val="32"/>
          <w:highlight w:val="none"/>
        </w:rPr>
      </w:pPr>
      <w:bookmarkStart w:id="3" w:name="_Toc3568"/>
      <w:r>
        <w:rPr>
          <w:rFonts w:hint="eastAsia" w:ascii="Times New Roman" w:hAnsi="Times New Roman" w:eastAsia="黑体"/>
          <w:sz w:val="32"/>
          <w:szCs w:val="32"/>
          <w:highlight w:val="none"/>
        </w:rPr>
        <w:t>二、财务情况说明书</w:t>
      </w:r>
      <w:bookmarkEnd w:id="3"/>
      <w:bookmarkStart w:id="4" w:name="_Toc193883038"/>
    </w:p>
    <w:bookmarkEnd w:id="4"/>
    <w:p w14:paraId="3CAEDF8C">
      <w:pPr>
        <w:keepNext w:val="0"/>
        <w:keepLines w:val="0"/>
        <w:pageBreakBefore w:val="0"/>
        <w:kinsoku/>
        <w:wordWrap/>
        <w:overflowPunct/>
        <w:bidi w:val="0"/>
        <w:adjustRightInd w:val="0"/>
        <w:snapToGrid w:val="0"/>
        <w:spacing w:line="560" w:lineRule="exact"/>
        <w:ind w:firstLine="640" w:firstLineChars="200"/>
        <w:jc w:val="left"/>
        <w:textAlignment w:val="auto"/>
        <w:outlineLvl w:val="9"/>
        <w:rPr>
          <w:highlight w:val="none"/>
        </w:rPr>
      </w:pPr>
      <w:r>
        <w:rPr>
          <w:rFonts w:hint="eastAsia" w:ascii="Times New Roman" w:hAnsi="Times New Roman" w:eastAsia="仿宋_GB2312"/>
          <w:color w:val="auto"/>
          <w:sz w:val="32"/>
          <w:szCs w:val="32"/>
          <w:highlight w:val="none"/>
        </w:rPr>
        <w:t>报告期内，本行实现了规模、效益、质量同步增长。截止报告期末，本行资产总额</w:t>
      </w:r>
      <w:r>
        <w:rPr>
          <w:rFonts w:hint="eastAsia" w:ascii="Times New Roman" w:hAnsi="Times New Roman" w:eastAsia="仿宋_GB2312"/>
          <w:color w:val="auto"/>
          <w:sz w:val="32"/>
          <w:szCs w:val="32"/>
          <w:highlight w:val="none"/>
          <w:lang w:val="en-US" w:eastAsia="zh-CN"/>
        </w:rPr>
        <w:t>83.15</w:t>
      </w:r>
      <w:r>
        <w:rPr>
          <w:rFonts w:ascii="Times New Roman" w:hAnsi="Times New Roman" w:eastAsia="仿宋_GB2312"/>
          <w:color w:val="auto"/>
          <w:sz w:val="32"/>
          <w:szCs w:val="32"/>
          <w:highlight w:val="none"/>
        </w:rPr>
        <w:t>亿元，</w:t>
      </w:r>
      <w:r>
        <w:rPr>
          <w:rFonts w:hint="eastAsia" w:ascii="Times New Roman" w:hAnsi="Times New Roman" w:eastAsia="仿宋_GB2312"/>
          <w:color w:val="auto"/>
          <w:sz w:val="32"/>
          <w:szCs w:val="32"/>
          <w:highlight w:val="none"/>
        </w:rPr>
        <w:t>较年初</w:t>
      </w:r>
      <w:r>
        <w:rPr>
          <w:rFonts w:ascii="Times New Roman" w:hAnsi="Times New Roman" w:eastAsia="仿宋_GB2312"/>
          <w:color w:val="auto"/>
          <w:sz w:val="32"/>
          <w:szCs w:val="32"/>
          <w:highlight w:val="none"/>
        </w:rPr>
        <w:t>增加</w:t>
      </w:r>
      <w:r>
        <w:rPr>
          <w:rFonts w:hint="eastAsia" w:ascii="Times New Roman" w:hAnsi="Times New Roman" w:eastAsia="仿宋_GB2312"/>
          <w:color w:val="auto"/>
          <w:sz w:val="32"/>
          <w:szCs w:val="32"/>
          <w:highlight w:val="none"/>
          <w:lang w:val="en-US" w:eastAsia="zh-CN"/>
        </w:rPr>
        <w:t>2.01</w:t>
      </w:r>
      <w:r>
        <w:rPr>
          <w:rFonts w:ascii="Times New Roman" w:hAnsi="Times New Roman" w:eastAsia="仿宋_GB2312"/>
          <w:color w:val="auto"/>
          <w:sz w:val="32"/>
          <w:szCs w:val="32"/>
          <w:highlight w:val="none"/>
        </w:rPr>
        <w:t>亿元，增幅为</w:t>
      </w:r>
      <w:r>
        <w:rPr>
          <w:rFonts w:hint="eastAsia" w:ascii="Times New Roman" w:hAnsi="Times New Roman" w:eastAsia="仿宋_GB2312"/>
          <w:color w:val="auto"/>
          <w:sz w:val="32"/>
          <w:szCs w:val="32"/>
          <w:highlight w:val="none"/>
          <w:lang w:val="en-US" w:eastAsia="zh-CN"/>
        </w:rPr>
        <w:t>2.47</w:t>
      </w:r>
      <w:r>
        <w:rPr>
          <w:rFonts w:ascii="Times New Roman" w:hAnsi="Times New Roman" w:eastAsia="仿宋_GB2312"/>
          <w:color w:val="auto"/>
          <w:sz w:val="32"/>
          <w:szCs w:val="32"/>
          <w:highlight w:val="none"/>
        </w:rPr>
        <w:t>%</w:t>
      </w:r>
      <w:r>
        <w:rPr>
          <w:rFonts w:hint="eastAsia" w:ascii="Times New Roman" w:hAnsi="Times New Roman" w:eastAsia="仿宋_GB2312"/>
          <w:color w:val="auto"/>
          <w:sz w:val="32"/>
          <w:szCs w:val="32"/>
          <w:highlight w:val="none"/>
          <w:lang w:eastAsia="zh-CN"/>
        </w:rPr>
        <w:t>。</w:t>
      </w:r>
      <w:r>
        <w:rPr>
          <w:rFonts w:hint="eastAsia" w:ascii="仿宋_GB2312" w:hAnsi="仿宋_GB2312" w:eastAsia="仿宋_GB2312" w:cs="仿宋_GB2312"/>
          <w:color w:val="auto"/>
          <w:kern w:val="2"/>
          <w:sz w:val="32"/>
          <w:szCs w:val="32"/>
          <w:highlight w:val="none"/>
          <w:lang w:val="en-US" w:eastAsia="zh-CN" w:bidi="ar-SA"/>
        </w:rPr>
        <w:t>我行小微企业贷款增速2.72%，普惠型小微企业贷款增速4.32%；不良率控制在不良容忍范围内；当年累放普惠小微型企业贷款完成“两增两控”阶段性目标，保持小微企业贷款业务平稳发展。</w:t>
      </w:r>
    </w:p>
    <w:p w14:paraId="1015B6E8">
      <w:pPr>
        <w:keepNext w:val="0"/>
        <w:keepLines w:val="0"/>
        <w:pageBreakBefore w:val="0"/>
        <w:kinsoku/>
        <w:wordWrap/>
        <w:overflowPunct/>
        <w:topLinePunct/>
        <w:bidi w:val="0"/>
        <w:adjustRightInd w:val="0"/>
        <w:snapToGrid w:val="0"/>
        <w:spacing w:line="560" w:lineRule="exact"/>
        <w:jc w:val="center"/>
        <w:textAlignment w:val="auto"/>
        <w:outlineLvl w:val="0"/>
        <w:rPr>
          <w:rFonts w:hint="eastAsia" w:ascii="黑体" w:hAnsi="黑体" w:eastAsia="黑体" w:cs="黑体"/>
          <w:color w:val="auto"/>
          <w:sz w:val="32"/>
          <w:szCs w:val="32"/>
          <w:highlight w:val="none"/>
          <w:lang w:eastAsia="zh-CN"/>
        </w:rPr>
      </w:pPr>
      <w:bookmarkStart w:id="5" w:name="_Toc12043"/>
      <w:r>
        <w:rPr>
          <w:rFonts w:hint="eastAsia" w:ascii="黑体" w:hAnsi="黑体" w:eastAsia="黑体" w:cs="黑体"/>
          <w:color w:val="auto"/>
          <w:sz w:val="32"/>
          <w:szCs w:val="32"/>
          <w:highlight w:val="none"/>
        </w:rPr>
        <w:t>第</w:t>
      </w:r>
      <w:r>
        <w:rPr>
          <w:rFonts w:hint="eastAsia" w:ascii="黑体" w:hAnsi="黑体" w:eastAsia="黑体" w:cs="黑体"/>
          <w:color w:val="auto"/>
          <w:sz w:val="32"/>
          <w:szCs w:val="32"/>
          <w:highlight w:val="none"/>
          <w:lang w:eastAsia="zh-CN"/>
        </w:rPr>
        <w:t>三</w:t>
      </w:r>
      <w:r>
        <w:rPr>
          <w:rFonts w:hint="eastAsia" w:ascii="黑体" w:hAnsi="黑体" w:eastAsia="黑体" w:cs="黑体"/>
          <w:color w:val="auto"/>
          <w:sz w:val="32"/>
          <w:szCs w:val="32"/>
          <w:highlight w:val="none"/>
        </w:rPr>
        <w:t>章   风险管理状况</w:t>
      </w:r>
      <w:bookmarkEnd w:id="5"/>
    </w:p>
    <w:p w14:paraId="6B551AC8">
      <w:pPr>
        <w:keepNext w:val="0"/>
        <w:keepLines w:val="0"/>
        <w:pageBreakBefore w:val="0"/>
        <w:kinsoku/>
        <w:wordWrap/>
        <w:overflowPunct/>
        <w:topLinePunct/>
        <w:bidi w:val="0"/>
        <w:adjustRightInd w:val="0"/>
        <w:snapToGrid w:val="0"/>
        <w:spacing w:line="560" w:lineRule="exact"/>
        <w:ind w:firstLine="640" w:firstLineChars="200"/>
        <w:jc w:val="left"/>
        <w:textAlignment w:val="auto"/>
        <w:outlineLvl w:val="1"/>
        <w:rPr>
          <w:rFonts w:ascii="黑体" w:hAnsi="黑体" w:eastAsia="黑体" w:cs="黑体"/>
          <w:color w:val="auto"/>
          <w:sz w:val="32"/>
          <w:szCs w:val="32"/>
          <w:highlight w:val="none"/>
        </w:rPr>
      </w:pPr>
      <w:bookmarkStart w:id="6" w:name="_Toc27092"/>
      <w:r>
        <w:rPr>
          <w:rFonts w:hint="eastAsia" w:ascii="黑体" w:hAnsi="黑体" w:eastAsia="黑体" w:cs="黑体"/>
          <w:color w:val="auto"/>
          <w:sz w:val="32"/>
          <w:szCs w:val="32"/>
          <w:highlight w:val="none"/>
        </w:rPr>
        <w:t>一、风险管理概述</w:t>
      </w:r>
      <w:bookmarkEnd w:id="6"/>
    </w:p>
    <w:p w14:paraId="25AA1860">
      <w:pPr>
        <w:keepNext w:val="0"/>
        <w:keepLines w:val="0"/>
        <w:pageBreakBefore w:val="0"/>
        <w:kinsoku/>
        <w:wordWrap/>
        <w:overflowPunct/>
        <w:topLinePunct/>
        <w:bidi w:val="0"/>
        <w:adjustRightInd w:val="0"/>
        <w:snapToGrid w:val="0"/>
        <w:spacing w:line="560" w:lineRule="exact"/>
        <w:ind w:firstLine="640" w:firstLineChars="200"/>
        <w:jc w:val="left"/>
        <w:textAlignment w:val="auto"/>
        <w:outlineLvl w:val="9"/>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本行从事的银行等金融业务具有各种类型的风险，业务经营中主要面临信用风险、流动性风险、市场风险</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操作风险</w:t>
      </w:r>
      <w:r>
        <w:rPr>
          <w:rFonts w:hint="eastAsia" w:ascii="仿宋_GB2312" w:hAnsi="仿宋_GB2312" w:eastAsia="仿宋_GB2312" w:cs="仿宋_GB2312"/>
          <w:color w:val="auto"/>
          <w:sz w:val="32"/>
          <w:szCs w:val="32"/>
          <w:highlight w:val="none"/>
          <w:lang w:eastAsia="zh-CN"/>
        </w:rPr>
        <w:t>和声誉风险</w:t>
      </w:r>
      <w:r>
        <w:rPr>
          <w:rFonts w:hint="eastAsia" w:ascii="仿宋_GB2312" w:hAnsi="仿宋_GB2312" w:eastAsia="仿宋_GB2312" w:cs="仿宋_GB2312"/>
          <w:color w:val="auto"/>
          <w:sz w:val="32"/>
          <w:szCs w:val="32"/>
          <w:highlight w:val="none"/>
        </w:rPr>
        <w:t>。风险管理的目标是在风险和收益之间取得适当的平衡，确保在合理的风险水平下安全、稳健经营。</w:t>
      </w:r>
    </w:p>
    <w:p w14:paraId="126F71B3">
      <w:pPr>
        <w:keepNext w:val="0"/>
        <w:keepLines w:val="0"/>
        <w:pageBreakBefore w:val="0"/>
        <w:kinsoku/>
        <w:wordWrap/>
        <w:overflowPunct/>
        <w:topLinePunct/>
        <w:bidi w:val="0"/>
        <w:adjustRightInd w:val="0"/>
        <w:snapToGrid w:val="0"/>
        <w:spacing w:line="560" w:lineRule="exact"/>
        <w:ind w:firstLine="640" w:firstLineChars="200"/>
        <w:jc w:val="left"/>
        <w:textAlignment w:val="auto"/>
        <w:outlineLvl w:val="9"/>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针对以上风险，董事会制定全面风险管理战略，监督本行风险管理及内部控制，并评估全行总体风险；经营管理层根据董事会制定的风险管理战略，制定并推动执行相应的风险管理政策、制度和程序；合规风险部、综合运营部等部门共同构成本行风险管理的主要职能部门，具体执行各项风险管理的政策和制度；内部审计部门负责对本行的风险管理和</w:t>
      </w:r>
      <w:r>
        <w:rPr>
          <w:rFonts w:hint="eastAsia" w:ascii="仿宋_GB2312" w:hAnsi="仿宋_GB2312" w:eastAsia="仿宋_GB2312" w:cs="仿宋_GB2312"/>
          <w:color w:val="auto"/>
          <w:sz w:val="32"/>
          <w:szCs w:val="32"/>
          <w:highlight w:val="none"/>
          <w:lang w:eastAsia="zh-CN"/>
        </w:rPr>
        <w:t>内部控制</w:t>
      </w:r>
      <w:r>
        <w:rPr>
          <w:rFonts w:hint="eastAsia" w:ascii="仿宋_GB2312" w:hAnsi="仿宋_GB2312" w:eastAsia="仿宋_GB2312" w:cs="仿宋_GB2312"/>
          <w:color w:val="auto"/>
          <w:sz w:val="32"/>
          <w:szCs w:val="32"/>
          <w:highlight w:val="none"/>
        </w:rPr>
        <w:t>进行独立的审计。</w:t>
      </w:r>
    </w:p>
    <w:p w14:paraId="373DC7BE">
      <w:pPr>
        <w:keepNext w:val="0"/>
        <w:keepLines w:val="0"/>
        <w:pageBreakBefore w:val="0"/>
        <w:kinsoku/>
        <w:wordWrap/>
        <w:overflowPunct/>
        <w:topLinePunct/>
        <w:bidi w:val="0"/>
        <w:adjustRightInd w:val="0"/>
        <w:snapToGrid w:val="0"/>
        <w:spacing w:line="560" w:lineRule="exact"/>
        <w:ind w:firstLine="640" w:firstLineChars="200"/>
        <w:jc w:val="left"/>
        <w:textAlignment w:val="auto"/>
        <w:outlineLvl w:val="1"/>
        <w:rPr>
          <w:rFonts w:ascii="黑体" w:hAnsi="黑体" w:eastAsia="黑体" w:cs="黑体"/>
          <w:color w:val="auto"/>
          <w:sz w:val="32"/>
          <w:szCs w:val="32"/>
          <w:highlight w:val="none"/>
        </w:rPr>
      </w:pPr>
      <w:bookmarkStart w:id="7" w:name="_Toc16220"/>
      <w:r>
        <w:rPr>
          <w:rFonts w:hint="eastAsia" w:ascii="黑体" w:hAnsi="黑体" w:eastAsia="黑体" w:cs="黑体"/>
          <w:color w:val="auto"/>
          <w:sz w:val="32"/>
          <w:szCs w:val="32"/>
          <w:highlight w:val="none"/>
          <w:lang w:eastAsia="zh-CN"/>
        </w:rPr>
        <w:t>二</w:t>
      </w:r>
      <w:r>
        <w:rPr>
          <w:rFonts w:hint="eastAsia" w:ascii="黑体" w:hAnsi="黑体" w:eastAsia="黑体" w:cs="黑体"/>
          <w:color w:val="auto"/>
          <w:sz w:val="32"/>
          <w:szCs w:val="32"/>
          <w:highlight w:val="none"/>
        </w:rPr>
        <w:t>、信用风险</w:t>
      </w:r>
      <w:bookmarkEnd w:id="7"/>
    </w:p>
    <w:p w14:paraId="49E03196">
      <w:pPr>
        <w:keepNext w:val="0"/>
        <w:keepLines w:val="0"/>
        <w:pageBreakBefore w:val="0"/>
        <w:kinsoku/>
        <w:wordWrap/>
        <w:overflowPunct/>
        <w:topLinePunct/>
        <w:bidi w:val="0"/>
        <w:adjustRightInd w:val="0"/>
        <w:snapToGrid w:val="0"/>
        <w:spacing w:line="560" w:lineRule="exact"/>
        <w:ind w:firstLine="640" w:firstLineChars="200"/>
        <w:jc w:val="left"/>
        <w:textAlignment w:val="auto"/>
        <w:outlineLvl w:val="9"/>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信用风险是指借款人或交易对手无法履行到期合同约定的义务或承担的风险。信用风险主要存在于对公业务、对私业务和资金业务（包括债权性投资）之中。</w:t>
      </w:r>
    </w:p>
    <w:p w14:paraId="6A4E9B43">
      <w:pPr>
        <w:keepNext w:val="0"/>
        <w:keepLines w:val="0"/>
        <w:pageBreakBefore w:val="0"/>
        <w:kinsoku/>
        <w:wordWrap/>
        <w:overflowPunct/>
        <w:topLinePunct/>
        <w:bidi w:val="0"/>
        <w:adjustRightInd w:val="0"/>
        <w:snapToGrid w:val="0"/>
        <w:spacing w:line="560" w:lineRule="exact"/>
        <w:ind w:firstLine="640" w:firstLineChars="200"/>
        <w:jc w:val="left"/>
        <w:textAlignment w:val="auto"/>
        <w:outlineLvl w:val="9"/>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本行对包括授信调查的申报、授信审查审批、贷款发放、贷后监控和不良贷款管理等环节的信贷业务全流程实行规范化管理</w:t>
      </w:r>
      <w:r>
        <w:rPr>
          <w:rFonts w:hint="eastAsia" w:ascii="仿宋_GB2312" w:hAnsi="仿宋_GB2312" w:eastAsia="仿宋_GB2312" w:cs="仿宋_GB2312"/>
          <w:color w:val="auto"/>
          <w:sz w:val="32"/>
          <w:szCs w:val="32"/>
          <w:highlight w:val="none"/>
          <w:lang w:eastAsia="zh-CN"/>
        </w:rPr>
        <w:t>；建立完善的信用风险管理体系，实行信贷“三查制度”，即贷前调查、贷时审查、贷后检查；实行统一授信管理制度，先授信、后用信；实行审贷分离制度，信贷经营与审批职能严格分离；实行责任追究制度，对违法违规造成的风险损失进行责任认定，对主管责任大小追究风险责任；实现前、中、后台分离，制定本行风险偏好，确定各类贷款的风险警戒线，</w:t>
      </w:r>
      <w:r>
        <w:rPr>
          <w:rFonts w:hint="eastAsia" w:ascii="仿宋_GB2312" w:hAnsi="仿宋_GB2312" w:eastAsia="仿宋_GB2312" w:cs="仿宋_GB2312"/>
          <w:color w:val="auto"/>
          <w:sz w:val="32"/>
          <w:szCs w:val="32"/>
          <w:highlight w:val="none"/>
        </w:rPr>
        <w:t>并参照中国银监会制定的《贷款风险分类指引》，制定信贷资产风险分类相关制度，做实分类，提足</w:t>
      </w:r>
      <w:r>
        <w:rPr>
          <w:rFonts w:hint="eastAsia" w:ascii="仿宋_GB2312" w:hAnsi="仿宋_GB2312" w:eastAsia="仿宋_GB2312" w:cs="仿宋_GB2312"/>
          <w:color w:val="auto"/>
          <w:sz w:val="32"/>
          <w:szCs w:val="32"/>
          <w:highlight w:val="none"/>
          <w:lang w:eastAsia="zh-CN"/>
        </w:rPr>
        <w:t>贷款损失</w:t>
      </w:r>
      <w:r>
        <w:rPr>
          <w:rFonts w:hint="eastAsia" w:ascii="仿宋_GB2312" w:hAnsi="仿宋_GB2312" w:eastAsia="仿宋_GB2312" w:cs="仿宋_GB2312"/>
          <w:color w:val="auto"/>
          <w:sz w:val="32"/>
          <w:szCs w:val="32"/>
          <w:highlight w:val="none"/>
        </w:rPr>
        <w:t>准备，有效管理贷款信用风险。</w:t>
      </w:r>
    </w:p>
    <w:p w14:paraId="77CC7663">
      <w:pPr>
        <w:keepNext w:val="0"/>
        <w:keepLines w:val="0"/>
        <w:pageBreakBefore w:val="0"/>
        <w:kinsoku/>
        <w:wordWrap/>
        <w:overflowPunct/>
        <w:topLinePunct/>
        <w:bidi w:val="0"/>
        <w:adjustRightInd w:val="0"/>
        <w:snapToGrid w:val="0"/>
        <w:spacing w:line="560" w:lineRule="exact"/>
        <w:ind w:firstLine="640" w:firstLineChars="200"/>
        <w:jc w:val="left"/>
        <w:textAlignment w:val="auto"/>
        <w:outlineLvl w:val="1"/>
        <w:rPr>
          <w:rFonts w:ascii="黑体" w:hAnsi="黑体" w:eastAsia="黑体" w:cs="黑体"/>
          <w:color w:val="auto"/>
          <w:sz w:val="32"/>
          <w:szCs w:val="32"/>
          <w:highlight w:val="none"/>
        </w:rPr>
      </w:pPr>
      <w:bookmarkStart w:id="8" w:name="_Toc19601"/>
      <w:r>
        <w:rPr>
          <w:rFonts w:hint="eastAsia" w:ascii="黑体" w:hAnsi="黑体" w:eastAsia="黑体" w:cs="黑体"/>
          <w:color w:val="auto"/>
          <w:sz w:val="32"/>
          <w:szCs w:val="32"/>
          <w:highlight w:val="none"/>
          <w:lang w:eastAsia="zh-CN"/>
        </w:rPr>
        <w:t>三</w:t>
      </w:r>
      <w:r>
        <w:rPr>
          <w:rFonts w:hint="eastAsia" w:ascii="黑体" w:hAnsi="黑体" w:eastAsia="黑体" w:cs="黑体"/>
          <w:color w:val="auto"/>
          <w:sz w:val="32"/>
          <w:szCs w:val="32"/>
          <w:highlight w:val="none"/>
        </w:rPr>
        <w:t>、流动性风险</w:t>
      </w:r>
      <w:bookmarkEnd w:id="8"/>
    </w:p>
    <w:p w14:paraId="371CA090">
      <w:pPr>
        <w:keepNext w:val="0"/>
        <w:keepLines w:val="0"/>
        <w:pageBreakBefore w:val="0"/>
        <w:kinsoku/>
        <w:wordWrap/>
        <w:overflowPunct/>
        <w:topLinePunct/>
        <w:autoSpaceDE/>
        <w:autoSpaceDN/>
        <w:bidi w:val="0"/>
        <w:adjustRightInd w:val="0"/>
        <w:snapToGrid w:val="0"/>
        <w:spacing w:line="560" w:lineRule="exact"/>
        <w:ind w:firstLine="640" w:firstLineChars="200"/>
        <w:jc w:val="left"/>
        <w:textAlignment w:val="auto"/>
        <w:outlineLvl w:val="9"/>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流动性风险指本行无法满足客户提前支取到期负债及新增贷款、合理融资等需求，或者无法以正常的成本来满足这些需求的风险。本行对流动性风险实施集中管理。</w:t>
      </w:r>
      <w:r>
        <w:rPr>
          <w:rFonts w:hint="eastAsia" w:ascii="仿宋_GB2312" w:hAnsi="仿宋_GB2312" w:eastAsia="仿宋_GB2312" w:cs="仿宋_GB2312"/>
          <w:color w:val="auto"/>
          <w:sz w:val="32"/>
          <w:szCs w:val="32"/>
          <w:highlight w:val="none"/>
          <w:lang w:eastAsia="zh-CN"/>
        </w:rPr>
        <w:t>按旬、</w:t>
      </w:r>
      <w:r>
        <w:rPr>
          <w:rFonts w:hint="eastAsia" w:ascii="仿宋_GB2312" w:hAnsi="仿宋_GB2312" w:eastAsia="仿宋_GB2312" w:cs="仿宋_GB2312"/>
          <w:color w:val="auto"/>
          <w:sz w:val="32"/>
          <w:szCs w:val="32"/>
          <w:highlight w:val="none"/>
        </w:rPr>
        <w:t>按月测算流动性指标，按季度上报流动性监测报告，加大对流动性日常管理和监测；采取日报形式，每日统计存、贷款变动情况，随时关注备付金比例、存贷款比例、短期资金流动性比例、流动性负债依存度、中长期贷款比例等指标，保持适当水平的流动性资产。</w:t>
      </w:r>
    </w:p>
    <w:p w14:paraId="1BC009BE">
      <w:pPr>
        <w:keepNext w:val="0"/>
        <w:keepLines w:val="0"/>
        <w:pageBreakBefore w:val="0"/>
        <w:kinsoku/>
        <w:wordWrap/>
        <w:overflowPunct/>
        <w:topLinePunct/>
        <w:autoSpaceDE/>
        <w:autoSpaceDN/>
        <w:bidi w:val="0"/>
        <w:adjustRightInd w:val="0"/>
        <w:snapToGrid w:val="0"/>
        <w:spacing w:line="560" w:lineRule="exact"/>
        <w:ind w:firstLine="640" w:firstLineChars="200"/>
        <w:jc w:val="left"/>
        <w:outlineLvl w:val="1"/>
        <w:rPr>
          <w:rFonts w:ascii="黑体" w:hAnsi="黑体" w:eastAsia="黑体" w:cs="黑体"/>
          <w:color w:val="auto"/>
          <w:sz w:val="32"/>
          <w:szCs w:val="32"/>
          <w:highlight w:val="none"/>
        </w:rPr>
      </w:pPr>
      <w:bookmarkStart w:id="9" w:name="_Toc23867"/>
      <w:r>
        <w:rPr>
          <w:rFonts w:hint="eastAsia" w:ascii="黑体" w:hAnsi="黑体" w:eastAsia="黑体" w:cs="黑体"/>
          <w:color w:val="auto"/>
          <w:sz w:val="32"/>
          <w:szCs w:val="32"/>
          <w:highlight w:val="none"/>
          <w:lang w:eastAsia="zh-CN"/>
        </w:rPr>
        <w:t>四</w:t>
      </w:r>
      <w:r>
        <w:rPr>
          <w:rFonts w:hint="eastAsia" w:ascii="黑体" w:hAnsi="黑体" w:eastAsia="黑体" w:cs="黑体"/>
          <w:color w:val="auto"/>
          <w:sz w:val="32"/>
          <w:szCs w:val="32"/>
          <w:highlight w:val="none"/>
        </w:rPr>
        <w:t>、市场风险</w:t>
      </w:r>
      <w:bookmarkEnd w:id="9"/>
    </w:p>
    <w:p w14:paraId="2CC95470">
      <w:pPr>
        <w:keepNext w:val="0"/>
        <w:keepLines w:val="0"/>
        <w:pageBreakBefore w:val="0"/>
        <w:kinsoku/>
        <w:wordWrap/>
        <w:overflowPunct/>
        <w:topLinePunct/>
        <w:autoSpaceDE/>
        <w:autoSpaceDN/>
        <w:bidi w:val="0"/>
        <w:adjustRightInd w:val="0"/>
        <w:snapToGrid w:val="0"/>
        <w:spacing w:line="560" w:lineRule="exact"/>
        <w:ind w:firstLine="640" w:firstLineChars="200"/>
        <w:jc w:val="left"/>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市场风险是指因市场价格出现不利变动而使银行表内和表外业务发生损失的风险。报告期内，本行目前的主要利润来源仍是存贷款利差，因此面临的市场风险主要是利率风险和行业风险。本行坚持资金的“安全性、流动性、效益性”营运，密切关注央行金融政策发布、利率价格指导，及时传达、修订金融产品利率，积极创建科学有效的市场风险管理制度，努力提高对市场风险的识别、量化、监测和控制能力。结合国家宏观调控政策和小微企业政策，控制好信贷投放，同时以用足用活营运资金为前提，大胆灵活地利用利率市场化，提高资金的整体盈利水平。结合区域经济行业风险情况，本行实行严格的行业准入制度</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本行将合理配置投资</w:t>
      </w:r>
      <w:r>
        <w:rPr>
          <w:rFonts w:hint="eastAsia" w:ascii="仿宋_GB2312" w:hAnsi="仿宋_GB2312" w:eastAsia="仿宋_GB2312" w:cs="仿宋_GB2312"/>
          <w:color w:val="auto"/>
          <w:sz w:val="32"/>
          <w:szCs w:val="32"/>
          <w:highlight w:val="none"/>
          <w:lang w:eastAsia="zh-CN"/>
        </w:rPr>
        <w:t>和存贷款</w:t>
      </w:r>
      <w:r>
        <w:rPr>
          <w:rFonts w:hint="eastAsia" w:ascii="仿宋_GB2312" w:hAnsi="仿宋_GB2312" w:eastAsia="仿宋_GB2312" w:cs="仿宋_GB2312"/>
          <w:color w:val="auto"/>
          <w:sz w:val="32"/>
          <w:szCs w:val="32"/>
          <w:highlight w:val="none"/>
        </w:rPr>
        <w:t>期限，</w:t>
      </w:r>
      <w:r>
        <w:rPr>
          <w:rFonts w:hint="eastAsia" w:ascii="仿宋_GB2312" w:hAnsi="仿宋_GB2312" w:eastAsia="仿宋_GB2312" w:cs="仿宋_GB2312"/>
          <w:color w:val="auto"/>
          <w:sz w:val="32"/>
          <w:szCs w:val="32"/>
          <w:highlight w:val="none"/>
          <w:lang w:eastAsia="zh-CN"/>
        </w:rPr>
        <w:t>按季监测银行账簿最大经济价值变动比例和净利息收入情况</w:t>
      </w:r>
      <w:r>
        <w:rPr>
          <w:rFonts w:hint="eastAsia" w:ascii="仿宋_GB2312" w:hAnsi="仿宋_GB2312" w:eastAsia="仿宋_GB2312" w:cs="仿宋_GB2312"/>
          <w:color w:val="auto"/>
          <w:sz w:val="32"/>
          <w:szCs w:val="32"/>
          <w:highlight w:val="none"/>
        </w:rPr>
        <w:t>。</w:t>
      </w:r>
    </w:p>
    <w:p w14:paraId="6CA036DD">
      <w:pPr>
        <w:keepNext w:val="0"/>
        <w:keepLines w:val="0"/>
        <w:pageBreakBefore w:val="0"/>
        <w:kinsoku/>
        <w:wordWrap/>
        <w:overflowPunct/>
        <w:topLinePunct/>
        <w:autoSpaceDE/>
        <w:autoSpaceDN/>
        <w:bidi w:val="0"/>
        <w:adjustRightInd w:val="0"/>
        <w:snapToGrid w:val="0"/>
        <w:spacing w:line="560" w:lineRule="exact"/>
        <w:ind w:firstLine="640" w:firstLineChars="200"/>
        <w:jc w:val="left"/>
        <w:outlineLvl w:val="1"/>
        <w:rPr>
          <w:rFonts w:ascii="黑体" w:hAnsi="黑体" w:eastAsia="黑体" w:cs="黑体"/>
          <w:color w:val="auto"/>
          <w:sz w:val="32"/>
          <w:szCs w:val="32"/>
          <w:highlight w:val="none"/>
        </w:rPr>
      </w:pPr>
      <w:bookmarkStart w:id="10" w:name="_Toc7502"/>
      <w:r>
        <w:rPr>
          <w:rFonts w:hint="eastAsia" w:ascii="黑体" w:hAnsi="黑体" w:eastAsia="黑体" w:cs="黑体"/>
          <w:color w:val="auto"/>
          <w:sz w:val="32"/>
          <w:szCs w:val="32"/>
          <w:highlight w:val="none"/>
          <w:lang w:eastAsia="zh-CN"/>
        </w:rPr>
        <w:t>五</w:t>
      </w:r>
      <w:r>
        <w:rPr>
          <w:rFonts w:hint="eastAsia" w:ascii="黑体" w:hAnsi="黑体" w:eastAsia="黑体" w:cs="黑体"/>
          <w:color w:val="auto"/>
          <w:sz w:val="32"/>
          <w:szCs w:val="32"/>
          <w:highlight w:val="none"/>
        </w:rPr>
        <w:t>、操作风险</w:t>
      </w:r>
      <w:bookmarkEnd w:id="10"/>
    </w:p>
    <w:p w14:paraId="2A24A8A6">
      <w:pPr>
        <w:keepNext w:val="0"/>
        <w:keepLines w:val="0"/>
        <w:pageBreakBefore w:val="0"/>
        <w:kinsoku/>
        <w:wordWrap/>
        <w:overflowPunct/>
        <w:topLinePunct/>
        <w:autoSpaceDE/>
        <w:autoSpaceDN/>
        <w:bidi w:val="0"/>
        <w:adjustRightInd w:val="0"/>
        <w:snapToGrid w:val="0"/>
        <w:spacing w:line="560" w:lineRule="exact"/>
        <w:ind w:firstLine="640" w:firstLineChars="200"/>
        <w:jc w:val="left"/>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操作风险是指由于不完善或有问题的内部程序、员工和信息科技系统，以及外部事件所造成损失的风险。报告期内，我行认真贯彻监管部门案件防控工作的指导意见，落实案防风险责任，持续案防高压态势，有效防控案件及操作风险，实现“零案发”目标，本行防范操作风险的主要措施有：一是完善制度框架，持续开展制度“废、改、立”。二是加强风险排查，分别对各项业务合规性及风险情况开展排查，同时，结合监管要求，在全行范围内深入排查，</w:t>
      </w:r>
      <w:r>
        <w:rPr>
          <w:rFonts w:hint="eastAsia" w:ascii="仿宋_GB2312" w:hAnsi="仿宋_GB2312" w:eastAsia="仿宋_GB2312" w:cs="仿宋_GB2312"/>
          <w:color w:val="auto"/>
          <w:sz w:val="32"/>
          <w:szCs w:val="32"/>
          <w:highlight w:val="none"/>
          <w:lang w:eastAsia="zh-CN"/>
        </w:rPr>
        <w:t>开展</w:t>
      </w:r>
      <w:r>
        <w:rPr>
          <w:rFonts w:hint="eastAsia" w:ascii="仿宋_GB2312" w:hAnsi="仿宋_GB2312" w:eastAsia="仿宋_GB2312" w:cs="仿宋_GB2312"/>
          <w:color w:val="auto"/>
          <w:sz w:val="32"/>
          <w:szCs w:val="32"/>
          <w:highlight w:val="none"/>
        </w:rPr>
        <w:t>员工异常行为排查，确保员工队伍的健康发展。三是加强业务辅导，组织辖内营业网点业务骨干进行法律知识、信贷知识、预防职务犯罪教育、案件防控</w:t>
      </w:r>
      <w:r>
        <w:rPr>
          <w:rFonts w:hint="eastAsia" w:ascii="仿宋_GB2312" w:hAnsi="仿宋_GB2312" w:eastAsia="仿宋_GB2312" w:cs="仿宋_GB2312"/>
          <w:color w:val="auto"/>
          <w:sz w:val="32"/>
          <w:szCs w:val="32"/>
          <w:highlight w:val="none"/>
          <w:lang w:eastAsia="zh-CN"/>
        </w:rPr>
        <w:t>知识</w:t>
      </w:r>
      <w:r>
        <w:rPr>
          <w:rFonts w:hint="eastAsia" w:ascii="仿宋_GB2312" w:hAnsi="仿宋_GB2312" w:eastAsia="仿宋_GB2312" w:cs="仿宋_GB2312"/>
          <w:color w:val="auto"/>
          <w:sz w:val="32"/>
          <w:szCs w:val="32"/>
          <w:highlight w:val="none"/>
        </w:rPr>
        <w:t>等各类培训</w:t>
      </w:r>
      <w:r>
        <w:rPr>
          <w:rFonts w:hint="eastAsia" w:ascii="仿宋_GB2312" w:hAnsi="仿宋_GB2312" w:eastAsia="仿宋_GB2312" w:cs="仿宋_GB2312"/>
          <w:color w:val="auto"/>
          <w:sz w:val="32"/>
          <w:szCs w:val="32"/>
          <w:highlight w:val="none"/>
          <w:lang w:eastAsia="zh-CN"/>
        </w:rPr>
        <w:t>及警示教育</w:t>
      </w:r>
      <w:r>
        <w:rPr>
          <w:rFonts w:hint="eastAsia" w:ascii="仿宋_GB2312" w:hAnsi="仿宋_GB2312" w:eastAsia="仿宋_GB2312" w:cs="仿宋_GB2312"/>
          <w:color w:val="auto"/>
          <w:sz w:val="32"/>
          <w:szCs w:val="32"/>
          <w:highlight w:val="none"/>
        </w:rPr>
        <w:t>，全面提升业务能力，从源头防控风险。四是下发风险提示及法律辅导，开展警示</w:t>
      </w:r>
      <w:r>
        <w:rPr>
          <w:rFonts w:hint="eastAsia" w:ascii="仿宋_GB2312" w:hAnsi="仿宋_GB2312" w:eastAsia="仿宋_GB2312" w:cs="仿宋_GB2312"/>
          <w:color w:val="auto"/>
          <w:sz w:val="32"/>
          <w:szCs w:val="32"/>
          <w:highlight w:val="none"/>
          <w:lang w:eastAsia="zh-CN"/>
        </w:rPr>
        <w:t>及廉洁自律</w:t>
      </w:r>
      <w:r>
        <w:rPr>
          <w:rFonts w:hint="eastAsia" w:ascii="仿宋_GB2312" w:hAnsi="仿宋_GB2312" w:eastAsia="仿宋_GB2312" w:cs="仿宋_GB2312"/>
          <w:color w:val="auto"/>
          <w:sz w:val="32"/>
          <w:szCs w:val="32"/>
          <w:highlight w:val="none"/>
        </w:rPr>
        <w:t>教育</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提高员工的法律合规意识及风险防控意识。五是加大科技建设</w:t>
      </w:r>
      <w:r>
        <w:rPr>
          <w:rFonts w:hint="eastAsia" w:ascii="仿宋_GB2312" w:hAnsi="仿宋_GB2312" w:eastAsia="仿宋_GB2312" w:cs="仿宋_GB2312"/>
          <w:color w:val="auto"/>
          <w:sz w:val="32"/>
          <w:szCs w:val="32"/>
          <w:highlight w:val="none"/>
          <w:lang w:val="en-US" w:eastAsia="zh-CN"/>
        </w:rPr>
        <w:t>,</w:t>
      </w:r>
      <w:r>
        <w:rPr>
          <w:rFonts w:hint="eastAsia" w:ascii="仿宋_GB2312" w:hAnsi="仿宋_GB2312" w:eastAsia="仿宋_GB2312" w:cs="仿宋_GB2312"/>
          <w:color w:val="auto"/>
          <w:sz w:val="32"/>
          <w:szCs w:val="32"/>
          <w:highlight w:val="none"/>
        </w:rPr>
        <w:t>积极做好各类新兴业务的上线支撑及开发工作，加强了对科技信息操作风险的监测，统一管理辖内网点网络，防止网点线路出现问题导致生产中断引发操作风险。</w:t>
      </w:r>
    </w:p>
    <w:p w14:paraId="6C071661">
      <w:pPr>
        <w:keepNext w:val="0"/>
        <w:keepLines w:val="0"/>
        <w:pageBreakBefore w:val="0"/>
        <w:kinsoku/>
        <w:wordWrap/>
        <w:overflowPunct/>
        <w:topLinePunct/>
        <w:autoSpaceDE/>
        <w:autoSpaceDN/>
        <w:bidi w:val="0"/>
        <w:adjustRightInd w:val="0"/>
        <w:snapToGrid w:val="0"/>
        <w:spacing w:line="560" w:lineRule="exact"/>
        <w:ind w:firstLine="640" w:firstLineChars="200"/>
        <w:jc w:val="left"/>
        <w:outlineLvl w:val="1"/>
        <w:rPr>
          <w:rFonts w:ascii="黑体" w:hAnsi="黑体" w:eastAsia="黑体" w:cs="黑体"/>
          <w:color w:val="auto"/>
          <w:sz w:val="32"/>
          <w:szCs w:val="32"/>
          <w:highlight w:val="none"/>
        </w:rPr>
      </w:pPr>
      <w:bookmarkStart w:id="11" w:name="_Toc30223"/>
      <w:r>
        <w:rPr>
          <w:rFonts w:hint="eastAsia" w:ascii="黑体" w:hAnsi="黑体" w:eastAsia="黑体" w:cs="黑体"/>
          <w:color w:val="auto"/>
          <w:sz w:val="32"/>
          <w:szCs w:val="32"/>
          <w:highlight w:val="none"/>
          <w:lang w:eastAsia="zh-CN"/>
        </w:rPr>
        <w:t>六</w:t>
      </w:r>
      <w:r>
        <w:rPr>
          <w:rFonts w:hint="eastAsia" w:ascii="黑体" w:hAnsi="黑体" w:eastAsia="黑体" w:cs="黑体"/>
          <w:color w:val="auto"/>
          <w:sz w:val="32"/>
          <w:szCs w:val="32"/>
          <w:highlight w:val="none"/>
        </w:rPr>
        <w:t>、</w:t>
      </w:r>
      <w:r>
        <w:rPr>
          <w:rFonts w:hint="eastAsia" w:ascii="黑体" w:hAnsi="黑体" w:eastAsia="黑体" w:cs="黑体"/>
          <w:color w:val="auto"/>
          <w:sz w:val="32"/>
          <w:szCs w:val="32"/>
          <w:highlight w:val="none"/>
          <w:lang w:eastAsia="zh-CN"/>
        </w:rPr>
        <w:t>声誉</w:t>
      </w:r>
      <w:r>
        <w:rPr>
          <w:rFonts w:hint="eastAsia" w:ascii="黑体" w:hAnsi="黑体" w:eastAsia="黑体" w:cs="黑体"/>
          <w:color w:val="auto"/>
          <w:sz w:val="32"/>
          <w:szCs w:val="32"/>
          <w:highlight w:val="none"/>
        </w:rPr>
        <w:t>风险</w:t>
      </w:r>
      <w:bookmarkEnd w:id="11"/>
    </w:p>
    <w:p w14:paraId="4848B47B">
      <w:pPr>
        <w:keepNext w:val="0"/>
        <w:keepLines w:val="0"/>
        <w:pageBreakBefore w:val="0"/>
        <w:kinsoku/>
        <w:wordWrap/>
        <w:overflowPunct/>
        <w:topLinePunct/>
        <w:autoSpaceDE/>
        <w:autoSpaceDN/>
        <w:bidi w:val="0"/>
        <w:adjustRightInd w:val="0"/>
        <w:snapToGrid w:val="0"/>
        <w:spacing w:line="560" w:lineRule="exact"/>
        <w:ind w:firstLine="640" w:firstLineChars="200"/>
        <w:jc w:val="left"/>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lang w:eastAsia="zh-CN"/>
        </w:rPr>
        <w:t>声誉</w:t>
      </w:r>
      <w:r>
        <w:rPr>
          <w:rFonts w:hint="eastAsia" w:ascii="仿宋_GB2312" w:hAnsi="仿宋_GB2312" w:eastAsia="仿宋_GB2312" w:cs="仿宋_GB2312"/>
          <w:color w:val="auto"/>
          <w:sz w:val="32"/>
          <w:szCs w:val="32"/>
          <w:highlight w:val="none"/>
        </w:rPr>
        <w:t>风险是指因本行行为、从业人员行为或外部事件等，导致利益相关方、社会公众、媒体等对本行形成负面评价，从而损害本行品牌价值，不利本行正常经营，甚至影响到市场稳定和社会稳定的风险。报告期内，我行认真贯彻监管部门</w:t>
      </w:r>
      <w:r>
        <w:rPr>
          <w:rFonts w:hint="eastAsia" w:ascii="仿宋_GB2312" w:hAnsi="仿宋_GB2312" w:eastAsia="仿宋_GB2312" w:cs="仿宋_GB2312"/>
          <w:color w:val="auto"/>
          <w:sz w:val="32"/>
          <w:szCs w:val="32"/>
          <w:highlight w:val="none"/>
          <w:lang w:eastAsia="zh-CN"/>
        </w:rPr>
        <w:t>声誉风险隐患排查研判机制</w:t>
      </w:r>
      <w:r>
        <w:rPr>
          <w:rFonts w:hint="eastAsia" w:ascii="仿宋_GB2312" w:hAnsi="仿宋_GB2312" w:eastAsia="仿宋_GB2312" w:cs="仿宋_GB2312"/>
          <w:color w:val="auto"/>
          <w:sz w:val="32"/>
          <w:szCs w:val="32"/>
          <w:highlight w:val="none"/>
        </w:rPr>
        <w:t>工作</w:t>
      </w:r>
      <w:r>
        <w:rPr>
          <w:rFonts w:hint="eastAsia" w:ascii="仿宋_GB2312" w:hAnsi="仿宋_GB2312" w:eastAsia="仿宋_GB2312" w:cs="仿宋_GB2312"/>
          <w:color w:val="auto"/>
          <w:sz w:val="32"/>
          <w:szCs w:val="32"/>
          <w:highlight w:val="none"/>
          <w:lang w:eastAsia="zh-CN"/>
        </w:rPr>
        <w:t>要求</w:t>
      </w:r>
      <w:r>
        <w:rPr>
          <w:rFonts w:hint="eastAsia" w:ascii="仿宋_GB2312" w:hAnsi="仿宋_GB2312" w:eastAsia="仿宋_GB2312" w:cs="仿宋_GB2312"/>
          <w:color w:val="auto"/>
          <w:sz w:val="32"/>
          <w:szCs w:val="32"/>
          <w:highlight w:val="none"/>
        </w:rPr>
        <w:t>，落实</w:t>
      </w:r>
      <w:r>
        <w:rPr>
          <w:rFonts w:hint="eastAsia" w:ascii="仿宋_GB2312" w:hAnsi="仿宋_GB2312" w:eastAsia="仿宋_GB2312" w:cs="仿宋_GB2312"/>
          <w:color w:val="auto"/>
          <w:sz w:val="32"/>
          <w:szCs w:val="32"/>
          <w:highlight w:val="none"/>
          <w:lang w:eastAsia="zh-CN"/>
        </w:rPr>
        <w:t>声誉</w:t>
      </w:r>
      <w:r>
        <w:rPr>
          <w:rFonts w:hint="eastAsia" w:ascii="仿宋_GB2312" w:hAnsi="仿宋_GB2312" w:eastAsia="仿宋_GB2312" w:cs="仿宋_GB2312"/>
          <w:color w:val="auto"/>
          <w:sz w:val="32"/>
          <w:szCs w:val="32"/>
          <w:highlight w:val="none"/>
        </w:rPr>
        <w:t>风险责任，持续</w:t>
      </w:r>
      <w:r>
        <w:rPr>
          <w:rFonts w:hint="eastAsia" w:ascii="仿宋_GB2312" w:hAnsi="仿宋_GB2312" w:eastAsia="仿宋_GB2312" w:cs="仿宋_GB2312"/>
          <w:color w:val="auto"/>
          <w:sz w:val="32"/>
          <w:szCs w:val="32"/>
          <w:highlight w:val="none"/>
          <w:lang w:eastAsia="zh-CN"/>
        </w:rPr>
        <w:t>声誉防控</w:t>
      </w:r>
      <w:r>
        <w:rPr>
          <w:rFonts w:hint="eastAsia" w:ascii="仿宋_GB2312" w:hAnsi="仿宋_GB2312" w:eastAsia="仿宋_GB2312" w:cs="仿宋_GB2312"/>
          <w:color w:val="auto"/>
          <w:sz w:val="32"/>
          <w:szCs w:val="32"/>
          <w:highlight w:val="none"/>
        </w:rPr>
        <w:t>高压态势，有效防控</w:t>
      </w:r>
      <w:r>
        <w:rPr>
          <w:rFonts w:hint="eastAsia" w:ascii="仿宋_GB2312" w:hAnsi="仿宋_GB2312" w:eastAsia="仿宋_GB2312" w:cs="仿宋_GB2312"/>
          <w:color w:val="auto"/>
          <w:sz w:val="32"/>
          <w:szCs w:val="32"/>
          <w:highlight w:val="none"/>
          <w:lang w:eastAsia="zh-CN"/>
        </w:rPr>
        <w:t>声誉及舆情</w:t>
      </w:r>
      <w:r>
        <w:rPr>
          <w:rFonts w:hint="eastAsia" w:ascii="仿宋_GB2312" w:hAnsi="仿宋_GB2312" w:eastAsia="仿宋_GB2312" w:cs="仿宋_GB2312"/>
          <w:color w:val="auto"/>
          <w:sz w:val="32"/>
          <w:szCs w:val="32"/>
          <w:highlight w:val="none"/>
        </w:rPr>
        <w:t>风险，实现</w:t>
      </w:r>
      <w:r>
        <w:rPr>
          <w:rFonts w:hint="eastAsia" w:ascii="仿宋_GB2312" w:hAnsi="仿宋_GB2312" w:eastAsia="仿宋_GB2312" w:cs="仿宋_GB2312"/>
          <w:color w:val="auto"/>
          <w:sz w:val="32"/>
          <w:szCs w:val="32"/>
          <w:highlight w:val="none"/>
          <w:lang w:eastAsia="zh-CN"/>
        </w:rPr>
        <w:t>舆情风险可控</w:t>
      </w:r>
      <w:r>
        <w:rPr>
          <w:rFonts w:hint="eastAsia" w:ascii="仿宋_GB2312" w:hAnsi="仿宋_GB2312" w:eastAsia="仿宋_GB2312" w:cs="仿宋_GB2312"/>
          <w:color w:val="auto"/>
          <w:sz w:val="32"/>
          <w:szCs w:val="32"/>
          <w:highlight w:val="none"/>
        </w:rPr>
        <w:t>，一是</w:t>
      </w:r>
      <w:r>
        <w:rPr>
          <w:rFonts w:hint="eastAsia" w:ascii="仿宋_GB2312" w:hAnsi="仿宋_GB2312" w:eastAsia="仿宋_GB2312" w:cs="仿宋_GB2312"/>
          <w:color w:val="auto"/>
          <w:sz w:val="32"/>
          <w:szCs w:val="32"/>
          <w:highlight w:val="none"/>
          <w:lang w:eastAsia="zh-CN"/>
        </w:rPr>
        <w:t>制定</w:t>
      </w:r>
      <w:r>
        <w:rPr>
          <w:rFonts w:hint="eastAsia" w:ascii="仿宋_GB2312" w:hAnsi="仿宋_GB2312" w:eastAsia="仿宋_GB2312" w:cs="仿宋_GB2312"/>
          <w:color w:val="auto"/>
          <w:sz w:val="32"/>
          <w:szCs w:val="32"/>
          <w:highlight w:val="none"/>
        </w:rPr>
        <w:t>《贵州惠水农村商业银行股份有限公司突发重大风险事件应急预案》《贵州惠水农商银行网络舆情管理办法》《贵州惠水农村商业银行股份有限公司党委意识形态风险评估管理办法（试行）》等相关制度</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规范舆情预警、防控和处置工作</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二是加强风险排查，</w:t>
      </w:r>
      <w:r>
        <w:rPr>
          <w:rFonts w:hint="eastAsia" w:ascii="仿宋_GB2312" w:hAnsi="仿宋_GB2312" w:eastAsia="仿宋_GB2312" w:cs="仿宋_GB2312"/>
          <w:color w:val="auto"/>
          <w:sz w:val="32"/>
          <w:szCs w:val="32"/>
          <w:highlight w:val="none"/>
          <w:lang w:eastAsia="zh-CN"/>
        </w:rPr>
        <w:t>按季对舆情风险隐患、员工异常行为等进行排查，同时通过“新浪舆情通”进行网络监测，并严格规范规划对外信息发布，防范声誉风险。</w:t>
      </w:r>
      <w:r>
        <w:rPr>
          <w:rFonts w:hint="eastAsia" w:ascii="仿宋_GB2312" w:hAnsi="仿宋_GB2312" w:eastAsia="仿宋_GB2312" w:cs="仿宋_GB2312"/>
          <w:color w:val="auto"/>
          <w:sz w:val="32"/>
          <w:szCs w:val="32"/>
          <w:highlight w:val="none"/>
        </w:rPr>
        <w:t>三是加强</w:t>
      </w:r>
      <w:r>
        <w:rPr>
          <w:rFonts w:hint="eastAsia" w:ascii="仿宋_GB2312" w:hAnsi="仿宋_GB2312" w:eastAsia="仿宋_GB2312" w:cs="仿宋_GB2312"/>
          <w:color w:val="auto"/>
          <w:sz w:val="32"/>
          <w:szCs w:val="32"/>
          <w:highlight w:val="none"/>
          <w:lang w:eastAsia="zh-CN"/>
        </w:rPr>
        <w:t>受理消费者投诉、信访接待等客户服务工作，全面执行黔农贵客服务，提升服务水平和服务能力。四是开展舆情演练工作，防范舆情引发声誉风险。</w:t>
      </w:r>
    </w:p>
    <w:p w14:paraId="1062BE8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highlight w:val="none"/>
          <w:lang w:eastAsia="zh-CN"/>
        </w:rPr>
      </w:pPr>
      <w:r>
        <w:rPr>
          <w:rFonts w:hint="eastAsia" w:ascii="仿宋" w:hAnsi="仿宋" w:eastAsia="仿宋" w:cs="仿宋"/>
          <w:sz w:val="32"/>
          <w:szCs w:val="32"/>
          <w:highlight w:val="none"/>
          <w:lang w:val="en-US" w:eastAsia="zh-CN"/>
        </w:rPr>
        <w:t>针对发生的投诉，我行采取措施积极应对，</w:t>
      </w:r>
      <w:r>
        <w:rPr>
          <w:rFonts w:hint="eastAsia" w:ascii="仿宋" w:hAnsi="仿宋" w:eastAsia="仿宋" w:cs="仿宋"/>
          <w:sz w:val="32"/>
          <w:szCs w:val="32"/>
          <w:highlight w:val="none"/>
          <w:lang w:eastAsia="zh-CN"/>
        </w:rPr>
        <w:t>一是</w:t>
      </w:r>
      <w:r>
        <w:rPr>
          <w:rFonts w:hint="eastAsia" w:ascii="仿宋" w:hAnsi="仿宋" w:eastAsia="仿宋" w:cs="仿宋"/>
          <w:sz w:val="32"/>
          <w:szCs w:val="32"/>
          <w:highlight w:val="none"/>
        </w:rPr>
        <w:t>优化处理流程</w:t>
      </w:r>
      <w:r>
        <w:rPr>
          <w:rFonts w:hint="eastAsia" w:ascii="仿宋" w:hAnsi="仿宋" w:eastAsia="仿宋" w:cs="仿宋"/>
          <w:sz w:val="32"/>
          <w:szCs w:val="32"/>
          <w:highlight w:val="none"/>
          <w:lang w:eastAsia="zh-CN"/>
        </w:rPr>
        <w:t>，</w:t>
      </w:r>
      <w:r>
        <w:rPr>
          <w:rFonts w:hint="eastAsia" w:ascii="仿宋" w:hAnsi="仿宋" w:eastAsia="仿宋" w:cs="仿宋"/>
          <w:sz w:val="32"/>
          <w:szCs w:val="32"/>
          <w:highlight w:val="none"/>
        </w:rPr>
        <w:t>建立快速响应机制，缩短投诉受理时间</w:t>
      </w:r>
      <w:r>
        <w:rPr>
          <w:rFonts w:hint="eastAsia" w:ascii="仿宋" w:hAnsi="仿宋" w:eastAsia="仿宋" w:cs="仿宋"/>
          <w:sz w:val="32"/>
          <w:szCs w:val="32"/>
          <w:highlight w:val="none"/>
          <w:lang w:eastAsia="zh-CN"/>
        </w:rPr>
        <w:t>，</w:t>
      </w:r>
      <w:r>
        <w:rPr>
          <w:rFonts w:hint="eastAsia" w:ascii="仿宋" w:hAnsi="仿宋" w:eastAsia="仿宋" w:cs="仿宋"/>
          <w:sz w:val="32"/>
          <w:szCs w:val="32"/>
          <w:highlight w:val="none"/>
        </w:rPr>
        <w:t>设立专人跟进，</w:t>
      </w:r>
      <w:r>
        <w:rPr>
          <w:rFonts w:hint="eastAsia" w:ascii="仿宋" w:hAnsi="仿宋" w:eastAsia="仿宋" w:cs="仿宋"/>
          <w:sz w:val="32"/>
          <w:szCs w:val="32"/>
          <w:highlight w:val="none"/>
          <w:lang w:val="en-US" w:eastAsia="zh-CN"/>
        </w:rPr>
        <w:t>按业务条线进行处理，</w:t>
      </w:r>
      <w:r>
        <w:rPr>
          <w:rFonts w:hint="eastAsia" w:ascii="仿宋" w:hAnsi="仿宋" w:eastAsia="仿宋" w:cs="仿宋"/>
          <w:sz w:val="32"/>
          <w:szCs w:val="32"/>
          <w:highlight w:val="none"/>
        </w:rPr>
        <w:t>确保处理全程可追溯。</w:t>
      </w:r>
      <w:r>
        <w:rPr>
          <w:rFonts w:hint="eastAsia" w:ascii="仿宋" w:hAnsi="仿宋" w:eastAsia="仿宋" w:cs="仿宋"/>
          <w:sz w:val="32"/>
          <w:szCs w:val="32"/>
          <w:highlight w:val="none"/>
          <w:lang w:eastAsia="zh-CN"/>
        </w:rPr>
        <w:t>二是</w:t>
      </w:r>
      <w:r>
        <w:rPr>
          <w:rFonts w:hint="eastAsia" w:ascii="仿宋" w:hAnsi="仿宋" w:eastAsia="仿宋" w:cs="仿宋"/>
          <w:sz w:val="32"/>
          <w:szCs w:val="32"/>
          <w:highlight w:val="none"/>
        </w:rPr>
        <w:t>强化员工培训</w:t>
      </w:r>
      <w:r>
        <w:rPr>
          <w:rFonts w:hint="eastAsia" w:ascii="仿宋" w:hAnsi="仿宋" w:eastAsia="仿宋" w:cs="仿宋"/>
          <w:sz w:val="32"/>
          <w:szCs w:val="32"/>
          <w:highlight w:val="none"/>
          <w:lang w:eastAsia="zh-CN"/>
        </w:rPr>
        <w:t>，</w:t>
      </w:r>
      <w:r>
        <w:rPr>
          <w:rFonts w:hint="eastAsia" w:ascii="仿宋" w:hAnsi="仿宋" w:eastAsia="仿宋" w:cs="仿宋"/>
          <w:sz w:val="32"/>
          <w:szCs w:val="32"/>
          <w:highlight w:val="none"/>
        </w:rPr>
        <w:t>开展服务技巧、业务知识培训，参与员工</w:t>
      </w:r>
      <w:r>
        <w:rPr>
          <w:rFonts w:hint="eastAsia" w:ascii="仿宋" w:hAnsi="仿宋" w:eastAsia="仿宋" w:cs="仿宋"/>
          <w:sz w:val="32"/>
          <w:szCs w:val="32"/>
          <w:highlight w:val="none"/>
          <w:lang w:val="en-US" w:eastAsia="zh-CN"/>
        </w:rPr>
        <w:t>覆盖面100%</w:t>
      </w:r>
      <w:r>
        <w:rPr>
          <w:rFonts w:hint="eastAsia" w:ascii="仿宋" w:hAnsi="仿宋" w:eastAsia="仿宋" w:cs="仿宋"/>
          <w:sz w:val="32"/>
          <w:szCs w:val="32"/>
          <w:highlight w:val="none"/>
        </w:rPr>
        <w:t>，员工服务水平和专业能力明显提升</w:t>
      </w:r>
      <w:r>
        <w:rPr>
          <w:rFonts w:hint="eastAsia" w:ascii="仿宋" w:hAnsi="仿宋" w:eastAsia="仿宋" w:cs="仿宋"/>
          <w:sz w:val="32"/>
          <w:szCs w:val="32"/>
          <w:highlight w:val="none"/>
          <w:lang w:eastAsia="zh-CN"/>
        </w:rPr>
        <w:t>。</w:t>
      </w:r>
      <w:r>
        <w:rPr>
          <w:rFonts w:hint="eastAsia" w:ascii="仿宋" w:hAnsi="仿宋" w:eastAsia="仿宋" w:cs="仿宋"/>
          <w:sz w:val="32"/>
          <w:szCs w:val="32"/>
          <w:highlight w:val="none"/>
        </w:rPr>
        <w:t>我行将始终秉持以客户为中心的理念，持续完善投诉管理机制，不断提升服务质量，切实维护金融消费者合法权益。</w:t>
      </w:r>
    </w:p>
    <w:p w14:paraId="00A0158C">
      <w:pPr>
        <w:pStyle w:val="2"/>
        <w:rPr>
          <w:rFonts w:hint="eastAsia"/>
        </w:rPr>
      </w:pPr>
    </w:p>
    <w:p w14:paraId="745C7841">
      <w:pPr>
        <w:keepNext w:val="0"/>
        <w:keepLines w:val="0"/>
        <w:pageBreakBefore w:val="0"/>
        <w:kinsoku/>
        <w:wordWrap/>
        <w:overflowPunct/>
        <w:autoSpaceDE/>
        <w:autoSpaceDN/>
        <w:bidi w:val="0"/>
        <w:adjustRightInd w:val="0"/>
        <w:snapToGrid w:val="0"/>
        <w:spacing w:line="560" w:lineRule="exact"/>
        <w:jc w:val="center"/>
        <w:outlineLvl w:val="0"/>
        <w:rPr>
          <w:rFonts w:ascii="Times New Roman" w:hAnsi="Times New Roman" w:eastAsia="黑体"/>
          <w:sz w:val="32"/>
          <w:szCs w:val="32"/>
          <w:highlight w:val="none"/>
        </w:rPr>
      </w:pPr>
      <w:bookmarkStart w:id="12" w:name="_Toc4942"/>
      <w:r>
        <w:rPr>
          <w:rFonts w:hint="eastAsia" w:ascii="Times New Roman" w:hAnsi="Times New Roman" w:eastAsia="黑体"/>
          <w:sz w:val="32"/>
          <w:szCs w:val="32"/>
          <w:highlight w:val="none"/>
        </w:rPr>
        <w:t>第</w:t>
      </w:r>
      <w:r>
        <w:rPr>
          <w:rFonts w:hint="eastAsia" w:ascii="Times New Roman" w:hAnsi="Times New Roman" w:eastAsia="黑体"/>
          <w:sz w:val="32"/>
          <w:szCs w:val="32"/>
          <w:highlight w:val="none"/>
          <w:lang w:eastAsia="zh-CN"/>
        </w:rPr>
        <w:t>四</w:t>
      </w:r>
      <w:r>
        <w:rPr>
          <w:rFonts w:hint="eastAsia" w:ascii="Times New Roman" w:hAnsi="Times New Roman" w:eastAsia="黑体"/>
          <w:sz w:val="32"/>
          <w:szCs w:val="32"/>
          <w:highlight w:val="none"/>
        </w:rPr>
        <w:t>章</w:t>
      </w:r>
      <w:r>
        <w:rPr>
          <w:rFonts w:ascii="Times New Roman" w:hAnsi="Times New Roman" w:eastAsia="黑体"/>
          <w:sz w:val="32"/>
          <w:szCs w:val="32"/>
          <w:highlight w:val="none"/>
        </w:rPr>
        <w:t xml:space="preserve">  </w:t>
      </w:r>
      <w:r>
        <w:rPr>
          <w:rFonts w:hint="eastAsia" w:ascii="Times New Roman" w:hAnsi="Times New Roman" w:eastAsia="黑体"/>
          <w:sz w:val="32"/>
          <w:szCs w:val="32"/>
          <w:highlight w:val="none"/>
        </w:rPr>
        <w:t>公司治理情况</w:t>
      </w:r>
      <w:bookmarkEnd w:id="12"/>
    </w:p>
    <w:p w14:paraId="76765506">
      <w:pPr>
        <w:keepNext w:val="0"/>
        <w:keepLines w:val="0"/>
        <w:pageBreakBefore w:val="0"/>
        <w:kinsoku/>
        <w:wordWrap/>
        <w:overflowPunct/>
        <w:autoSpaceDE/>
        <w:autoSpaceDN/>
        <w:bidi w:val="0"/>
        <w:adjustRightInd w:val="0"/>
        <w:snapToGrid w:val="0"/>
        <w:spacing w:line="560" w:lineRule="exact"/>
        <w:ind w:firstLine="640" w:firstLineChars="200"/>
        <w:textAlignment w:val="baseline"/>
        <w:outlineLvl w:val="1"/>
        <w:rPr>
          <w:rFonts w:ascii="Times New Roman" w:hAnsi="Times New Roman" w:eastAsia="黑体"/>
          <w:bCs/>
          <w:kern w:val="30"/>
          <w:sz w:val="32"/>
          <w:szCs w:val="32"/>
          <w:highlight w:val="none"/>
        </w:rPr>
      </w:pPr>
      <w:bookmarkStart w:id="13" w:name="_Toc11707"/>
      <w:r>
        <w:rPr>
          <w:rFonts w:hint="eastAsia" w:ascii="Times New Roman" w:hAnsi="Times New Roman" w:eastAsia="黑体"/>
          <w:bCs/>
          <w:kern w:val="30"/>
          <w:sz w:val="32"/>
          <w:szCs w:val="32"/>
          <w:highlight w:val="none"/>
        </w:rPr>
        <w:t>一、经营决策体系</w:t>
      </w:r>
      <w:bookmarkEnd w:id="13"/>
    </w:p>
    <w:p w14:paraId="10F37109">
      <w:pPr>
        <w:keepNext w:val="0"/>
        <w:keepLines w:val="0"/>
        <w:pageBreakBefore w:val="0"/>
        <w:kinsoku/>
        <w:wordWrap/>
        <w:overflowPunct/>
        <w:autoSpaceDE/>
        <w:autoSpaceDN/>
        <w:bidi w:val="0"/>
        <w:adjustRightInd w:val="0"/>
        <w:snapToGrid w:val="0"/>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rPr>
        <w:t>本行权力机构是股东大会，通过董事会进行决策、管理，由监事会行使监督职能。行长对董事会负责，执行董事会的各项决议，负责本行的日常经营管理工作。本行实行一级法人体制，通过董事会、监事会进行管理和监督。行长受聘于董事会，负责本行日常经营管理。本行各分支机构均为非独立核算单位，其经营管理活动根据总行授权进行，并对总行负责。报告期内，本行不断完善股东大会、董事会、监事会和经营管理层独立运作、有效制衡的公司治理结构，其核心目标是在尊重和保护存款人利益的前提下，追求股东价值的长期最大化。</w:t>
      </w:r>
      <w:r>
        <w:rPr>
          <w:rFonts w:hint="eastAsia" w:ascii="Times New Roman" w:hAnsi="Times New Roman" w:eastAsia="仿宋_GB2312"/>
          <w:color w:val="auto"/>
          <w:sz w:val="32"/>
          <w:szCs w:val="32"/>
          <w:highlight w:val="none"/>
          <w:lang w:eastAsia="zh-CN"/>
        </w:rPr>
        <w:t>本行无实际控制人。</w:t>
      </w:r>
    </w:p>
    <w:p w14:paraId="1DE0EE1E">
      <w:pPr>
        <w:keepNext w:val="0"/>
        <w:keepLines w:val="0"/>
        <w:pageBreakBefore w:val="0"/>
        <w:kinsoku/>
        <w:wordWrap/>
        <w:overflowPunct/>
        <w:autoSpaceDE/>
        <w:autoSpaceDN/>
        <w:bidi w:val="0"/>
        <w:adjustRightInd w:val="0"/>
        <w:snapToGrid w:val="0"/>
        <w:spacing w:line="560" w:lineRule="exact"/>
        <w:ind w:firstLine="640" w:firstLineChars="200"/>
        <w:outlineLvl w:val="1"/>
        <w:rPr>
          <w:rFonts w:ascii="Times New Roman" w:hAnsi="Times New Roman" w:eastAsia="黑体"/>
          <w:bCs/>
          <w:kern w:val="30"/>
          <w:sz w:val="32"/>
          <w:szCs w:val="32"/>
          <w:highlight w:val="none"/>
        </w:rPr>
      </w:pPr>
      <w:bookmarkStart w:id="14" w:name="_Toc3562"/>
      <w:bookmarkStart w:id="15" w:name="_Toc193883064"/>
      <w:r>
        <w:rPr>
          <w:rFonts w:hint="eastAsia" w:ascii="Times New Roman" w:hAnsi="Times New Roman" w:eastAsia="黑体"/>
          <w:bCs/>
          <w:kern w:val="30"/>
          <w:sz w:val="32"/>
          <w:szCs w:val="32"/>
          <w:highlight w:val="none"/>
        </w:rPr>
        <w:t>二、股本及股东情况</w:t>
      </w:r>
      <w:bookmarkEnd w:id="14"/>
      <w:bookmarkEnd w:id="15"/>
    </w:p>
    <w:p w14:paraId="6DE44ECE">
      <w:pPr>
        <w:keepNext w:val="0"/>
        <w:keepLines w:val="0"/>
        <w:pageBreakBefore w:val="0"/>
        <w:kinsoku/>
        <w:wordWrap/>
        <w:overflowPunct/>
        <w:autoSpaceDE/>
        <w:autoSpaceDN/>
        <w:bidi w:val="0"/>
        <w:adjustRightInd w:val="0"/>
        <w:snapToGrid w:val="0"/>
        <w:spacing w:line="560" w:lineRule="exact"/>
        <w:ind w:firstLine="640" w:firstLineChars="200"/>
        <w:outlineLvl w:val="2"/>
        <w:rPr>
          <w:rFonts w:hint="eastAsia" w:ascii="Times New Roman" w:hAnsi="Times New Roman" w:eastAsia="黑体"/>
          <w:bCs/>
          <w:sz w:val="32"/>
          <w:szCs w:val="32"/>
          <w:highlight w:val="none"/>
          <w:lang w:eastAsia="zh-CN"/>
        </w:rPr>
      </w:pPr>
      <w:r>
        <w:rPr>
          <w:rFonts w:hint="eastAsia" w:ascii="Times New Roman" w:hAnsi="Times New Roman" w:eastAsia="黑体"/>
          <w:bCs/>
          <w:sz w:val="32"/>
          <w:szCs w:val="32"/>
          <w:highlight w:val="none"/>
          <w:lang w:eastAsia="zh-CN"/>
        </w:rPr>
        <w:t>（一）股本情况</w:t>
      </w:r>
    </w:p>
    <w:p w14:paraId="71416A67">
      <w:pPr>
        <w:spacing w:line="560" w:lineRule="exact"/>
        <w:ind w:firstLine="640" w:firstLineChars="200"/>
        <w:rPr>
          <w:rFonts w:hint="default" w:ascii="Times New Roman" w:hAnsi="Times New Roman" w:eastAsia="仿宋_GB2312" w:cs="Times New Roman"/>
          <w:sz w:val="32"/>
          <w:lang w:val="en-US" w:eastAsia="zh-CN"/>
        </w:rPr>
      </w:pPr>
      <w:r>
        <w:rPr>
          <w:rFonts w:hint="eastAsia" w:ascii="Times New Roman" w:hAnsi="Times New Roman" w:eastAsia="仿宋_GB2312" w:cs="Times New Roman"/>
          <w:sz w:val="32"/>
          <w:lang w:eastAsia="zh-CN"/>
        </w:rPr>
        <w:t>截至</w:t>
      </w:r>
      <w:r>
        <w:rPr>
          <w:rFonts w:hint="default" w:ascii="Times New Roman" w:hAnsi="Times New Roman" w:eastAsia="仿宋_GB2312" w:cs="Times New Roman"/>
          <w:sz w:val="32"/>
          <w:lang w:val="en-US" w:eastAsia="zh-CN"/>
        </w:rPr>
        <w:t>2024</w:t>
      </w:r>
      <w:r>
        <w:rPr>
          <w:rFonts w:hint="eastAsia" w:ascii="Times New Roman" w:hAnsi="Times New Roman" w:eastAsia="仿宋_GB2312" w:cs="Times New Roman"/>
          <w:sz w:val="32"/>
          <w:lang w:val="en-US" w:eastAsia="zh-CN"/>
        </w:rPr>
        <w:t>年末，</w:t>
      </w:r>
      <w:r>
        <w:rPr>
          <w:rFonts w:hint="eastAsia" w:ascii="Times New Roman" w:hAnsi="Times New Roman" w:eastAsia="仿宋_GB2312" w:cs="Times New Roman"/>
          <w:sz w:val="32"/>
        </w:rPr>
        <w:t>我行股东</w:t>
      </w:r>
      <w:r>
        <w:rPr>
          <w:rFonts w:hint="default" w:ascii="Times New Roman" w:hAnsi="Times New Roman" w:eastAsia="仿宋_GB2312" w:cs="Times New Roman"/>
          <w:sz w:val="32"/>
        </w:rPr>
        <w:t>76</w:t>
      </w:r>
      <w:r>
        <w:rPr>
          <w:rFonts w:hint="default" w:ascii="Times New Roman" w:hAnsi="Times New Roman" w:eastAsia="仿宋_GB2312" w:cs="Times New Roman"/>
          <w:sz w:val="32"/>
          <w:lang w:val="en-US" w:eastAsia="zh-CN"/>
        </w:rPr>
        <w:t>9</w:t>
      </w:r>
      <w:r>
        <w:rPr>
          <w:rFonts w:hint="eastAsia" w:ascii="Times New Roman" w:hAnsi="Times New Roman" w:eastAsia="仿宋_GB2312" w:cs="Times New Roman"/>
          <w:sz w:val="32"/>
        </w:rPr>
        <w:t>户，股本总额为</w:t>
      </w:r>
      <w:r>
        <w:rPr>
          <w:rFonts w:hint="default" w:ascii="Times New Roman" w:hAnsi="Times New Roman" w:eastAsia="仿宋_GB2312" w:cs="Times New Roman"/>
          <w:sz w:val="32"/>
        </w:rPr>
        <w:t>31872</w:t>
      </w:r>
      <w:r>
        <w:rPr>
          <w:rFonts w:hint="eastAsia" w:ascii="Times New Roman" w:hAnsi="Times New Roman" w:eastAsia="仿宋_GB2312" w:cs="Times New Roman"/>
          <w:sz w:val="32"/>
        </w:rPr>
        <w:t>.</w:t>
      </w:r>
      <w:r>
        <w:rPr>
          <w:rFonts w:hint="default" w:ascii="Times New Roman" w:hAnsi="Times New Roman" w:eastAsia="仿宋_GB2312" w:cs="Times New Roman"/>
          <w:sz w:val="32"/>
        </w:rPr>
        <w:t>88</w:t>
      </w:r>
      <w:r>
        <w:rPr>
          <w:rFonts w:hint="eastAsia" w:ascii="Times New Roman" w:hAnsi="Times New Roman" w:eastAsia="仿宋_GB2312" w:cs="Times New Roman"/>
          <w:sz w:val="32"/>
        </w:rPr>
        <w:t>万股，其中法人股</w:t>
      </w:r>
      <w:r>
        <w:rPr>
          <w:rFonts w:hint="default" w:ascii="Times New Roman" w:hAnsi="Times New Roman" w:eastAsia="仿宋_GB2312" w:cs="Times New Roman"/>
          <w:sz w:val="32"/>
        </w:rPr>
        <w:t>20</w:t>
      </w:r>
      <w:r>
        <w:rPr>
          <w:rFonts w:hint="eastAsia" w:ascii="Times New Roman" w:hAnsi="Times New Roman" w:eastAsia="仿宋_GB2312" w:cs="Times New Roman"/>
          <w:sz w:val="32"/>
        </w:rPr>
        <w:t>户</w:t>
      </w:r>
      <w:r>
        <w:rPr>
          <w:rFonts w:hint="eastAsia" w:ascii="Times New Roman" w:hAnsi="Times New Roman" w:eastAsia="仿宋_GB2312" w:cs="Times New Roman"/>
          <w:sz w:val="32"/>
          <w:lang w:eastAsia="zh-CN"/>
        </w:rPr>
        <w:t>，</w:t>
      </w:r>
      <w:r>
        <w:rPr>
          <w:rFonts w:hint="eastAsia" w:ascii="Times New Roman" w:hAnsi="Times New Roman" w:eastAsia="仿宋_GB2312" w:cs="Times New Roman"/>
          <w:sz w:val="32"/>
        </w:rPr>
        <w:t>自然人股</w:t>
      </w:r>
      <w:r>
        <w:rPr>
          <w:rFonts w:hint="default" w:ascii="Times New Roman" w:hAnsi="Times New Roman" w:eastAsia="仿宋_GB2312" w:cs="Times New Roman"/>
          <w:sz w:val="32"/>
        </w:rPr>
        <w:t>74</w:t>
      </w:r>
      <w:r>
        <w:rPr>
          <w:rFonts w:hint="default" w:ascii="Times New Roman" w:hAnsi="Times New Roman" w:eastAsia="仿宋_GB2312" w:cs="Times New Roman"/>
          <w:sz w:val="32"/>
          <w:lang w:val="en-US" w:eastAsia="zh-CN"/>
        </w:rPr>
        <w:t>9</w:t>
      </w:r>
      <w:r>
        <w:rPr>
          <w:rFonts w:hint="eastAsia" w:ascii="Times New Roman" w:hAnsi="Times New Roman" w:eastAsia="仿宋_GB2312" w:cs="Times New Roman"/>
          <w:sz w:val="32"/>
        </w:rPr>
        <w:t>户</w:t>
      </w:r>
      <w:r>
        <w:rPr>
          <w:rFonts w:hint="eastAsia" w:ascii="Times New Roman" w:hAnsi="Times New Roman" w:eastAsia="仿宋_GB2312" w:cs="Times New Roman"/>
          <w:sz w:val="32"/>
          <w:lang w:eastAsia="zh-CN"/>
        </w:rPr>
        <w:t>。根据监管规定纳入我行主要股东管理</w:t>
      </w:r>
      <w:r>
        <w:rPr>
          <w:rFonts w:hint="eastAsia" w:ascii="Times New Roman" w:hAnsi="Times New Roman" w:eastAsia="仿宋_GB2312" w:cs="Times New Roman"/>
          <w:sz w:val="32"/>
          <w:lang w:val="en-US" w:eastAsia="zh-CN"/>
        </w:rPr>
        <w:t>8户。</w:t>
      </w:r>
    </w:p>
    <w:p w14:paraId="453284C0">
      <w:pPr>
        <w:keepNext w:val="0"/>
        <w:keepLines w:val="0"/>
        <w:pageBreakBefore w:val="0"/>
        <w:kinsoku/>
        <w:wordWrap/>
        <w:overflowPunct/>
        <w:autoSpaceDE/>
        <w:autoSpaceDN/>
        <w:bidi w:val="0"/>
        <w:adjustRightInd w:val="0"/>
        <w:snapToGrid w:val="0"/>
        <w:spacing w:line="560" w:lineRule="exact"/>
        <w:ind w:firstLine="640" w:firstLineChars="200"/>
        <w:outlineLvl w:val="2"/>
        <w:rPr>
          <w:rFonts w:ascii="Times New Roman" w:hAnsi="Times New Roman" w:eastAsia="黑体"/>
          <w:bCs/>
          <w:sz w:val="32"/>
          <w:szCs w:val="32"/>
          <w:highlight w:val="none"/>
        </w:rPr>
      </w:pPr>
      <w:r>
        <w:rPr>
          <w:rFonts w:hint="eastAsia" w:ascii="Times New Roman" w:hAnsi="Times New Roman" w:eastAsia="黑体"/>
          <w:bCs/>
          <w:sz w:val="32"/>
          <w:szCs w:val="32"/>
          <w:highlight w:val="none"/>
          <w:lang w:val="en-US" w:eastAsia="zh-CN"/>
        </w:rPr>
        <w:t>(三）</w:t>
      </w:r>
      <w:r>
        <w:rPr>
          <w:rFonts w:hint="eastAsia" w:ascii="Times New Roman" w:hAnsi="Times New Roman" w:eastAsia="黑体"/>
          <w:bCs/>
          <w:sz w:val="32"/>
          <w:szCs w:val="32"/>
          <w:highlight w:val="none"/>
        </w:rPr>
        <w:t>股权转让情况</w:t>
      </w:r>
    </w:p>
    <w:p w14:paraId="43CE1B58">
      <w:pPr>
        <w:spacing w:line="560" w:lineRule="exact"/>
        <w:ind w:firstLine="640" w:firstLineChars="200"/>
        <w:rPr>
          <w:rFonts w:hint="eastAsia" w:ascii="楷体_GB2312" w:hAnsi="楷体_GB2312" w:eastAsia="楷体_GB2312" w:cs="楷体_GB2312"/>
          <w:b w:val="0"/>
          <w:sz w:val="32"/>
          <w:lang w:val="en-US" w:eastAsia="zh-CN"/>
        </w:rPr>
      </w:pPr>
      <w:r>
        <w:rPr>
          <w:rFonts w:hint="eastAsia" w:ascii="仿宋_GB2312" w:hAnsi="仿宋_GB2312" w:eastAsia="仿宋_GB2312" w:cs="仿宋_GB2312"/>
          <w:sz w:val="32"/>
          <w:lang w:val="en-US" w:eastAsia="zh-CN"/>
        </w:rPr>
        <w:t>报告期内，本行共发生自然人股权转让</w:t>
      </w:r>
      <w:r>
        <w:rPr>
          <w:rFonts w:hint="default" w:ascii="仿宋_GB2312" w:hAnsi="仿宋_GB2312" w:eastAsia="仿宋_GB2312" w:cs="仿宋_GB2312"/>
          <w:sz w:val="32"/>
          <w:lang w:val="en-US" w:eastAsia="zh-CN"/>
        </w:rPr>
        <w:t>17</w:t>
      </w:r>
      <w:r>
        <w:rPr>
          <w:rFonts w:hint="eastAsia" w:ascii="仿宋_GB2312" w:hAnsi="仿宋_GB2312" w:eastAsia="仿宋_GB2312" w:cs="仿宋_GB2312"/>
          <w:sz w:val="32"/>
          <w:lang w:val="en-US" w:eastAsia="zh-CN"/>
        </w:rPr>
        <w:t>户，持股</w:t>
      </w:r>
      <w:r>
        <w:rPr>
          <w:rFonts w:hint="default" w:ascii="仿宋_GB2312" w:hAnsi="仿宋_GB2312" w:eastAsia="仿宋_GB2312" w:cs="仿宋_GB2312"/>
          <w:sz w:val="32"/>
          <w:lang w:val="en-US" w:eastAsia="zh-CN"/>
        </w:rPr>
        <w:t>1</w:t>
      </w:r>
      <w:r>
        <w:rPr>
          <w:rFonts w:hint="eastAsia" w:ascii="仿宋_GB2312" w:hAnsi="仿宋_GB2312" w:eastAsia="仿宋_GB2312" w:cs="仿宋_GB2312"/>
          <w:sz w:val="32"/>
          <w:lang w:val="en-US" w:eastAsia="zh-CN"/>
        </w:rPr>
        <w:t>%以上股东变更</w:t>
      </w:r>
      <w:r>
        <w:rPr>
          <w:rFonts w:hint="default" w:ascii="仿宋_GB2312" w:hAnsi="仿宋_GB2312" w:eastAsia="仿宋_GB2312" w:cs="仿宋_GB2312"/>
          <w:sz w:val="32"/>
          <w:lang w:val="en-US" w:eastAsia="zh-CN"/>
        </w:rPr>
        <w:t>2</w:t>
      </w:r>
      <w:r>
        <w:rPr>
          <w:rFonts w:hint="eastAsia" w:ascii="仿宋_GB2312" w:hAnsi="仿宋_GB2312" w:eastAsia="仿宋_GB2312" w:cs="仿宋_GB2312"/>
          <w:sz w:val="32"/>
          <w:lang w:val="en-US" w:eastAsia="zh-CN"/>
        </w:rPr>
        <w:t>户，按规定向监管机构报告。持有或控制</w:t>
      </w:r>
      <w:r>
        <w:rPr>
          <w:rFonts w:hint="default" w:ascii="Times New Roman" w:hAnsi="Times New Roman" w:eastAsia="仿宋_GB2312" w:cs="Times New Roman"/>
          <w:sz w:val="32"/>
          <w:lang w:val="en-US" w:eastAsia="zh-CN"/>
        </w:rPr>
        <w:t>5</w:t>
      </w:r>
      <w:r>
        <w:rPr>
          <w:rFonts w:hint="eastAsia" w:ascii="仿宋_GB2312" w:hAnsi="仿宋_GB2312" w:eastAsia="仿宋_GB2312" w:cs="仿宋_GB2312"/>
          <w:sz w:val="32"/>
          <w:lang w:val="en-US" w:eastAsia="zh-CN"/>
        </w:rPr>
        <w:t>%以上股权的股东报告期内持股份额未发生变化。</w:t>
      </w:r>
    </w:p>
    <w:p w14:paraId="68D67933">
      <w:pPr>
        <w:keepNext w:val="0"/>
        <w:keepLines w:val="0"/>
        <w:pageBreakBefore w:val="0"/>
        <w:kinsoku/>
        <w:wordWrap/>
        <w:overflowPunct/>
        <w:autoSpaceDE/>
        <w:autoSpaceDN/>
        <w:bidi w:val="0"/>
        <w:adjustRightInd w:val="0"/>
        <w:snapToGrid w:val="0"/>
        <w:spacing w:line="560" w:lineRule="exact"/>
        <w:ind w:firstLine="640" w:firstLineChars="200"/>
        <w:outlineLvl w:val="1"/>
        <w:rPr>
          <w:rFonts w:ascii="Times New Roman" w:hAnsi="Times New Roman" w:eastAsia="黑体"/>
          <w:bCs/>
          <w:kern w:val="30"/>
          <w:sz w:val="32"/>
          <w:szCs w:val="32"/>
          <w:highlight w:val="none"/>
        </w:rPr>
      </w:pPr>
      <w:bookmarkStart w:id="16" w:name="_Toc3371"/>
      <w:r>
        <w:rPr>
          <w:rFonts w:hint="eastAsia" w:ascii="Times New Roman" w:hAnsi="Times New Roman" w:eastAsia="黑体"/>
          <w:bCs/>
          <w:kern w:val="30"/>
          <w:sz w:val="32"/>
          <w:szCs w:val="32"/>
          <w:highlight w:val="none"/>
        </w:rPr>
        <w:t>三、股东大会情况</w:t>
      </w:r>
      <w:bookmarkEnd w:id="16"/>
    </w:p>
    <w:p w14:paraId="1857DBC8">
      <w:pPr>
        <w:keepNext w:val="0"/>
        <w:keepLines w:val="0"/>
        <w:pageBreakBefore w:val="0"/>
        <w:kinsoku/>
        <w:wordWrap/>
        <w:overflowPunct/>
        <w:autoSpaceDE/>
        <w:autoSpaceDN/>
        <w:bidi w:val="0"/>
        <w:adjustRightInd w:val="0"/>
        <w:snapToGrid w:val="0"/>
        <w:spacing w:line="560" w:lineRule="exact"/>
        <w:ind w:firstLine="640" w:firstLineChars="200"/>
        <w:outlineLvl w:val="2"/>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val="en-US" w:eastAsia="zh-CN"/>
        </w:rPr>
        <w:t>（一）股东大会职责</w:t>
      </w:r>
    </w:p>
    <w:p w14:paraId="297C40E6">
      <w:pPr>
        <w:spacing w:line="560" w:lineRule="exact"/>
        <w:ind w:firstLine="640" w:firstLineChars="200"/>
        <w:rPr>
          <w:rFonts w:hint="eastAsia" w:ascii="Times New Roman" w:hAnsi="Times New Roman" w:eastAsia="仿宋_GB2312" w:cs="Times New Roman"/>
          <w:sz w:val="32"/>
          <w:highlight w:val="none"/>
          <w:lang w:val="en-US" w:eastAsia="zh-CN"/>
        </w:rPr>
      </w:pPr>
      <w:r>
        <w:rPr>
          <w:rFonts w:hint="eastAsia" w:ascii="Times New Roman" w:hAnsi="Times New Roman" w:eastAsia="仿宋_GB2312" w:cs="Times New Roman"/>
          <w:sz w:val="32"/>
          <w:highlight w:val="none"/>
          <w:lang w:val="en-US" w:eastAsia="zh-CN"/>
        </w:rPr>
        <w:t>包括审议批准本行的发展规划，决定本行的经营方针和投资计划；选举、更换和罢免非职工董事、非职工监事，决定有关董事、监事的报酬事项；审议批准董事会的报告；审议批准监事会或者监事的报告；审议批准本行的年度财务预算方案、决算方案、利润分配方案和弥补亏损方案；对本行新增或者减少注册资本作出决议；对本行发行债券和公开发行股份作出决议；对本行的合并、分立、解散、清算及变更公司形式等作出决议；修改本行章程；审议股东大会议事规则、董事会议事规则、监事会议事规则；审议批准本行除日常经营外重大的对外投资、资产收购或处置、资产抵押、对外担保、委托他人管理本行资金或其他资产等重大事项。本款所指重大事项是指金额超过本行最近一期经审计总资产30%的事项；听取银行业监督管理机构对本行的监管意见及本行执行整改情况的通报；听取监事会对董事的评价结果，以及监事会对监事的评价结果；听取本行支农支小发展战略规划落实情况的报告；审议法律法规、行政规章和本章程规定应当由股东大会决定的其他事项；对公司上市作出决议；审议批准股权激励计划方案；依照法律规定对收购本公司股份作出决议；对聘用或解聘为公司财务报告进行定期法定审计的会计师事务所作出决议。本行</w:t>
      </w:r>
      <w:r>
        <w:rPr>
          <w:rFonts w:hint="eastAsia" w:ascii="仿宋_GB2312" w:hAnsi="仿宋_GB2312" w:eastAsia="仿宋_GB2312" w:cs="仿宋_GB2312"/>
          <w:sz w:val="32"/>
          <w:highlight w:val="none"/>
          <w:lang w:eastAsia="zh-CN"/>
        </w:rPr>
        <w:t>于</w:t>
      </w:r>
      <w:r>
        <w:rPr>
          <w:rFonts w:hint="default" w:ascii="Times New Roman" w:hAnsi="Times New Roman" w:eastAsia="仿宋_GB2312" w:cs="Times New Roman"/>
          <w:sz w:val="32"/>
          <w:highlight w:val="none"/>
        </w:rPr>
        <w:t>202</w:t>
      </w:r>
      <w:r>
        <w:rPr>
          <w:rFonts w:hint="eastAsia" w:ascii="Times New Roman" w:hAnsi="Times New Roman" w:eastAsia="仿宋_GB2312" w:cs="Times New Roman"/>
          <w:sz w:val="32"/>
          <w:highlight w:val="none"/>
          <w:lang w:val="en-US" w:eastAsia="zh-CN"/>
        </w:rPr>
        <w:t>4</w:t>
      </w:r>
      <w:r>
        <w:rPr>
          <w:rFonts w:hint="eastAsia" w:ascii="仿宋_GB2312" w:hAnsi="仿宋_GB2312" w:eastAsia="仿宋_GB2312" w:cs="仿宋_GB2312"/>
          <w:sz w:val="32"/>
          <w:highlight w:val="none"/>
        </w:rPr>
        <w:t>年</w:t>
      </w:r>
      <w:r>
        <w:rPr>
          <w:rFonts w:hint="default" w:ascii="Times New Roman" w:hAnsi="Times New Roman" w:eastAsia="仿宋_GB2312" w:cs="Times New Roman"/>
          <w:sz w:val="32"/>
          <w:highlight w:val="none"/>
        </w:rPr>
        <w:t>6</w:t>
      </w:r>
      <w:r>
        <w:rPr>
          <w:rFonts w:hint="eastAsia" w:ascii="仿宋_GB2312" w:hAnsi="仿宋_GB2312" w:eastAsia="仿宋_GB2312" w:cs="仿宋_GB2312"/>
          <w:sz w:val="32"/>
          <w:highlight w:val="none"/>
        </w:rPr>
        <w:t>月</w:t>
      </w:r>
      <w:r>
        <w:rPr>
          <w:rFonts w:hint="eastAsia" w:ascii="Times New Roman" w:hAnsi="Times New Roman" w:eastAsia="仿宋_GB2312" w:cs="Times New Roman"/>
          <w:sz w:val="32"/>
          <w:highlight w:val="none"/>
          <w:lang w:val="en-US" w:eastAsia="zh-CN"/>
        </w:rPr>
        <w:t>13</w:t>
      </w:r>
      <w:r>
        <w:rPr>
          <w:rFonts w:hint="eastAsia" w:ascii="仿宋_GB2312" w:hAnsi="仿宋_GB2312" w:eastAsia="仿宋_GB2312" w:cs="仿宋_GB2312"/>
          <w:sz w:val="32"/>
          <w:highlight w:val="none"/>
        </w:rPr>
        <w:t>日</w:t>
      </w:r>
      <w:r>
        <w:rPr>
          <w:rFonts w:hint="eastAsia" w:ascii="仿宋_GB2312" w:hAnsi="仿宋_GB2312" w:eastAsia="仿宋_GB2312" w:cs="仿宋_GB2312"/>
          <w:sz w:val="32"/>
          <w:highlight w:val="none"/>
          <w:lang w:eastAsia="zh-CN"/>
        </w:rPr>
        <w:t>在</w:t>
      </w:r>
      <w:r>
        <w:rPr>
          <w:rFonts w:hint="eastAsia" w:ascii="仿宋_GB2312" w:hAnsi="仿宋_GB2312" w:eastAsia="仿宋_GB2312" w:cs="仿宋_GB2312"/>
          <w:sz w:val="32"/>
          <w:highlight w:val="none"/>
        </w:rPr>
        <w:t>总行307会议室</w:t>
      </w:r>
      <w:r>
        <w:rPr>
          <w:rFonts w:hint="eastAsia" w:ascii="仿宋_GB2312" w:hAnsi="仿宋_GB2312" w:eastAsia="仿宋_GB2312" w:cs="仿宋_GB2312"/>
          <w:color w:val="auto"/>
          <w:sz w:val="32"/>
          <w:highlight w:val="none"/>
        </w:rPr>
        <w:t>召开了贵州惠水农村商业银行股份有限公司第十</w:t>
      </w:r>
      <w:r>
        <w:rPr>
          <w:rFonts w:hint="eastAsia" w:ascii="仿宋_GB2312" w:hAnsi="仿宋_GB2312" w:eastAsia="仿宋_GB2312" w:cs="仿宋_GB2312"/>
          <w:color w:val="auto"/>
          <w:sz w:val="32"/>
          <w:highlight w:val="none"/>
          <w:lang w:eastAsia="zh-CN"/>
        </w:rPr>
        <w:t>一</w:t>
      </w:r>
      <w:r>
        <w:rPr>
          <w:rFonts w:hint="eastAsia" w:ascii="仿宋_GB2312" w:hAnsi="仿宋_GB2312" w:eastAsia="仿宋_GB2312" w:cs="仿宋_GB2312"/>
          <w:color w:val="auto"/>
          <w:sz w:val="32"/>
          <w:highlight w:val="none"/>
        </w:rPr>
        <w:t>次股东大会</w:t>
      </w:r>
      <w:r>
        <w:rPr>
          <w:rFonts w:hint="eastAsia" w:ascii="仿宋_GB2312" w:hAnsi="仿宋_GB2312" w:eastAsia="仿宋_GB2312" w:cs="仿宋_GB2312"/>
          <w:color w:val="auto"/>
          <w:sz w:val="32"/>
          <w:highlight w:val="none"/>
          <w:lang w:eastAsia="zh-CN"/>
        </w:rPr>
        <w:t>，审议通过了</w:t>
      </w:r>
      <w:r>
        <w:rPr>
          <w:rFonts w:hint="default" w:ascii="Times New Roman" w:hAnsi="Times New Roman" w:eastAsia="仿宋_GB2312" w:cs="Times New Roman"/>
          <w:color w:val="auto"/>
          <w:sz w:val="32"/>
          <w:highlight w:val="none"/>
        </w:rPr>
        <w:t>1</w:t>
      </w:r>
      <w:r>
        <w:rPr>
          <w:rFonts w:hint="eastAsia" w:ascii="Times New Roman" w:hAnsi="Times New Roman" w:eastAsia="仿宋_GB2312" w:cs="Times New Roman"/>
          <w:color w:val="auto"/>
          <w:sz w:val="32"/>
          <w:highlight w:val="none"/>
          <w:lang w:val="en-US" w:eastAsia="zh-CN"/>
        </w:rPr>
        <w:t>5</w:t>
      </w:r>
      <w:r>
        <w:rPr>
          <w:rFonts w:hint="eastAsia" w:ascii="仿宋_GB2312" w:hAnsi="仿宋_GB2312" w:eastAsia="仿宋_GB2312" w:cs="仿宋_GB2312"/>
          <w:color w:val="auto"/>
          <w:sz w:val="32"/>
          <w:highlight w:val="none"/>
        </w:rPr>
        <w:t>个提案</w:t>
      </w:r>
      <w:r>
        <w:rPr>
          <w:rFonts w:hint="eastAsia" w:ascii="仿宋_GB2312" w:hAnsi="仿宋_GB2312" w:eastAsia="仿宋_GB2312" w:cs="仿宋_GB2312"/>
          <w:color w:val="auto"/>
          <w:sz w:val="32"/>
          <w:highlight w:val="none"/>
          <w:lang w:eastAsia="zh-CN"/>
        </w:rPr>
        <w:t>。</w:t>
      </w:r>
    </w:p>
    <w:p w14:paraId="32F835C8">
      <w:pPr>
        <w:keepNext w:val="0"/>
        <w:keepLines w:val="0"/>
        <w:pageBreakBefore w:val="0"/>
        <w:kinsoku/>
        <w:wordWrap/>
        <w:overflowPunct/>
        <w:autoSpaceDE/>
        <w:autoSpaceDN/>
        <w:bidi w:val="0"/>
        <w:adjustRightInd w:val="0"/>
        <w:snapToGrid w:val="0"/>
        <w:spacing w:line="560" w:lineRule="exact"/>
        <w:ind w:firstLine="640" w:firstLineChars="200"/>
        <w:outlineLvl w:val="1"/>
        <w:rPr>
          <w:rFonts w:ascii="Times New Roman" w:hAnsi="Times New Roman" w:eastAsia="黑体"/>
          <w:sz w:val="32"/>
          <w:szCs w:val="32"/>
          <w:highlight w:val="none"/>
        </w:rPr>
      </w:pPr>
      <w:bookmarkStart w:id="17" w:name="_Toc25963"/>
      <w:r>
        <w:rPr>
          <w:rFonts w:hint="eastAsia" w:ascii="Times New Roman" w:hAnsi="Times New Roman" w:eastAsia="黑体"/>
          <w:sz w:val="32"/>
          <w:szCs w:val="32"/>
          <w:highlight w:val="none"/>
        </w:rPr>
        <w:t>四、董事会的构成及其工作情况</w:t>
      </w:r>
      <w:bookmarkEnd w:id="17"/>
    </w:p>
    <w:p w14:paraId="46DCF281">
      <w:pPr>
        <w:keepNext w:val="0"/>
        <w:keepLines w:val="0"/>
        <w:pageBreakBefore w:val="0"/>
        <w:kinsoku/>
        <w:wordWrap/>
        <w:overflowPunct/>
        <w:autoSpaceDE/>
        <w:autoSpaceDN/>
        <w:bidi w:val="0"/>
        <w:adjustRightInd w:val="0"/>
        <w:snapToGrid w:val="0"/>
        <w:spacing w:line="560" w:lineRule="exact"/>
        <w:ind w:firstLine="640" w:firstLineChars="200"/>
        <w:outlineLvl w:val="2"/>
        <w:rPr>
          <w:rFonts w:ascii="Times New Roman" w:hAnsi="Times New Roman" w:eastAsia="黑体"/>
          <w:bCs/>
          <w:sz w:val="32"/>
          <w:szCs w:val="32"/>
          <w:highlight w:val="none"/>
        </w:rPr>
      </w:pPr>
      <w:bookmarkStart w:id="18" w:name="_Toc193883071"/>
      <w:r>
        <w:rPr>
          <w:rFonts w:ascii="Times New Roman" w:hAnsi="Times New Roman" w:eastAsia="黑体"/>
          <w:bCs/>
          <w:sz w:val="32"/>
          <w:szCs w:val="32"/>
          <w:highlight w:val="none"/>
        </w:rPr>
        <w:t>（</w:t>
      </w:r>
      <w:r>
        <w:rPr>
          <w:rFonts w:hint="eastAsia" w:ascii="Times New Roman" w:hAnsi="Times New Roman" w:eastAsia="黑体"/>
          <w:bCs/>
          <w:sz w:val="32"/>
          <w:szCs w:val="32"/>
          <w:highlight w:val="none"/>
        </w:rPr>
        <w:t>一</w:t>
      </w:r>
      <w:r>
        <w:rPr>
          <w:rFonts w:ascii="Times New Roman" w:hAnsi="Times New Roman" w:eastAsia="黑体"/>
          <w:bCs/>
          <w:sz w:val="32"/>
          <w:szCs w:val="32"/>
          <w:highlight w:val="none"/>
        </w:rPr>
        <w:t>）</w:t>
      </w:r>
      <w:r>
        <w:rPr>
          <w:rFonts w:hint="eastAsia" w:ascii="Times New Roman" w:hAnsi="Times New Roman" w:eastAsia="黑体"/>
          <w:bCs/>
          <w:sz w:val="32"/>
          <w:szCs w:val="32"/>
          <w:highlight w:val="none"/>
        </w:rPr>
        <w:t>董事会的构成情况</w:t>
      </w:r>
      <w:bookmarkEnd w:id="18"/>
    </w:p>
    <w:p w14:paraId="28D07656">
      <w:pPr>
        <w:pStyle w:val="15"/>
        <w:ind w:firstLine="640" w:firstLineChars="200"/>
        <w:rPr>
          <w:rFonts w:hint="eastAsia" w:ascii="仿宋_GB2312" w:hAnsi="仿宋_GB2312" w:eastAsia="仿宋_GB2312" w:cs="仿宋_GB2312"/>
          <w:b w:val="0"/>
          <w:kern w:val="2"/>
          <w:sz w:val="32"/>
          <w:szCs w:val="22"/>
          <w:highlight w:val="none"/>
          <w:lang w:val="en-US" w:eastAsia="zh-CN" w:bidi="ar-SA"/>
        </w:rPr>
      </w:pPr>
      <w:r>
        <w:rPr>
          <w:rFonts w:hint="eastAsia" w:ascii="仿宋_GB2312" w:hAnsi="仿宋_GB2312" w:eastAsia="仿宋_GB2312" w:cs="仿宋_GB2312"/>
          <w:b w:val="0"/>
          <w:sz w:val="32"/>
          <w:highlight w:val="none"/>
        </w:rPr>
        <w:t>本行严格按照《章程》规定的董事任职资格和选聘程序选举董事，董事会的人数和人员构成符合法律法规的要求</w:t>
      </w:r>
      <w:r>
        <w:rPr>
          <w:rFonts w:hint="eastAsia" w:ascii="仿宋_GB2312" w:hAnsi="仿宋_GB2312" w:eastAsia="仿宋_GB2312" w:cs="仿宋_GB2312"/>
          <w:b w:val="0"/>
          <w:sz w:val="32"/>
          <w:highlight w:val="none"/>
          <w:lang w:eastAsia="zh-CN"/>
        </w:rPr>
        <w:t>，</w:t>
      </w:r>
      <w:r>
        <w:rPr>
          <w:rFonts w:hint="default" w:ascii="Times New Roman" w:hAnsi="Times New Roman" w:eastAsia="仿宋_GB2312" w:cs="Times New Roman"/>
          <w:b w:val="0"/>
          <w:sz w:val="32"/>
          <w:highlight w:val="none"/>
          <w:lang w:val="en-US" w:eastAsia="zh-CN"/>
        </w:rPr>
        <w:t>202</w:t>
      </w:r>
      <w:r>
        <w:rPr>
          <w:rFonts w:hint="eastAsia" w:ascii="Times New Roman" w:hAnsi="Times New Roman" w:eastAsia="仿宋_GB2312" w:cs="Times New Roman"/>
          <w:b w:val="0"/>
          <w:sz w:val="32"/>
          <w:highlight w:val="none"/>
          <w:lang w:val="en-US" w:eastAsia="zh-CN"/>
        </w:rPr>
        <w:t>4</w:t>
      </w:r>
      <w:r>
        <w:rPr>
          <w:rFonts w:hint="eastAsia" w:ascii="仿宋_GB2312" w:hAnsi="仿宋_GB2312" w:eastAsia="仿宋_GB2312" w:cs="仿宋_GB2312"/>
          <w:b w:val="0"/>
          <w:sz w:val="32"/>
          <w:highlight w:val="none"/>
          <w:lang w:val="en-US" w:eastAsia="zh-CN"/>
        </w:rPr>
        <w:t>年</w:t>
      </w:r>
      <w:r>
        <w:rPr>
          <w:rFonts w:hint="eastAsia" w:ascii="仿宋_GB2312" w:hAnsi="仿宋_GB2312" w:eastAsia="仿宋_GB2312" w:cs="仿宋_GB2312"/>
          <w:b w:val="0"/>
          <w:sz w:val="32"/>
          <w:highlight w:val="none"/>
        </w:rPr>
        <w:t>本行董事会由</w:t>
      </w:r>
      <w:r>
        <w:rPr>
          <w:rFonts w:hint="default" w:ascii="Times New Roman" w:hAnsi="Times New Roman" w:eastAsia="仿宋_GB2312" w:cs="Times New Roman"/>
          <w:b w:val="0"/>
          <w:sz w:val="32"/>
          <w:highlight w:val="none"/>
          <w:lang w:val="en-US" w:eastAsia="zh-CN"/>
        </w:rPr>
        <w:t>7</w:t>
      </w:r>
      <w:r>
        <w:rPr>
          <w:rFonts w:hint="eastAsia" w:ascii="仿宋_GB2312" w:hAnsi="仿宋_GB2312" w:eastAsia="仿宋_GB2312" w:cs="仿宋_GB2312"/>
          <w:b w:val="0"/>
          <w:sz w:val="32"/>
          <w:highlight w:val="none"/>
        </w:rPr>
        <w:t>名董事组成，其中职工董事</w:t>
      </w:r>
      <w:r>
        <w:rPr>
          <w:rFonts w:hint="default" w:ascii="Times New Roman" w:hAnsi="Times New Roman" w:eastAsia="仿宋_GB2312" w:cs="Times New Roman"/>
          <w:b w:val="0"/>
          <w:sz w:val="32"/>
          <w:highlight w:val="none"/>
          <w:lang w:val="en-US" w:eastAsia="zh-CN"/>
        </w:rPr>
        <w:t>2</w:t>
      </w:r>
      <w:r>
        <w:rPr>
          <w:rFonts w:hint="eastAsia" w:ascii="仿宋_GB2312" w:hAnsi="仿宋_GB2312" w:eastAsia="仿宋_GB2312" w:cs="仿宋_GB2312"/>
          <w:b w:val="0"/>
          <w:sz w:val="32"/>
          <w:highlight w:val="none"/>
        </w:rPr>
        <w:t>名</w:t>
      </w:r>
      <w:r>
        <w:rPr>
          <w:rFonts w:hint="eastAsia" w:ascii="仿宋_GB2312" w:hAnsi="仿宋_GB2312" w:eastAsia="仿宋_GB2312" w:cs="仿宋_GB2312"/>
          <w:b w:val="0"/>
          <w:sz w:val="32"/>
          <w:highlight w:val="none"/>
          <w:lang w:eastAsia="zh-CN"/>
        </w:rPr>
        <w:t>，股东董事</w:t>
      </w:r>
      <w:r>
        <w:rPr>
          <w:rFonts w:hint="default" w:ascii="Times New Roman" w:hAnsi="Times New Roman" w:eastAsia="仿宋_GB2312" w:cs="Times New Roman"/>
          <w:b w:val="0"/>
          <w:sz w:val="32"/>
          <w:highlight w:val="none"/>
          <w:lang w:val="en-US" w:eastAsia="zh-CN"/>
        </w:rPr>
        <w:t>2</w:t>
      </w:r>
      <w:r>
        <w:rPr>
          <w:rFonts w:hint="eastAsia" w:ascii="仿宋_GB2312" w:hAnsi="仿宋_GB2312" w:eastAsia="仿宋_GB2312" w:cs="仿宋_GB2312"/>
          <w:b w:val="0"/>
          <w:sz w:val="32"/>
          <w:highlight w:val="none"/>
          <w:lang w:val="en-US" w:eastAsia="zh-CN"/>
        </w:rPr>
        <w:t>名，</w:t>
      </w:r>
      <w:r>
        <w:rPr>
          <w:rFonts w:hint="default" w:ascii="Times New Roman" w:hAnsi="Times New Roman" w:eastAsia="仿宋_GB2312" w:cs="Times New Roman"/>
          <w:b w:val="0"/>
          <w:sz w:val="32"/>
          <w:highlight w:val="none"/>
          <w:lang w:val="en-US" w:eastAsia="zh-CN"/>
        </w:rPr>
        <w:t>3</w:t>
      </w:r>
      <w:r>
        <w:rPr>
          <w:rFonts w:hint="eastAsia" w:ascii="仿宋_GB2312" w:hAnsi="仿宋_GB2312" w:eastAsia="仿宋_GB2312" w:cs="仿宋_GB2312"/>
          <w:b w:val="0"/>
          <w:sz w:val="32"/>
          <w:highlight w:val="none"/>
        </w:rPr>
        <w:t>名独立董</w:t>
      </w:r>
      <w:r>
        <w:rPr>
          <w:rFonts w:hint="eastAsia" w:ascii="仿宋_GB2312" w:hAnsi="仿宋_GB2312" w:eastAsia="仿宋_GB2312" w:cs="仿宋_GB2312"/>
          <w:b w:val="0"/>
          <w:color w:val="auto"/>
          <w:sz w:val="32"/>
          <w:highlight w:val="none"/>
        </w:rPr>
        <w:t>事。</w:t>
      </w:r>
    </w:p>
    <w:p w14:paraId="73525D02">
      <w:pPr>
        <w:keepNext w:val="0"/>
        <w:keepLines w:val="0"/>
        <w:pageBreakBefore w:val="0"/>
        <w:kinsoku/>
        <w:wordWrap/>
        <w:overflowPunct/>
        <w:autoSpaceDE/>
        <w:autoSpaceDN/>
        <w:bidi w:val="0"/>
        <w:adjustRightInd w:val="0"/>
        <w:snapToGrid w:val="0"/>
        <w:spacing w:line="560" w:lineRule="exact"/>
        <w:ind w:firstLine="640" w:firstLineChars="200"/>
        <w:textAlignment w:val="baseline"/>
        <w:outlineLvl w:val="2"/>
        <w:rPr>
          <w:rFonts w:ascii="Times New Roman" w:hAnsi="Times New Roman" w:eastAsia="黑体"/>
          <w:bCs/>
          <w:sz w:val="32"/>
          <w:szCs w:val="32"/>
          <w:highlight w:val="none"/>
        </w:rPr>
      </w:pPr>
      <w:bookmarkStart w:id="19" w:name="_Toc193883072"/>
      <w:r>
        <w:rPr>
          <w:rFonts w:ascii="Times New Roman" w:hAnsi="Times New Roman" w:eastAsia="黑体"/>
          <w:bCs/>
          <w:sz w:val="32"/>
          <w:szCs w:val="32"/>
          <w:highlight w:val="none"/>
        </w:rPr>
        <w:t>（</w:t>
      </w:r>
      <w:r>
        <w:rPr>
          <w:rFonts w:hint="eastAsia" w:ascii="Times New Roman" w:hAnsi="Times New Roman" w:eastAsia="黑体"/>
          <w:bCs/>
          <w:sz w:val="32"/>
          <w:szCs w:val="32"/>
          <w:highlight w:val="none"/>
        </w:rPr>
        <w:t>二</w:t>
      </w:r>
      <w:r>
        <w:rPr>
          <w:rFonts w:ascii="Times New Roman" w:hAnsi="Times New Roman" w:eastAsia="黑体"/>
          <w:bCs/>
          <w:sz w:val="32"/>
          <w:szCs w:val="32"/>
          <w:highlight w:val="none"/>
        </w:rPr>
        <w:t>）</w:t>
      </w:r>
      <w:r>
        <w:rPr>
          <w:rFonts w:hint="eastAsia" w:ascii="Times New Roman" w:hAnsi="Times New Roman" w:eastAsia="黑体"/>
          <w:bCs/>
          <w:sz w:val="32"/>
          <w:szCs w:val="32"/>
          <w:highlight w:val="none"/>
        </w:rPr>
        <w:t>董事会工作情况</w:t>
      </w:r>
      <w:bookmarkEnd w:id="19"/>
    </w:p>
    <w:p w14:paraId="67AF3BCA">
      <w:pPr>
        <w:ind w:firstLine="640" w:firstLineChars="200"/>
        <w:rPr>
          <w:rFonts w:hint="eastAsia" w:ascii="Times New Roman" w:hAnsi="Times New Roman" w:eastAsia="仿宋_GB2312" w:cs="Times New Roman"/>
          <w:sz w:val="32"/>
          <w:highlight w:val="none"/>
        </w:rPr>
      </w:pPr>
      <w:r>
        <w:rPr>
          <w:rFonts w:hint="eastAsia" w:ascii="Times New Roman" w:hAnsi="Times New Roman" w:eastAsia="仿宋_GB2312" w:cs="Times New Roman"/>
          <w:b w:val="0"/>
          <w:sz w:val="32"/>
          <w:highlight w:val="none"/>
          <w:lang w:eastAsia="zh-CN"/>
        </w:rPr>
        <w:t>职责主要包括</w:t>
      </w:r>
      <w:r>
        <w:rPr>
          <w:rFonts w:hint="default" w:ascii="Times New Roman" w:hAnsi="Times New Roman" w:eastAsia="仿宋_GB2312" w:cs="Times New Roman"/>
          <w:b w:val="0"/>
          <w:sz w:val="32"/>
          <w:highlight w:val="none"/>
        </w:rPr>
        <w:t>召集股东大会，每年定期向股东大会报告工作</w:t>
      </w:r>
      <w:r>
        <w:rPr>
          <w:rFonts w:hint="eastAsia" w:ascii="Times New Roman" w:hAnsi="Times New Roman" w:eastAsia="仿宋_GB2312" w:cs="Times New Roman"/>
          <w:b w:val="0"/>
          <w:sz w:val="32"/>
          <w:highlight w:val="none"/>
          <w:lang w:eastAsia="zh-CN"/>
        </w:rPr>
        <w:t>；</w:t>
      </w:r>
      <w:r>
        <w:rPr>
          <w:rFonts w:hint="default" w:ascii="Times New Roman" w:hAnsi="Times New Roman" w:eastAsia="仿宋_GB2312" w:cs="Times New Roman"/>
          <w:b w:val="0"/>
          <w:sz w:val="32"/>
          <w:highlight w:val="none"/>
        </w:rPr>
        <w:t>执行股东大会决议</w:t>
      </w:r>
      <w:r>
        <w:rPr>
          <w:rFonts w:hint="eastAsia" w:ascii="Times New Roman" w:hAnsi="Times New Roman" w:eastAsia="仿宋_GB2312" w:cs="Times New Roman"/>
          <w:b w:val="0"/>
          <w:sz w:val="32"/>
          <w:highlight w:val="none"/>
          <w:lang w:eastAsia="zh-CN"/>
        </w:rPr>
        <w:t>；</w:t>
      </w:r>
      <w:r>
        <w:rPr>
          <w:rFonts w:hint="default" w:ascii="Times New Roman" w:hAnsi="Times New Roman" w:eastAsia="仿宋_GB2312" w:cs="Times New Roman"/>
          <w:b w:val="0"/>
          <w:sz w:val="32"/>
          <w:highlight w:val="none"/>
        </w:rPr>
        <w:t>制订行业基本自律制度</w:t>
      </w:r>
      <w:r>
        <w:rPr>
          <w:rFonts w:hint="eastAsia" w:ascii="Times New Roman" w:hAnsi="Times New Roman" w:eastAsia="仿宋_GB2312" w:cs="Times New Roman"/>
          <w:b w:val="0"/>
          <w:sz w:val="32"/>
          <w:highlight w:val="none"/>
          <w:lang w:eastAsia="zh-CN"/>
        </w:rPr>
        <w:t>；</w:t>
      </w:r>
      <w:r>
        <w:rPr>
          <w:rFonts w:hint="default" w:ascii="Times New Roman" w:hAnsi="Times New Roman" w:eastAsia="仿宋_GB2312" w:cs="Times New Roman"/>
          <w:b w:val="0"/>
          <w:sz w:val="32"/>
          <w:highlight w:val="none"/>
        </w:rPr>
        <w:t>制订本行的发展方针和工作规划</w:t>
      </w:r>
      <w:r>
        <w:rPr>
          <w:rFonts w:hint="eastAsia" w:ascii="Times New Roman" w:hAnsi="Times New Roman" w:eastAsia="仿宋_GB2312" w:cs="Times New Roman"/>
          <w:b w:val="0"/>
          <w:sz w:val="32"/>
          <w:highlight w:val="none"/>
          <w:lang w:eastAsia="zh-CN"/>
        </w:rPr>
        <w:t>；</w:t>
      </w:r>
      <w:r>
        <w:rPr>
          <w:rFonts w:hint="default" w:ascii="Times New Roman" w:hAnsi="Times New Roman" w:eastAsia="仿宋_GB2312" w:cs="Times New Roman"/>
          <w:b w:val="0"/>
          <w:sz w:val="32"/>
          <w:highlight w:val="none"/>
        </w:rPr>
        <w:t>制订本行年度财务预决算方案、利润分配方案和弥补亏损方案、大额捐赠及系统内定向扶持方案</w:t>
      </w:r>
      <w:r>
        <w:rPr>
          <w:rFonts w:hint="eastAsia" w:ascii="Times New Roman" w:hAnsi="Times New Roman" w:eastAsia="仿宋_GB2312" w:cs="Times New Roman"/>
          <w:b w:val="0"/>
          <w:sz w:val="32"/>
          <w:highlight w:val="none"/>
          <w:lang w:eastAsia="zh-CN"/>
        </w:rPr>
        <w:t>；</w:t>
      </w:r>
      <w:r>
        <w:rPr>
          <w:rFonts w:hint="default" w:ascii="Times New Roman" w:hAnsi="Times New Roman" w:eastAsia="仿宋_GB2312" w:cs="Times New Roman"/>
          <w:b w:val="0"/>
          <w:sz w:val="32"/>
          <w:highlight w:val="none"/>
        </w:rPr>
        <w:t>制订行业风险管理制度</w:t>
      </w:r>
      <w:r>
        <w:rPr>
          <w:rFonts w:hint="eastAsia" w:ascii="Times New Roman" w:hAnsi="Times New Roman" w:eastAsia="仿宋_GB2312" w:cs="Times New Roman"/>
          <w:b w:val="0"/>
          <w:sz w:val="32"/>
          <w:highlight w:val="none"/>
          <w:lang w:eastAsia="zh-CN"/>
        </w:rPr>
        <w:t>；</w:t>
      </w:r>
      <w:r>
        <w:rPr>
          <w:rFonts w:hint="default" w:ascii="Times New Roman" w:hAnsi="Times New Roman" w:eastAsia="仿宋_GB2312" w:cs="Times New Roman"/>
          <w:b w:val="0"/>
          <w:sz w:val="32"/>
          <w:highlight w:val="none"/>
        </w:rPr>
        <w:t>拟订本行变更注册资本的方案</w:t>
      </w:r>
      <w:r>
        <w:rPr>
          <w:rFonts w:hint="eastAsia" w:ascii="Times New Roman" w:hAnsi="Times New Roman" w:eastAsia="仿宋_GB2312" w:cs="Times New Roman"/>
          <w:b w:val="0"/>
          <w:sz w:val="32"/>
          <w:highlight w:val="none"/>
          <w:lang w:eastAsia="zh-CN"/>
        </w:rPr>
        <w:t>；</w:t>
      </w:r>
      <w:r>
        <w:rPr>
          <w:rFonts w:hint="default" w:ascii="Times New Roman" w:hAnsi="Times New Roman" w:eastAsia="仿宋_GB2312" w:cs="Times New Roman"/>
          <w:b w:val="0"/>
          <w:sz w:val="32"/>
          <w:highlight w:val="none"/>
        </w:rPr>
        <w:t>制定本行内设部门设置的具体方案</w:t>
      </w:r>
      <w:r>
        <w:rPr>
          <w:rFonts w:hint="eastAsia" w:ascii="Times New Roman" w:hAnsi="Times New Roman" w:eastAsia="仿宋_GB2312" w:cs="Times New Roman"/>
          <w:b w:val="0"/>
          <w:sz w:val="32"/>
          <w:highlight w:val="none"/>
          <w:lang w:eastAsia="zh-CN"/>
        </w:rPr>
        <w:t>；</w:t>
      </w:r>
      <w:r>
        <w:rPr>
          <w:rFonts w:hint="default" w:ascii="Times New Roman" w:hAnsi="Times New Roman" w:eastAsia="仿宋_GB2312" w:cs="Times New Roman"/>
          <w:b w:val="0"/>
          <w:sz w:val="32"/>
          <w:highlight w:val="none"/>
        </w:rPr>
        <w:t>拟订本行内设部门和人员编制的总体方案</w:t>
      </w:r>
      <w:r>
        <w:rPr>
          <w:rFonts w:hint="eastAsia" w:ascii="Times New Roman" w:hAnsi="Times New Roman" w:eastAsia="仿宋_GB2312" w:cs="Times New Roman"/>
          <w:b w:val="0"/>
          <w:sz w:val="32"/>
          <w:highlight w:val="none"/>
          <w:lang w:eastAsia="zh-CN"/>
        </w:rPr>
        <w:t>；</w:t>
      </w:r>
      <w:r>
        <w:rPr>
          <w:rFonts w:hint="default" w:ascii="Times New Roman" w:hAnsi="Times New Roman" w:eastAsia="仿宋_GB2312" w:cs="Times New Roman"/>
          <w:b w:val="0"/>
          <w:sz w:val="32"/>
          <w:highlight w:val="none"/>
        </w:rPr>
        <w:t>拟订本行合并、分立、解散和清算等事项的方案</w:t>
      </w:r>
      <w:r>
        <w:rPr>
          <w:rFonts w:hint="eastAsia" w:ascii="Times New Roman" w:hAnsi="Times New Roman" w:eastAsia="仿宋_GB2312" w:cs="Times New Roman"/>
          <w:b w:val="0"/>
          <w:sz w:val="32"/>
          <w:highlight w:val="none"/>
          <w:lang w:eastAsia="zh-CN"/>
        </w:rPr>
        <w:t>；</w:t>
      </w:r>
      <w:r>
        <w:rPr>
          <w:rFonts w:hint="default" w:ascii="Times New Roman" w:hAnsi="Times New Roman" w:eastAsia="仿宋_GB2312" w:cs="Times New Roman"/>
          <w:b w:val="0"/>
          <w:sz w:val="32"/>
          <w:highlight w:val="none"/>
        </w:rPr>
        <w:t>提出聘请或解聘为本行审计的会计师事务所方案</w:t>
      </w:r>
      <w:r>
        <w:rPr>
          <w:rFonts w:hint="eastAsia" w:ascii="Times New Roman" w:hAnsi="Times New Roman" w:eastAsia="仿宋_GB2312" w:cs="Times New Roman"/>
          <w:b w:val="0"/>
          <w:sz w:val="32"/>
          <w:highlight w:val="none"/>
          <w:lang w:eastAsia="zh-CN"/>
        </w:rPr>
        <w:t>；</w:t>
      </w:r>
      <w:r>
        <w:rPr>
          <w:rFonts w:hint="default" w:ascii="Times New Roman" w:hAnsi="Times New Roman" w:eastAsia="仿宋_GB2312" w:cs="Times New Roman"/>
          <w:b w:val="0"/>
          <w:sz w:val="32"/>
          <w:highlight w:val="none"/>
        </w:rPr>
        <w:t>根据行管部门意见拟定本行行业服务费用的收取标准</w:t>
      </w:r>
      <w:r>
        <w:rPr>
          <w:rFonts w:hint="eastAsia" w:ascii="Times New Roman" w:hAnsi="Times New Roman" w:eastAsia="仿宋_GB2312" w:cs="Times New Roman"/>
          <w:b w:val="0"/>
          <w:sz w:val="32"/>
          <w:highlight w:val="none"/>
          <w:lang w:eastAsia="zh-CN"/>
        </w:rPr>
        <w:t>；</w:t>
      </w:r>
      <w:r>
        <w:rPr>
          <w:rFonts w:hint="default" w:ascii="Times New Roman" w:hAnsi="Times New Roman" w:eastAsia="仿宋_GB2312" w:cs="Times New Roman"/>
          <w:b w:val="0"/>
          <w:sz w:val="32"/>
          <w:highlight w:val="none"/>
        </w:rPr>
        <w:t>制定本行高级管理人员及职工薪酬具体方案</w:t>
      </w:r>
      <w:r>
        <w:rPr>
          <w:rFonts w:hint="eastAsia" w:ascii="Times New Roman" w:hAnsi="Times New Roman" w:eastAsia="仿宋_GB2312" w:cs="Times New Roman"/>
          <w:b w:val="0"/>
          <w:sz w:val="32"/>
          <w:highlight w:val="none"/>
          <w:lang w:eastAsia="zh-CN"/>
        </w:rPr>
        <w:t>；</w:t>
      </w:r>
      <w:r>
        <w:rPr>
          <w:rFonts w:hint="default" w:ascii="Times New Roman" w:hAnsi="Times New Roman" w:eastAsia="仿宋_GB2312" w:cs="Times New Roman"/>
          <w:b w:val="0"/>
          <w:sz w:val="32"/>
          <w:highlight w:val="none"/>
        </w:rPr>
        <w:t>确定本行服务业务范围、内部管理和内部控制制度</w:t>
      </w:r>
      <w:r>
        <w:rPr>
          <w:rFonts w:hint="eastAsia" w:ascii="Times New Roman" w:hAnsi="Times New Roman" w:eastAsia="仿宋_GB2312" w:cs="Times New Roman"/>
          <w:b w:val="0"/>
          <w:sz w:val="32"/>
          <w:highlight w:val="none"/>
          <w:lang w:eastAsia="zh-CN"/>
        </w:rPr>
        <w:t>；</w:t>
      </w:r>
      <w:r>
        <w:rPr>
          <w:rFonts w:hint="default" w:ascii="Times New Roman" w:hAnsi="Times New Roman" w:eastAsia="仿宋_GB2312" w:cs="Times New Roman"/>
          <w:b w:val="0"/>
          <w:sz w:val="32"/>
          <w:highlight w:val="none"/>
        </w:rPr>
        <w:t>审议本行风险管理制度、策略，设立风险偏好；审批重大风险管理政策和程序；审议全面风险管理报告；审批全面风险和各类重要风险的披露</w:t>
      </w:r>
      <w:r>
        <w:rPr>
          <w:rFonts w:hint="eastAsia" w:ascii="Times New Roman" w:hAnsi="Times New Roman" w:eastAsia="仿宋_GB2312" w:cs="Times New Roman"/>
          <w:b w:val="0"/>
          <w:sz w:val="32"/>
          <w:highlight w:val="none"/>
          <w:lang w:eastAsia="zh-CN"/>
        </w:rPr>
        <w:t>；</w:t>
      </w:r>
      <w:r>
        <w:rPr>
          <w:rFonts w:hint="default" w:ascii="Times New Roman" w:hAnsi="Times New Roman" w:eastAsia="仿宋_GB2312" w:cs="Times New Roman"/>
          <w:b w:val="0"/>
          <w:sz w:val="32"/>
          <w:highlight w:val="none"/>
        </w:rPr>
        <w:t>确定下设各专业委员会的工作职责</w:t>
      </w:r>
      <w:r>
        <w:rPr>
          <w:rFonts w:hint="eastAsia" w:ascii="Times New Roman" w:hAnsi="Times New Roman" w:eastAsia="仿宋_GB2312" w:cs="Times New Roman"/>
          <w:b w:val="0"/>
          <w:sz w:val="32"/>
          <w:highlight w:val="none"/>
          <w:lang w:eastAsia="zh-CN"/>
        </w:rPr>
        <w:t>；</w:t>
      </w:r>
      <w:r>
        <w:rPr>
          <w:rFonts w:hint="default" w:ascii="Times New Roman" w:hAnsi="Times New Roman" w:eastAsia="仿宋_GB2312" w:cs="Times New Roman"/>
          <w:b w:val="0"/>
          <w:sz w:val="32"/>
          <w:highlight w:val="none"/>
        </w:rPr>
        <w:t>聘任或解聘本行行长，根据行长提名，聘任或解聘副行长、风险总监、财务和审计、稽核部门负责人等</w:t>
      </w:r>
      <w:r>
        <w:rPr>
          <w:rFonts w:hint="eastAsia" w:ascii="Times New Roman" w:hAnsi="Times New Roman" w:eastAsia="仿宋_GB2312" w:cs="Times New Roman"/>
          <w:b w:val="0"/>
          <w:sz w:val="32"/>
          <w:highlight w:val="none"/>
          <w:lang w:eastAsia="zh-CN"/>
        </w:rPr>
        <w:t>；</w:t>
      </w:r>
      <w:r>
        <w:rPr>
          <w:rFonts w:hint="default" w:ascii="Times New Roman" w:hAnsi="Times New Roman" w:eastAsia="仿宋_GB2312" w:cs="Times New Roman"/>
          <w:b w:val="0"/>
          <w:sz w:val="32"/>
          <w:highlight w:val="none"/>
        </w:rPr>
        <w:t>重大项目安排及大额资金使用</w:t>
      </w:r>
      <w:r>
        <w:rPr>
          <w:rFonts w:hint="eastAsia" w:ascii="Times New Roman" w:hAnsi="Times New Roman" w:eastAsia="仿宋_GB2312" w:cs="Times New Roman"/>
          <w:sz w:val="32"/>
          <w:highlight w:val="none"/>
          <w:lang w:eastAsia="zh-CN"/>
        </w:rPr>
        <w:t>；</w:t>
      </w:r>
      <w:r>
        <w:rPr>
          <w:rFonts w:hint="eastAsia" w:ascii="Times New Roman" w:hAnsi="Times New Roman" w:eastAsia="仿宋_GB2312" w:cs="Times New Roman"/>
          <w:sz w:val="32"/>
          <w:highlight w:val="none"/>
        </w:rPr>
        <w:t>监督并确保本行高级管理层履行职责</w:t>
      </w:r>
      <w:r>
        <w:rPr>
          <w:rFonts w:hint="eastAsia" w:ascii="Times New Roman" w:hAnsi="Times New Roman" w:eastAsia="仿宋_GB2312" w:cs="Times New Roman"/>
          <w:sz w:val="32"/>
          <w:highlight w:val="none"/>
          <w:lang w:eastAsia="zh-CN"/>
        </w:rPr>
        <w:t>；</w:t>
      </w:r>
      <w:r>
        <w:rPr>
          <w:rFonts w:hint="eastAsia" w:ascii="Times New Roman" w:hAnsi="Times New Roman" w:eastAsia="仿宋_GB2312" w:cs="Times New Roman"/>
          <w:sz w:val="32"/>
          <w:highlight w:val="none"/>
        </w:rPr>
        <w:t>指导、监督本行网点履职并负责对其考核评价</w:t>
      </w:r>
      <w:r>
        <w:rPr>
          <w:rFonts w:hint="eastAsia" w:ascii="Times New Roman" w:hAnsi="Times New Roman" w:eastAsia="仿宋_GB2312" w:cs="Times New Roman"/>
          <w:sz w:val="32"/>
          <w:highlight w:val="none"/>
          <w:lang w:eastAsia="zh-CN"/>
        </w:rPr>
        <w:t>；</w:t>
      </w:r>
      <w:r>
        <w:rPr>
          <w:rFonts w:hint="eastAsia" w:ascii="Times New Roman" w:hAnsi="Times New Roman" w:eastAsia="仿宋_GB2312" w:cs="Times New Roman"/>
          <w:sz w:val="32"/>
          <w:highlight w:val="none"/>
        </w:rPr>
        <w:t>根据法律法规，对违法违规违纪人员提出处理意见</w:t>
      </w:r>
      <w:r>
        <w:rPr>
          <w:rFonts w:hint="eastAsia" w:ascii="Times New Roman" w:hAnsi="Times New Roman" w:eastAsia="仿宋_GB2312" w:cs="Times New Roman"/>
          <w:sz w:val="32"/>
          <w:highlight w:val="none"/>
          <w:lang w:eastAsia="zh-CN"/>
        </w:rPr>
        <w:t>；</w:t>
      </w:r>
      <w:r>
        <w:rPr>
          <w:rFonts w:hint="eastAsia" w:ascii="Times New Roman" w:hAnsi="Times New Roman" w:eastAsia="仿宋_GB2312" w:cs="Times New Roman"/>
          <w:sz w:val="32"/>
          <w:highlight w:val="none"/>
        </w:rPr>
        <w:t>听取本行行长工作汇报并予以评价</w:t>
      </w:r>
      <w:r>
        <w:rPr>
          <w:rFonts w:hint="eastAsia" w:ascii="Times New Roman" w:hAnsi="Times New Roman" w:eastAsia="仿宋_GB2312" w:cs="Times New Roman"/>
          <w:sz w:val="32"/>
          <w:highlight w:val="none"/>
          <w:lang w:eastAsia="zh-CN"/>
        </w:rPr>
        <w:t>；</w:t>
      </w:r>
      <w:r>
        <w:rPr>
          <w:rFonts w:hint="eastAsia" w:ascii="Times New Roman" w:hAnsi="Times New Roman" w:eastAsia="仿宋_GB2312" w:cs="Times New Roman"/>
          <w:sz w:val="32"/>
          <w:highlight w:val="none"/>
        </w:rPr>
        <w:t>监督本行执行国家法律法规和政策</w:t>
      </w:r>
      <w:r>
        <w:rPr>
          <w:rFonts w:hint="eastAsia" w:ascii="Times New Roman" w:hAnsi="Times New Roman" w:eastAsia="仿宋_GB2312" w:cs="Times New Roman"/>
          <w:sz w:val="32"/>
          <w:highlight w:val="none"/>
          <w:lang w:eastAsia="zh-CN"/>
        </w:rPr>
        <w:t>；</w:t>
      </w:r>
      <w:r>
        <w:rPr>
          <w:rFonts w:hint="eastAsia" w:ascii="Times New Roman" w:hAnsi="Times New Roman" w:eastAsia="仿宋_GB2312" w:cs="Times New Roman"/>
          <w:sz w:val="32"/>
          <w:highlight w:val="none"/>
        </w:rPr>
        <w:t>监督本行业务活动的合法合规性</w:t>
      </w:r>
      <w:r>
        <w:rPr>
          <w:rFonts w:hint="eastAsia" w:ascii="Times New Roman" w:hAnsi="Times New Roman" w:eastAsia="仿宋_GB2312" w:cs="Times New Roman"/>
          <w:sz w:val="32"/>
          <w:highlight w:val="none"/>
          <w:lang w:eastAsia="zh-CN"/>
        </w:rPr>
        <w:t>；</w:t>
      </w:r>
      <w:r>
        <w:rPr>
          <w:rFonts w:hint="eastAsia" w:ascii="Times New Roman" w:hAnsi="Times New Roman" w:eastAsia="仿宋_GB2312" w:cs="Times New Roman"/>
          <w:sz w:val="32"/>
          <w:highlight w:val="none"/>
        </w:rPr>
        <w:t>国家法律法规和股东大会授予的其他职权。</w:t>
      </w:r>
    </w:p>
    <w:p w14:paraId="34E26DA8">
      <w:pPr>
        <w:ind w:firstLine="640" w:firstLineChars="200"/>
        <w:rPr>
          <w:rFonts w:hint="eastAsia" w:ascii="Times New Roman" w:hAnsi="Times New Roman" w:eastAsia="仿宋_GB2312" w:cs="Times New Roman"/>
          <w:b w:val="0"/>
          <w:color w:val="auto"/>
          <w:sz w:val="32"/>
          <w:highlight w:val="none"/>
          <w:lang w:eastAsia="zh-CN"/>
        </w:rPr>
      </w:pPr>
      <w:r>
        <w:rPr>
          <w:rFonts w:hint="eastAsia" w:ascii="仿宋_GB2312" w:hAnsi="仿宋_GB2312" w:eastAsia="仿宋_GB2312" w:cs="仿宋_GB2312"/>
          <w:color w:val="auto"/>
          <w:sz w:val="32"/>
          <w:highlight w:val="none"/>
          <w:lang w:val="en-US" w:eastAsia="zh-CN"/>
        </w:rPr>
        <w:t>2024年</w:t>
      </w:r>
      <w:r>
        <w:rPr>
          <w:rFonts w:hint="eastAsia" w:ascii="仿宋_GB2312" w:hAnsi="仿宋_GB2312" w:eastAsia="仿宋_GB2312" w:cs="仿宋_GB2312"/>
          <w:color w:val="auto"/>
          <w:sz w:val="32"/>
          <w:highlight w:val="none"/>
        </w:rPr>
        <w:t>我行董事会共召开</w:t>
      </w:r>
      <w:r>
        <w:rPr>
          <w:rFonts w:hint="eastAsia" w:ascii="Times New Roman" w:hAnsi="Times New Roman" w:eastAsia="仿宋_GB2312" w:cs="Times New Roman"/>
          <w:color w:val="auto"/>
          <w:sz w:val="32"/>
          <w:highlight w:val="none"/>
          <w:lang w:val="en-US" w:eastAsia="zh-CN"/>
        </w:rPr>
        <w:t>7</w:t>
      </w:r>
      <w:r>
        <w:rPr>
          <w:rFonts w:hint="eastAsia" w:ascii="仿宋_GB2312" w:hAnsi="仿宋_GB2312" w:eastAsia="仿宋_GB2312" w:cs="仿宋_GB2312"/>
          <w:color w:val="auto"/>
          <w:sz w:val="32"/>
          <w:highlight w:val="none"/>
        </w:rPr>
        <w:t>次会议，审议表决通过了</w:t>
      </w:r>
      <w:r>
        <w:rPr>
          <w:rFonts w:hint="eastAsia" w:ascii="Times New Roman" w:hAnsi="Times New Roman" w:eastAsia="仿宋_GB2312" w:cs="Times New Roman"/>
          <w:color w:val="auto"/>
          <w:sz w:val="32"/>
          <w:highlight w:val="none"/>
          <w:lang w:val="en-US" w:eastAsia="zh-CN"/>
        </w:rPr>
        <w:t>55</w:t>
      </w:r>
      <w:r>
        <w:rPr>
          <w:rFonts w:hint="eastAsia" w:ascii="仿宋_GB2312" w:hAnsi="仿宋_GB2312" w:eastAsia="仿宋_GB2312" w:cs="仿宋_GB2312"/>
          <w:color w:val="auto"/>
          <w:sz w:val="32"/>
          <w:highlight w:val="none"/>
        </w:rPr>
        <w:t>项决议</w:t>
      </w:r>
      <w:r>
        <w:rPr>
          <w:rFonts w:hint="eastAsia" w:ascii="仿宋_GB2312" w:hAnsi="仿宋_GB2312" w:eastAsia="仿宋_GB2312" w:cs="仿宋_GB2312"/>
          <w:color w:val="auto"/>
          <w:sz w:val="32"/>
          <w:highlight w:val="none"/>
          <w:lang w:eastAsia="zh-CN"/>
        </w:rPr>
        <w:t>。</w:t>
      </w:r>
    </w:p>
    <w:p w14:paraId="410EC382">
      <w:pPr>
        <w:pStyle w:val="5"/>
        <w:numPr>
          <w:ilvl w:val="0"/>
          <w:numId w:val="0"/>
        </w:numPr>
        <w:spacing w:line="480" w:lineRule="exact"/>
        <w:ind w:firstLine="600"/>
        <w:outlineLvl w:val="2"/>
        <w:rPr>
          <w:rFonts w:hint="default" w:ascii="仿宋_GB2312" w:hAnsi="仿宋_GB2312" w:eastAsia="仿宋_GB2312" w:cs="仿宋_GB2312"/>
          <w:color w:val="auto"/>
          <w:sz w:val="30"/>
          <w:szCs w:val="30"/>
          <w:highlight w:val="none"/>
          <w:lang w:val="en-US" w:eastAsia="zh-CN"/>
        </w:rPr>
      </w:pPr>
      <w:r>
        <w:rPr>
          <w:rFonts w:ascii="Times New Roman" w:hAnsi="Times New Roman" w:eastAsia="黑体"/>
          <w:sz w:val="32"/>
          <w:szCs w:val="32"/>
          <w:highlight w:val="none"/>
        </w:rPr>
        <w:t>（</w:t>
      </w:r>
      <w:r>
        <w:rPr>
          <w:rFonts w:hint="eastAsia" w:ascii="Times New Roman" w:hAnsi="Times New Roman" w:eastAsia="黑体"/>
          <w:sz w:val="32"/>
          <w:szCs w:val="32"/>
          <w:highlight w:val="none"/>
        </w:rPr>
        <w:t>三</w:t>
      </w:r>
      <w:r>
        <w:rPr>
          <w:rFonts w:ascii="Times New Roman" w:hAnsi="Times New Roman" w:eastAsia="黑体"/>
          <w:sz w:val="32"/>
          <w:szCs w:val="32"/>
          <w:highlight w:val="none"/>
        </w:rPr>
        <w:t>）</w:t>
      </w:r>
      <w:r>
        <w:rPr>
          <w:rFonts w:hint="eastAsia" w:ascii="Times New Roman" w:hAnsi="Times New Roman" w:eastAsia="黑体"/>
          <w:sz w:val="32"/>
          <w:szCs w:val="32"/>
          <w:highlight w:val="none"/>
        </w:rPr>
        <w:t>董事会专门委员会运行情况</w:t>
      </w:r>
    </w:p>
    <w:p w14:paraId="2FAB1937">
      <w:pPr>
        <w:pStyle w:val="5"/>
        <w:keepNext w:val="0"/>
        <w:keepLines w:val="0"/>
        <w:pageBreakBefore w:val="0"/>
        <w:widowControl w:val="0"/>
        <w:kinsoku/>
        <w:wordWrap/>
        <w:overflowPunct/>
        <w:topLinePunct w:val="0"/>
        <w:autoSpaceDE/>
        <w:autoSpaceDN/>
        <w:bidi w:val="0"/>
        <w:adjustRightInd/>
        <w:snapToGrid/>
        <w:spacing w:line="560" w:lineRule="exact"/>
        <w:ind w:firstLine="601"/>
        <w:textAlignment w:val="auto"/>
        <w:rPr>
          <w:rFonts w:hint="default" w:ascii="仿宋_GB2312" w:hAnsi="仿宋_GB2312" w:eastAsia="仿宋_GB2312" w:cs="仿宋_GB2312"/>
          <w:kern w:val="2"/>
          <w:sz w:val="32"/>
          <w:szCs w:val="22"/>
          <w:highlight w:val="none"/>
          <w:lang w:val="en-US" w:eastAsia="zh-CN" w:bidi="ar-SA"/>
        </w:rPr>
      </w:pPr>
      <w:r>
        <w:rPr>
          <w:rFonts w:hint="eastAsia" w:ascii="仿宋_GB2312" w:hAnsi="仿宋_GB2312" w:eastAsia="仿宋_GB2312" w:cs="仿宋_GB2312"/>
          <w:kern w:val="2"/>
          <w:sz w:val="32"/>
          <w:szCs w:val="22"/>
          <w:highlight w:val="none"/>
          <w:lang w:val="en-US" w:eastAsia="zh-CN" w:bidi="ar-SA"/>
        </w:rPr>
        <w:t>惠水农商银行董事会下设提名与薪酬委员会、战略委员会、审计委员会、</w:t>
      </w:r>
      <w:r>
        <w:rPr>
          <w:rFonts w:hint="eastAsia" w:ascii="仿宋_GB2312" w:hAnsi="仿宋_GB2312" w:cs="仿宋_GB2312"/>
          <w:kern w:val="2"/>
          <w:sz w:val="32"/>
          <w:szCs w:val="22"/>
          <w:highlight w:val="none"/>
          <w:lang w:val="en-US" w:eastAsia="zh-CN" w:bidi="ar-SA"/>
        </w:rPr>
        <w:t>合规与</w:t>
      </w:r>
      <w:r>
        <w:rPr>
          <w:rFonts w:hint="eastAsia" w:ascii="仿宋_GB2312" w:hAnsi="仿宋_GB2312" w:eastAsia="仿宋_GB2312" w:cs="仿宋_GB2312"/>
          <w:kern w:val="2"/>
          <w:sz w:val="32"/>
          <w:szCs w:val="22"/>
          <w:highlight w:val="none"/>
          <w:lang w:val="en-US" w:eastAsia="zh-CN" w:bidi="ar-SA"/>
        </w:rPr>
        <w:t>关联交易控制委员会、风险管理委员会、“三农”金融发展委员会、消费者权益保护委员会、信息科技管理委员会等八个专门委员会和董事会办公室。各专门委员会分别制订有相应的议事规则和主要职责，并按照议事规则召开会议、履行职</w:t>
      </w:r>
      <w:r>
        <w:rPr>
          <w:rFonts w:hint="eastAsia" w:ascii="仿宋_GB2312" w:hAnsi="仿宋_GB2312" w:cs="仿宋_GB2312"/>
          <w:kern w:val="2"/>
          <w:sz w:val="32"/>
          <w:szCs w:val="22"/>
          <w:highlight w:val="none"/>
          <w:lang w:val="en-US" w:eastAsia="zh-CN" w:bidi="ar-SA"/>
        </w:rPr>
        <w:t>责</w:t>
      </w:r>
      <w:r>
        <w:rPr>
          <w:rFonts w:hint="eastAsia" w:ascii="仿宋_GB2312" w:hAnsi="仿宋_GB2312" w:cs="仿宋_GB2312"/>
          <w:color w:val="auto"/>
          <w:kern w:val="2"/>
          <w:sz w:val="32"/>
          <w:szCs w:val="22"/>
          <w:highlight w:val="none"/>
          <w:lang w:val="en-US" w:eastAsia="zh-CN" w:bidi="ar-SA"/>
        </w:rPr>
        <w:t>。2024年董事会各委员会共召开会议25次，分别为</w:t>
      </w:r>
      <w:r>
        <w:rPr>
          <w:rFonts w:hint="eastAsia" w:ascii="仿宋_GB2312" w:hAnsi="仿宋_GB2312" w:eastAsia="仿宋_GB2312" w:cs="仿宋_GB2312"/>
          <w:color w:val="auto"/>
          <w:kern w:val="2"/>
          <w:sz w:val="32"/>
          <w:szCs w:val="22"/>
          <w:highlight w:val="none"/>
          <w:lang w:val="en-US" w:eastAsia="zh-CN" w:bidi="ar-SA"/>
        </w:rPr>
        <w:t>提名与薪酬委员会</w:t>
      </w:r>
      <w:r>
        <w:rPr>
          <w:rFonts w:hint="eastAsia" w:ascii="仿宋_GB2312" w:hAnsi="仿宋_GB2312" w:cs="仿宋_GB2312"/>
          <w:color w:val="auto"/>
          <w:kern w:val="2"/>
          <w:sz w:val="32"/>
          <w:szCs w:val="22"/>
          <w:highlight w:val="none"/>
          <w:lang w:val="en-US" w:eastAsia="zh-CN" w:bidi="ar-SA"/>
        </w:rPr>
        <w:t>召开会议4次；</w:t>
      </w:r>
      <w:r>
        <w:rPr>
          <w:rFonts w:hint="eastAsia" w:ascii="仿宋_GB2312" w:hAnsi="仿宋_GB2312" w:eastAsia="仿宋_GB2312" w:cs="仿宋_GB2312"/>
          <w:color w:val="auto"/>
          <w:kern w:val="2"/>
          <w:sz w:val="32"/>
          <w:szCs w:val="22"/>
          <w:highlight w:val="none"/>
          <w:lang w:val="en-US" w:eastAsia="zh-CN" w:bidi="ar-SA"/>
        </w:rPr>
        <w:t>战略委员会</w:t>
      </w:r>
      <w:r>
        <w:rPr>
          <w:rFonts w:hint="eastAsia" w:ascii="仿宋_GB2312" w:hAnsi="仿宋_GB2312" w:cs="仿宋_GB2312"/>
          <w:color w:val="auto"/>
          <w:kern w:val="2"/>
          <w:sz w:val="32"/>
          <w:szCs w:val="22"/>
          <w:highlight w:val="none"/>
          <w:lang w:val="en-US" w:eastAsia="zh-CN" w:bidi="ar-SA"/>
        </w:rPr>
        <w:t>2次；</w:t>
      </w:r>
      <w:r>
        <w:rPr>
          <w:rFonts w:hint="eastAsia" w:ascii="仿宋_GB2312" w:hAnsi="仿宋_GB2312" w:eastAsia="仿宋_GB2312" w:cs="仿宋_GB2312"/>
          <w:color w:val="auto"/>
          <w:kern w:val="2"/>
          <w:sz w:val="32"/>
          <w:szCs w:val="22"/>
          <w:highlight w:val="none"/>
          <w:lang w:val="en-US" w:eastAsia="zh-CN" w:bidi="ar-SA"/>
        </w:rPr>
        <w:t>审计委员会</w:t>
      </w:r>
      <w:r>
        <w:rPr>
          <w:rFonts w:hint="eastAsia" w:ascii="仿宋_GB2312" w:hAnsi="仿宋_GB2312" w:cs="仿宋_GB2312"/>
          <w:color w:val="auto"/>
          <w:kern w:val="2"/>
          <w:sz w:val="32"/>
          <w:szCs w:val="22"/>
          <w:highlight w:val="none"/>
          <w:lang w:val="en-US" w:eastAsia="zh-CN" w:bidi="ar-SA"/>
        </w:rPr>
        <w:t>3次；合规与</w:t>
      </w:r>
      <w:r>
        <w:rPr>
          <w:rFonts w:hint="eastAsia" w:ascii="仿宋_GB2312" w:hAnsi="仿宋_GB2312" w:eastAsia="仿宋_GB2312" w:cs="仿宋_GB2312"/>
          <w:color w:val="auto"/>
          <w:kern w:val="2"/>
          <w:sz w:val="32"/>
          <w:szCs w:val="22"/>
          <w:highlight w:val="none"/>
          <w:lang w:val="en-US" w:eastAsia="zh-CN" w:bidi="ar-SA"/>
        </w:rPr>
        <w:t>关联交易控制委员会</w:t>
      </w:r>
      <w:r>
        <w:rPr>
          <w:rFonts w:hint="eastAsia" w:ascii="仿宋_GB2312" w:hAnsi="仿宋_GB2312" w:cs="仿宋_GB2312"/>
          <w:color w:val="auto"/>
          <w:kern w:val="2"/>
          <w:sz w:val="32"/>
          <w:szCs w:val="22"/>
          <w:highlight w:val="none"/>
          <w:lang w:val="en-US" w:eastAsia="zh-CN" w:bidi="ar-SA"/>
        </w:rPr>
        <w:t>3次；</w:t>
      </w:r>
      <w:r>
        <w:rPr>
          <w:rFonts w:hint="eastAsia" w:ascii="仿宋_GB2312" w:hAnsi="仿宋_GB2312" w:eastAsia="仿宋_GB2312" w:cs="仿宋_GB2312"/>
          <w:color w:val="auto"/>
          <w:kern w:val="2"/>
          <w:sz w:val="32"/>
          <w:szCs w:val="22"/>
          <w:highlight w:val="none"/>
          <w:lang w:val="en-US" w:eastAsia="zh-CN" w:bidi="ar-SA"/>
        </w:rPr>
        <w:t>风险管理委员会</w:t>
      </w:r>
      <w:r>
        <w:rPr>
          <w:rFonts w:hint="eastAsia" w:ascii="仿宋_GB2312" w:hAnsi="仿宋_GB2312" w:cs="仿宋_GB2312"/>
          <w:color w:val="auto"/>
          <w:kern w:val="2"/>
          <w:sz w:val="32"/>
          <w:szCs w:val="22"/>
          <w:highlight w:val="none"/>
          <w:lang w:val="en-US" w:eastAsia="zh-CN" w:bidi="ar-SA"/>
        </w:rPr>
        <w:t>6次；</w:t>
      </w:r>
      <w:r>
        <w:rPr>
          <w:rFonts w:hint="eastAsia" w:ascii="仿宋_GB2312" w:hAnsi="仿宋_GB2312" w:eastAsia="仿宋_GB2312" w:cs="仿宋_GB2312"/>
          <w:color w:val="auto"/>
          <w:kern w:val="2"/>
          <w:sz w:val="32"/>
          <w:szCs w:val="22"/>
          <w:highlight w:val="none"/>
          <w:lang w:val="en-US" w:eastAsia="zh-CN" w:bidi="ar-SA"/>
        </w:rPr>
        <w:t>“三农”金融发展委员会</w:t>
      </w:r>
      <w:r>
        <w:rPr>
          <w:rFonts w:hint="eastAsia" w:ascii="仿宋_GB2312" w:hAnsi="仿宋_GB2312" w:cs="仿宋_GB2312"/>
          <w:color w:val="auto"/>
          <w:kern w:val="2"/>
          <w:sz w:val="32"/>
          <w:szCs w:val="22"/>
          <w:highlight w:val="none"/>
          <w:lang w:val="en-US" w:eastAsia="zh-CN" w:bidi="ar-SA"/>
        </w:rPr>
        <w:t>1次；</w:t>
      </w:r>
      <w:r>
        <w:rPr>
          <w:rFonts w:hint="eastAsia" w:ascii="仿宋_GB2312" w:hAnsi="仿宋_GB2312" w:eastAsia="仿宋_GB2312" w:cs="仿宋_GB2312"/>
          <w:color w:val="auto"/>
          <w:kern w:val="2"/>
          <w:sz w:val="32"/>
          <w:szCs w:val="22"/>
          <w:highlight w:val="none"/>
          <w:lang w:val="en-US" w:eastAsia="zh-CN" w:bidi="ar-SA"/>
        </w:rPr>
        <w:t>消费者权益保护委员会</w:t>
      </w:r>
      <w:r>
        <w:rPr>
          <w:rFonts w:hint="eastAsia" w:ascii="仿宋_GB2312" w:hAnsi="仿宋_GB2312" w:cs="仿宋_GB2312"/>
          <w:color w:val="auto"/>
          <w:kern w:val="2"/>
          <w:sz w:val="32"/>
          <w:szCs w:val="22"/>
          <w:highlight w:val="none"/>
          <w:lang w:val="en-US" w:eastAsia="zh-CN" w:bidi="ar-SA"/>
        </w:rPr>
        <w:t>3次；</w:t>
      </w:r>
      <w:r>
        <w:rPr>
          <w:rFonts w:hint="eastAsia" w:ascii="仿宋_GB2312" w:hAnsi="仿宋_GB2312" w:eastAsia="仿宋_GB2312" w:cs="仿宋_GB2312"/>
          <w:color w:val="auto"/>
          <w:kern w:val="2"/>
          <w:sz w:val="32"/>
          <w:szCs w:val="22"/>
          <w:highlight w:val="none"/>
          <w:lang w:val="en-US" w:eastAsia="zh-CN" w:bidi="ar-SA"/>
        </w:rPr>
        <w:t>信息科技管理委员会</w:t>
      </w:r>
      <w:r>
        <w:rPr>
          <w:rFonts w:hint="eastAsia" w:ascii="仿宋_GB2312" w:hAnsi="仿宋_GB2312" w:cs="仿宋_GB2312"/>
          <w:color w:val="auto"/>
          <w:kern w:val="2"/>
          <w:sz w:val="32"/>
          <w:szCs w:val="22"/>
          <w:highlight w:val="none"/>
          <w:lang w:val="en-US" w:eastAsia="zh-CN" w:bidi="ar-SA"/>
        </w:rPr>
        <w:t>3次。</w:t>
      </w:r>
    </w:p>
    <w:p w14:paraId="31B2B715">
      <w:pPr>
        <w:pStyle w:val="5"/>
        <w:numPr>
          <w:ilvl w:val="0"/>
          <w:numId w:val="0"/>
        </w:numPr>
        <w:spacing w:line="480" w:lineRule="exact"/>
        <w:ind w:firstLine="600"/>
        <w:outlineLvl w:val="2"/>
        <w:rPr>
          <w:rFonts w:hint="eastAsia" w:ascii="Times New Roman" w:hAnsi="Times New Roman" w:eastAsia="黑体"/>
          <w:sz w:val="32"/>
          <w:szCs w:val="32"/>
          <w:highlight w:val="none"/>
          <w:lang w:val="en-US" w:eastAsia="zh-CN"/>
        </w:rPr>
      </w:pPr>
      <w:r>
        <w:rPr>
          <w:rFonts w:hint="eastAsia" w:ascii="Times New Roman" w:hAnsi="Times New Roman" w:eastAsia="黑体"/>
          <w:sz w:val="32"/>
          <w:szCs w:val="32"/>
          <w:highlight w:val="none"/>
        </w:rPr>
        <w:t>（</w:t>
      </w:r>
      <w:r>
        <w:rPr>
          <w:rFonts w:hint="eastAsia" w:ascii="Times New Roman" w:hAnsi="Times New Roman" w:eastAsia="黑体"/>
          <w:sz w:val="32"/>
          <w:szCs w:val="32"/>
          <w:highlight w:val="none"/>
          <w:lang w:eastAsia="zh-CN"/>
        </w:rPr>
        <w:t>四</w:t>
      </w:r>
      <w:r>
        <w:rPr>
          <w:rFonts w:hint="eastAsia" w:ascii="Times New Roman" w:hAnsi="Times New Roman" w:eastAsia="黑体"/>
          <w:sz w:val="32"/>
          <w:szCs w:val="32"/>
          <w:highlight w:val="none"/>
        </w:rPr>
        <w:t>）</w:t>
      </w:r>
      <w:r>
        <w:rPr>
          <w:rFonts w:hint="eastAsia" w:ascii="Times New Roman" w:hAnsi="Times New Roman" w:eastAsia="黑体"/>
          <w:sz w:val="32"/>
          <w:szCs w:val="32"/>
          <w:highlight w:val="none"/>
          <w:lang w:val="en-US" w:eastAsia="zh-CN"/>
        </w:rPr>
        <w:t>董事工作情况</w:t>
      </w:r>
    </w:p>
    <w:p w14:paraId="5870595A">
      <w:pPr>
        <w:ind w:firstLine="640" w:firstLineChars="200"/>
        <w:rPr>
          <w:rFonts w:hint="default" w:eastAsia="仿宋_GB2312"/>
          <w:highlight w:val="none"/>
          <w:lang w:val="en-US" w:eastAsia="zh-CN"/>
        </w:rPr>
      </w:pPr>
      <w:r>
        <w:rPr>
          <w:rFonts w:hint="default" w:ascii="Times New Roman" w:hAnsi="Times New Roman" w:eastAsia="仿宋_GB2312" w:cs="Times New Roman"/>
          <w:b w:val="0"/>
          <w:sz w:val="32"/>
          <w:highlight w:val="none"/>
        </w:rPr>
        <w:t>202</w:t>
      </w:r>
      <w:r>
        <w:rPr>
          <w:rFonts w:hint="eastAsia" w:ascii="Times New Roman" w:hAnsi="Times New Roman" w:eastAsia="仿宋_GB2312" w:cs="Times New Roman"/>
          <w:b w:val="0"/>
          <w:sz w:val="32"/>
          <w:highlight w:val="none"/>
          <w:lang w:val="en-US" w:eastAsia="zh-CN"/>
        </w:rPr>
        <w:t>4</w:t>
      </w:r>
      <w:r>
        <w:rPr>
          <w:rFonts w:hint="eastAsia" w:ascii="仿宋_GB2312" w:hAnsi="仿宋_GB2312" w:eastAsia="仿宋_GB2312" w:cs="仿宋_GB2312"/>
          <w:b w:val="0"/>
          <w:sz w:val="32"/>
          <w:highlight w:val="none"/>
        </w:rPr>
        <w:t>年，我行董事基本都能较好地履行董事会成员的基本职责，自觉关注我行发展动态，努力履行董事职责，针对管理决策各抒己见，提出合理性建议。</w:t>
      </w:r>
      <w:r>
        <w:rPr>
          <w:rFonts w:hint="eastAsia" w:ascii="仿宋_GB2312" w:hAnsi="仿宋_GB2312" w:eastAsia="仿宋_GB2312" w:cs="仿宋_GB2312"/>
          <w:sz w:val="32"/>
          <w:highlight w:val="none"/>
        </w:rPr>
        <w:t>董事长在董事会闭会期间科学地行使董事会的权力，执行股东大会决议，规范经营管理层的经营行为，自觉接受监事会的有效监督；独立董事基本发挥了对董事会内部的监督员作用，并充分发表独立意见。对我行的风险管理、经营状况、财务运作等方面不断趋以规范</w:t>
      </w:r>
      <w:r>
        <w:rPr>
          <w:rFonts w:hint="eastAsia" w:ascii="仿宋_GB2312" w:hAnsi="仿宋_GB2312" w:eastAsia="仿宋_GB2312" w:cs="仿宋_GB2312"/>
          <w:sz w:val="32"/>
          <w:highlight w:val="none"/>
          <w:lang w:eastAsia="zh-CN"/>
        </w:rPr>
        <w:t>，</w:t>
      </w:r>
      <w:r>
        <w:rPr>
          <w:rFonts w:hint="eastAsia" w:ascii="仿宋_GB2312" w:hAnsi="仿宋_GB2312" w:eastAsia="仿宋_GB2312" w:cs="仿宋_GB2312"/>
          <w:sz w:val="32"/>
          <w:highlight w:val="none"/>
          <w:lang w:val="en-US" w:eastAsia="zh-CN"/>
        </w:rPr>
        <w:t>2024年，我行独立董事亲自出席所有董事会，在我行工作时长不低于20个工作日。</w:t>
      </w:r>
    </w:p>
    <w:p w14:paraId="4E47849D">
      <w:pPr>
        <w:keepNext w:val="0"/>
        <w:keepLines w:val="0"/>
        <w:pageBreakBefore w:val="0"/>
        <w:tabs>
          <w:tab w:val="left" w:pos="1080"/>
        </w:tabs>
        <w:kinsoku/>
        <w:wordWrap/>
        <w:overflowPunct/>
        <w:autoSpaceDE/>
        <w:autoSpaceDN/>
        <w:bidi w:val="0"/>
        <w:adjustRightInd w:val="0"/>
        <w:snapToGrid w:val="0"/>
        <w:spacing w:line="560" w:lineRule="exact"/>
        <w:ind w:firstLine="640" w:firstLineChars="200"/>
        <w:outlineLvl w:val="1"/>
        <w:rPr>
          <w:rFonts w:hint="eastAsia" w:ascii="Times New Roman" w:hAnsi="Times New Roman" w:eastAsia="黑体"/>
          <w:color w:val="auto"/>
          <w:sz w:val="32"/>
          <w:szCs w:val="32"/>
          <w:highlight w:val="none"/>
          <w:lang w:val="en-US" w:eastAsia="zh-CN"/>
        </w:rPr>
      </w:pPr>
      <w:bookmarkStart w:id="20" w:name="_Toc31311"/>
      <w:r>
        <w:rPr>
          <w:rFonts w:hint="eastAsia" w:ascii="Times New Roman" w:hAnsi="Times New Roman" w:eastAsia="黑体"/>
          <w:color w:val="auto"/>
          <w:sz w:val="32"/>
          <w:szCs w:val="32"/>
          <w:highlight w:val="none"/>
        </w:rPr>
        <w:t>五、监事会的构成及其工作情况</w:t>
      </w:r>
      <w:bookmarkEnd w:id="20"/>
    </w:p>
    <w:p w14:paraId="16D7888C">
      <w:pPr>
        <w:keepNext w:val="0"/>
        <w:keepLines w:val="0"/>
        <w:pageBreakBefore w:val="0"/>
        <w:tabs>
          <w:tab w:val="left" w:pos="1080"/>
        </w:tabs>
        <w:kinsoku/>
        <w:wordWrap/>
        <w:overflowPunct/>
        <w:autoSpaceDE/>
        <w:autoSpaceDN/>
        <w:bidi w:val="0"/>
        <w:adjustRightInd w:val="0"/>
        <w:snapToGrid w:val="0"/>
        <w:spacing w:line="560" w:lineRule="exact"/>
        <w:ind w:firstLine="640" w:firstLineChars="200"/>
        <w:outlineLvl w:val="2"/>
        <w:rPr>
          <w:rFonts w:ascii="Times New Roman" w:hAnsi="Times New Roman" w:eastAsia="黑体"/>
          <w:color w:val="auto"/>
          <w:sz w:val="32"/>
          <w:szCs w:val="32"/>
          <w:highlight w:val="none"/>
        </w:rPr>
      </w:pPr>
      <w:r>
        <w:rPr>
          <w:rFonts w:ascii="Times New Roman" w:hAnsi="Times New Roman" w:eastAsia="黑体"/>
          <w:color w:val="auto"/>
          <w:sz w:val="32"/>
          <w:szCs w:val="32"/>
          <w:highlight w:val="none"/>
        </w:rPr>
        <w:t>（</w:t>
      </w:r>
      <w:r>
        <w:rPr>
          <w:rFonts w:hint="eastAsia" w:ascii="Times New Roman" w:hAnsi="Times New Roman" w:eastAsia="黑体"/>
          <w:color w:val="auto"/>
          <w:sz w:val="32"/>
          <w:szCs w:val="32"/>
          <w:highlight w:val="none"/>
        </w:rPr>
        <w:t>一</w:t>
      </w:r>
      <w:r>
        <w:rPr>
          <w:rFonts w:ascii="Times New Roman" w:hAnsi="Times New Roman" w:eastAsia="黑体"/>
          <w:color w:val="auto"/>
          <w:sz w:val="32"/>
          <w:szCs w:val="32"/>
          <w:highlight w:val="none"/>
        </w:rPr>
        <w:t>）</w:t>
      </w:r>
      <w:r>
        <w:rPr>
          <w:rFonts w:hint="eastAsia" w:ascii="Times New Roman" w:hAnsi="Times New Roman" w:eastAsia="黑体"/>
          <w:color w:val="auto"/>
          <w:sz w:val="32"/>
          <w:szCs w:val="32"/>
          <w:highlight w:val="none"/>
        </w:rPr>
        <w:t>监事会的构成情况</w:t>
      </w:r>
    </w:p>
    <w:p w14:paraId="4A4DD52E">
      <w:pPr>
        <w:pStyle w:val="15"/>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color w:val="auto"/>
          <w:sz w:val="32"/>
          <w:highlight w:val="none"/>
          <w:lang w:val="en-US" w:eastAsia="zh-CN"/>
        </w:rPr>
      </w:pPr>
      <w:r>
        <w:rPr>
          <w:rFonts w:hint="eastAsia" w:ascii="仿宋_GB2312" w:hAnsi="仿宋_GB2312" w:eastAsia="仿宋_GB2312" w:cs="仿宋_GB2312"/>
          <w:b w:val="0"/>
          <w:sz w:val="32"/>
          <w:highlight w:val="none"/>
        </w:rPr>
        <w:t>本行监事的任职资格和选聘程序、监事会的人数和人员构成均符合《章程》的规定要求。</w:t>
      </w:r>
      <w:r>
        <w:rPr>
          <w:rFonts w:hint="eastAsia" w:ascii="仿宋_GB2312" w:hAnsi="仿宋_GB2312" w:eastAsia="仿宋_GB2312" w:cs="仿宋_GB2312"/>
          <w:sz w:val="32"/>
          <w:highlight w:val="none"/>
        </w:rPr>
        <w:t>报告期</w:t>
      </w:r>
      <w:r>
        <w:rPr>
          <w:rFonts w:hint="eastAsia" w:ascii="仿宋_GB2312" w:hAnsi="仿宋_GB2312" w:eastAsia="仿宋_GB2312" w:cs="仿宋_GB2312"/>
          <w:sz w:val="32"/>
          <w:highlight w:val="none"/>
          <w:lang w:eastAsia="zh-CN"/>
        </w:rPr>
        <w:t>内</w:t>
      </w:r>
      <w:r>
        <w:rPr>
          <w:rFonts w:hint="eastAsia" w:ascii="仿宋_GB2312" w:hAnsi="仿宋_GB2312" w:eastAsia="仿宋_GB2312" w:cs="仿宋_GB2312"/>
          <w:sz w:val="32"/>
          <w:highlight w:val="none"/>
        </w:rPr>
        <w:t>，本行监事会由</w:t>
      </w:r>
      <w:r>
        <w:rPr>
          <w:rFonts w:hint="default" w:ascii="Times New Roman" w:hAnsi="Times New Roman" w:eastAsia="仿宋_GB2312" w:cs="Times New Roman"/>
          <w:sz w:val="32"/>
          <w:highlight w:val="none"/>
          <w:lang w:val="en-US" w:eastAsia="zh-CN"/>
        </w:rPr>
        <w:t>4</w:t>
      </w:r>
      <w:r>
        <w:rPr>
          <w:rFonts w:hint="eastAsia" w:ascii="仿宋_GB2312" w:hAnsi="仿宋_GB2312" w:eastAsia="仿宋_GB2312" w:cs="仿宋_GB2312"/>
          <w:sz w:val="32"/>
          <w:highlight w:val="none"/>
        </w:rPr>
        <w:t>名监事组成，其中职工监事</w:t>
      </w:r>
      <w:r>
        <w:rPr>
          <w:rFonts w:hint="default" w:ascii="Times New Roman" w:hAnsi="Times New Roman" w:eastAsia="仿宋_GB2312" w:cs="Times New Roman"/>
          <w:sz w:val="32"/>
          <w:highlight w:val="none"/>
          <w:lang w:val="en-US" w:eastAsia="zh-CN"/>
        </w:rPr>
        <w:t>1</w:t>
      </w:r>
      <w:r>
        <w:rPr>
          <w:rFonts w:hint="eastAsia" w:ascii="仿宋_GB2312" w:hAnsi="仿宋_GB2312" w:eastAsia="仿宋_GB2312" w:cs="仿宋_GB2312"/>
          <w:sz w:val="32"/>
          <w:highlight w:val="none"/>
        </w:rPr>
        <w:t>名，</w:t>
      </w:r>
      <w:r>
        <w:rPr>
          <w:rFonts w:hint="eastAsia" w:ascii="仿宋_GB2312" w:hAnsi="仿宋_GB2312" w:eastAsia="仿宋_GB2312" w:cs="仿宋_GB2312"/>
          <w:sz w:val="32"/>
          <w:highlight w:val="none"/>
          <w:lang w:eastAsia="zh-CN"/>
        </w:rPr>
        <w:t>外部</w:t>
      </w:r>
      <w:r>
        <w:rPr>
          <w:rFonts w:hint="eastAsia" w:ascii="仿宋_GB2312" w:hAnsi="仿宋_GB2312" w:eastAsia="仿宋_GB2312" w:cs="仿宋_GB2312"/>
          <w:sz w:val="32"/>
          <w:highlight w:val="none"/>
        </w:rPr>
        <w:t>监事</w:t>
      </w:r>
      <w:r>
        <w:rPr>
          <w:rFonts w:hint="default" w:ascii="Times New Roman" w:hAnsi="Times New Roman" w:eastAsia="仿宋_GB2312" w:cs="Times New Roman"/>
          <w:sz w:val="32"/>
          <w:highlight w:val="none"/>
          <w:lang w:val="en-US" w:eastAsia="zh-CN"/>
        </w:rPr>
        <w:t>2</w:t>
      </w:r>
      <w:r>
        <w:rPr>
          <w:rFonts w:hint="eastAsia" w:ascii="仿宋_GB2312" w:hAnsi="仿宋_GB2312" w:eastAsia="仿宋_GB2312" w:cs="仿宋_GB2312"/>
          <w:sz w:val="32"/>
          <w:highlight w:val="none"/>
        </w:rPr>
        <w:t>名</w:t>
      </w:r>
      <w:r>
        <w:rPr>
          <w:rFonts w:hint="eastAsia" w:ascii="仿宋_GB2312" w:hAnsi="仿宋_GB2312" w:eastAsia="仿宋_GB2312" w:cs="仿宋_GB2312"/>
          <w:sz w:val="32"/>
          <w:highlight w:val="none"/>
          <w:lang w:eastAsia="zh-CN"/>
        </w:rPr>
        <w:t>，股东</w:t>
      </w:r>
      <w:r>
        <w:rPr>
          <w:rFonts w:hint="eastAsia" w:ascii="仿宋_GB2312" w:hAnsi="仿宋_GB2312" w:eastAsia="仿宋_GB2312" w:cs="仿宋_GB2312"/>
          <w:sz w:val="32"/>
          <w:highlight w:val="none"/>
        </w:rPr>
        <w:t>监事</w:t>
      </w:r>
      <w:r>
        <w:rPr>
          <w:rFonts w:hint="default" w:ascii="Times New Roman" w:hAnsi="Times New Roman" w:eastAsia="仿宋_GB2312" w:cs="Times New Roman"/>
          <w:color w:val="auto"/>
          <w:sz w:val="32"/>
          <w:highlight w:val="none"/>
          <w:lang w:val="en-US" w:eastAsia="zh-CN"/>
        </w:rPr>
        <w:t>1</w:t>
      </w:r>
      <w:r>
        <w:rPr>
          <w:rFonts w:hint="eastAsia" w:ascii="仿宋_GB2312" w:hAnsi="仿宋_GB2312" w:eastAsia="仿宋_GB2312" w:cs="仿宋_GB2312"/>
          <w:color w:val="auto"/>
          <w:sz w:val="32"/>
          <w:highlight w:val="none"/>
        </w:rPr>
        <w:t>名</w:t>
      </w:r>
      <w:r>
        <w:rPr>
          <w:rFonts w:hint="eastAsia" w:ascii="仿宋_GB2312" w:hAnsi="仿宋_GB2312" w:eastAsia="仿宋_GB2312" w:cs="仿宋_GB2312"/>
          <w:color w:val="auto"/>
          <w:sz w:val="32"/>
          <w:highlight w:val="none"/>
          <w:lang w:eastAsia="zh-CN"/>
        </w:rPr>
        <w:t>。</w:t>
      </w:r>
    </w:p>
    <w:p w14:paraId="4F0492AE">
      <w:pPr>
        <w:keepNext w:val="0"/>
        <w:keepLines w:val="0"/>
        <w:pageBreakBefore w:val="0"/>
        <w:kinsoku/>
        <w:wordWrap/>
        <w:overflowPunct/>
        <w:autoSpaceDE/>
        <w:autoSpaceDN/>
        <w:bidi w:val="0"/>
        <w:adjustRightInd w:val="0"/>
        <w:snapToGrid w:val="0"/>
        <w:spacing w:line="560" w:lineRule="exact"/>
        <w:ind w:firstLine="640" w:firstLineChars="200"/>
        <w:outlineLvl w:val="2"/>
        <w:rPr>
          <w:rFonts w:hint="default" w:ascii="Times New Roman" w:hAnsi="Times New Roman" w:eastAsia="仿宋_GB2312" w:cs="Times New Roman"/>
          <w:b w:val="0"/>
          <w:sz w:val="32"/>
          <w:highlight w:val="none"/>
          <w:lang w:val="en-US" w:eastAsia="zh-CN"/>
        </w:rPr>
      </w:pPr>
      <w:r>
        <w:rPr>
          <w:rFonts w:ascii="Times New Roman" w:hAnsi="Times New Roman" w:eastAsia="黑体"/>
          <w:snapToGrid w:val="0"/>
          <w:kern w:val="0"/>
          <w:sz w:val="32"/>
          <w:szCs w:val="32"/>
          <w:highlight w:val="none"/>
        </w:rPr>
        <w:t>（</w:t>
      </w:r>
      <w:r>
        <w:rPr>
          <w:rFonts w:hint="eastAsia" w:ascii="Times New Roman" w:hAnsi="Times New Roman" w:eastAsia="黑体"/>
          <w:snapToGrid w:val="0"/>
          <w:kern w:val="0"/>
          <w:sz w:val="32"/>
          <w:szCs w:val="32"/>
          <w:highlight w:val="none"/>
        </w:rPr>
        <w:t>二</w:t>
      </w:r>
      <w:r>
        <w:rPr>
          <w:rFonts w:ascii="Times New Roman" w:hAnsi="Times New Roman" w:eastAsia="黑体"/>
          <w:snapToGrid w:val="0"/>
          <w:kern w:val="0"/>
          <w:sz w:val="32"/>
          <w:szCs w:val="32"/>
          <w:highlight w:val="none"/>
        </w:rPr>
        <w:t>）</w:t>
      </w:r>
      <w:r>
        <w:rPr>
          <w:rFonts w:hint="eastAsia" w:ascii="Times New Roman" w:hAnsi="Times New Roman" w:eastAsia="黑体"/>
          <w:snapToGrid w:val="0"/>
          <w:kern w:val="0"/>
          <w:sz w:val="32"/>
          <w:szCs w:val="32"/>
          <w:highlight w:val="none"/>
        </w:rPr>
        <w:t>监事会工作情况</w:t>
      </w:r>
    </w:p>
    <w:p w14:paraId="4F2F9040">
      <w:pPr>
        <w:spacing w:line="560" w:lineRule="exact"/>
        <w:ind w:firstLine="640" w:firstLineChars="200"/>
        <w:rPr>
          <w:rFonts w:hint="eastAsia"/>
          <w:highlight w:val="none"/>
          <w:lang w:eastAsia="zh-CN"/>
        </w:rPr>
      </w:pPr>
      <w:r>
        <w:rPr>
          <w:rFonts w:hint="eastAsia" w:ascii="Times New Roman" w:hAnsi="Times New Roman" w:eastAsia="仿宋_GB2312" w:cs="Times New Roman"/>
          <w:b w:val="0"/>
          <w:sz w:val="32"/>
          <w:highlight w:val="none"/>
          <w:lang w:val="en-US" w:eastAsia="zh-CN"/>
        </w:rPr>
        <w:t>职责包括</w:t>
      </w:r>
      <w:r>
        <w:rPr>
          <w:rFonts w:hint="default" w:ascii="Times New Roman" w:hAnsi="Times New Roman" w:eastAsia="仿宋_GB2312" w:cs="Times New Roman"/>
          <w:b w:val="0"/>
          <w:sz w:val="32"/>
          <w:highlight w:val="none"/>
          <w:lang w:val="en-US" w:eastAsia="zh-CN"/>
        </w:rPr>
        <w:t>监督董事会、高级管理人员履行职责的情况；要求董事、董事长及高级管理人员纠正其损害本行利益的行为</w:t>
      </w:r>
      <w:r>
        <w:rPr>
          <w:rFonts w:hint="eastAsia" w:ascii="Times New Roman" w:hAnsi="Times New Roman" w:eastAsia="仿宋_GB2312" w:cs="Times New Roman"/>
          <w:b w:val="0"/>
          <w:sz w:val="32"/>
          <w:highlight w:val="none"/>
          <w:lang w:val="en-US" w:eastAsia="zh-CN"/>
        </w:rPr>
        <w:t>；</w:t>
      </w:r>
      <w:r>
        <w:rPr>
          <w:rFonts w:hint="default" w:ascii="Times New Roman" w:hAnsi="Times New Roman" w:eastAsia="仿宋_GB2312" w:cs="Times New Roman"/>
          <w:b w:val="0"/>
          <w:sz w:val="32"/>
          <w:highlight w:val="none"/>
          <w:lang w:val="en-US" w:eastAsia="zh-CN"/>
        </w:rPr>
        <w:t>对违反有关法律、行政法规、公司章程或者股东大会决议的董事、高级管理人员提出罢免的建议；对董事和高级管理人员进行专项审计和离任审计；检查、监督本行的财务活动；对本行的经营决策、风险管理和内部控制等进行审计，指导内部稽核部门的活动；对董事、董事长及高级管理人员进行质询；对各董事、监事的履职情况作出评价，并向股东大会报告；指派监事列席董事会会议或高级管理人员会议；提议召开临时股东大会，在董事会不履行召集和主持股东大会职责时召集和主持股东大会；向股东大会提出提案；按照《公司法》规定对董事、高级管理人员提起诉讼；监督董事会确立稳健的经营理念、价值准则和制定符合公司情况的发展战略；对公司发展战略的科学性、合理性和稳健性进行评估，形成评估报告；对公司经营决策、风险管理和内部控制等进行监督检查并督促整改；对董事的选聘程序进行监督；对公司薪酬管理制度实施情况及高级管理人员薪酬方案的科学性、合理性进行监督；有关法律法规、行政规章和本章程规定应当由监事会行使的其他职权。</w:t>
      </w:r>
      <w:r>
        <w:rPr>
          <w:rFonts w:hint="eastAsia" w:ascii="仿宋_GB2312" w:hAnsi="仿宋_GB2312" w:eastAsia="仿宋_GB2312" w:cs="仿宋_GB2312"/>
          <w:b w:val="0"/>
          <w:sz w:val="32"/>
          <w:highlight w:val="none"/>
        </w:rPr>
        <w:t>本行监事会按照《章程》的规定认真履行职责，本着对股东高度负责的精神，对本行财务、授信状况和董事、行长、其他高级管理人员履行职责的合法合规性进行监督。</w:t>
      </w:r>
      <w:r>
        <w:rPr>
          <w:rFonts w:hint="default" w:ascii="Times New Roman" w:hAnsi="Times New Roman" w:eastAsia="仿宋_GB2312" w:cs="Times New Roman"/>
          <w:b w:val="0"/>
          <w:color w:val="auto"/>
          <w:sz w:val="32"/>
          <w:highlight w:val="none"/>
          <w:lang w:val="en-US" w:eastAsia="zh-CN"/>
        </w:rPr>
        <w:t>202</w:t>
      </w:r>
      <w:r>
        <w:rPr>
          <w:rFonts w:hint="eastAsia" w:ascii="Times New Roman" w:hAnsi="Times New Roman" w:eastAsia="仿宋_GB2312" w:cs="Times New Roman"/>
          <w:b w:val="0"/>
          <w:color w:val="auto"/>
          <w:sz w:val="32"/>
          <w:highlight w:val="none"/>
          <w:lang w:val="en-US" w:eastAsia="zh-CN"/>
        </w:rPr>
        <w:t>4</w:t>
      </w:r>
      <w:r>
        <w:rPr>
          <w:rFonts w:hint="eastAsia" w:ascii="仿宋_GB2312" w:hAnsi="仿宋_GB2312" w:eastAsia="仿宋_GB2312" w:cs="仿宋_GB2312"/>
          <w:b w:val="0"/>
          <w:color w:val="auto"/>
          <w:sz w:val="32"/>
          <w:highlight w:val="none"/>
          <w:lang w:val="en-US" w:eastAsia="zh-CN"/>
        </w:rPr>
        <w:t>年</w:t>
      </w:r>
      <w:r>
        <w:rPr>
          <w:rFonts w:hint="eastAsia" w:ascii="仿宋_GB2312" w:hAnsi="仿宋_GB2312" w:eastAsia="仿宋_GB2312" w:cs="仿宋_GB2312"/>
          <w:b w:val="0"/>
          <w:color w:val="auto"/>
          <w:sz w:val="32"/>
          <w:highlight w:val="none"/>
        </w:rPr>
        <w:t>本行共召开了</w:t>
      </w:r>
      <w:r>
        <w:rPr>
          <w:rFonts w:hint="eastAsia" w:ascii="Times New Roman" w:hAnsi="Times New Roman" w:eastAsia="仿宋_GB2312" w:cs="Times New Roman"/>
          <w:b w:val="0"/>
          <w:color w:val="auto"/>
          <w:sz w:val="32"/>
          <w:highlight w:val="none"/>
          <w:lang w:val="en-US" w:eastAsia="zh-CN"/>
        </w:rPr>
        <w:t>7</w:t>
      </w:r>
      <w:r>
        <w:rPr>
          <w:rFonts w:hint="eastAsia" w:ascii="仿宋_GB2312" w:hAnsi="仿宋_GB2312" w:eastAsia="仿宋_GB2312" w:cs="仿宋_GB2312"/>
          <w:b w:val="0"/>
          <w:color w:val="auto"/>
          <w:sz w:val="32"/>
          <w:highlight w:val="none"/>
        </w:rPr>
        <w:t>次监事会会议，审议表决通过了</w:t>
      </w:r>
      <w:r>
        <w:rPr>
          <w:rFonts w:hint="eastAsia" w:ascii="Times New Roman" w:hAnsi="Times New Roman" w:eastAsia="仿宋_GB2312" w:cs="Times New Roman"/>
          <w:b w:val="0"/>
          <w:color w:val="auto"/>
          <w:sz w:val="32"/>
          <w:highlight w:val="none"/>
          <w:lang w:val="en-US" w:eastAsia="zh-CN"/>
        </w:rPr>
        <w:t>46</w:t>
      </w:r>
      <w:r>
        <w:rPr>
          <w:rFonts w:hint="eastAsia" w:ascii="仿宋_GB2312" w:hAnsi="仿宋_GB2312" w:eastAsia="仿宋_GB2312" w:cs="仿宋_GB2312"/>
          <w:b w:val="0"/>
          <w:color w:val="auto"/>
          <w:sz w:val="32"/>
          <w:highlight w:val="none"/>
        </w:rPr>
        <w:t>项决议</w:t>
      </w:r>
      <w:r>
        <w:rPr>
          <w:rFonts w:hint="eastAsia" w:ascii="仿宋_GB2312" w:hAnsi="仿宋_GB2312" w:eastAsia="仿宋_GB2312" w:cs="仿宋_GB2312"/>
          <w:b w:val="0"/>
          <w:color w:val="auto"/>
          <w:sz w:val="32"/>
          <w:highlight w:val="none"/>
          <w:lang w:eastAsia="zh-CN"/>
        </w:rPr>
        <w:t>。</w:t>
      </w:r>
    </w:p>
    <w:p w14:paraId="32EB4765">
      <w:pPr>
        <w:keepNext w:val="0"/>
        <w:keepLines w:val="0"/>
        <w:pageBreakBefore w:val="0"/>
        <w:kinsoku/>
        <w:wordWrap/>
        <w:overflowPunct/>
        <w:autoSpaceDE/>
        <w:autoSpaceDN/>
        <w:bidi w:val="0"/>
        <w:adjustRightInd w:val="0"/>
        <w:snapToGrid w:val="0"/>
        <w:spacing w:line="560" w:lineRule="exact"/>
        <w:ind w:firstLine="640" w:firstLineChars="200"/>
        <w:outlineLvl w:val="2"/>
        <w:rPr>
          <w:rFonts w:ascii="Times New Roman" w:hAnsi="Times New Roman" w:eastAsia="黑体"/>
          <w:snapToGrid w:val="0"/>
          <w:kern w:val="0"/>
          <w:sz w:val="32"/>
          <w:szCs w:val="32"/>
          <w:highlight w:val="none"/>
        </w:rPr>
      </w:pPr>
      <w:r>
        <w:rPr>
          <w:rFonts w:ascii="Times New Roman" w:hAnsi="Times New Roman" w:eastAsia="黑体"/>
          <w:snapToGrid w:val="0"/>
          <w:kern w:val="0"/>
          <w:sz w:val="32"/>
          <w:szCs w:val="32"/>
          <w:highlight w:val="none"/>
        </w:rPr>
        <w:t>（</w:t>
      </w:r>
      <w:r>
        <w:rPr>
          <w:rFonts w:hint="eastAsia" w:ascii="Times New Roman" w:hAnsi="Times New Roman" w:eastAsia="黑体"/>
          <w:snapToGrid w:val="0"/>
          <w:kern w:val="0"/>
          <w:sz w:val="32"/>
          <w:szCs w:val="32"/>
          <w:highlight w:val="none"/>
          <w:lang w:eastAsia="zh-CN"/>
        </w:rPr>
        <w:t>三</w:t>
      </w:r>
      <w:r>
        <w:rPr>
          <w:rFonts w:ascii="Times New Roman" w:hAnsi="Times New Roman" w:eastAsia="黑体"/>
          <w:snapToGrid w:val="0"/>
          <w:kern w:val="0"/>
          <w:sz w:val="32"/>
          <w:szCs w:val="32"/>
          <w:highlight w:val="none"/>
        </w:rPr>
        <w:t>）</w:t>
      </w:r>
      <w:r>
        <w:rPr>
          <w:rFonts w:hint="eastAsia" w:ascii="Times New Roman" w:hAnsi="Times New Roman" w:eastAsia="黑体"/>
          <w:snapToGrid w:val="0"/>
          <w:kern w:val="0"/>
          <w:sz w:val="32"/>
          <w:szCs w:val="32"/>
          <w:highlight w:val="none"/>
        </w:rPr>
        <w:t>监事工作情况</w:t>
      </w:r>
    </w:p>
    <w:p w14:paraId="3E782BB8">
      <w:pPr>
        <w:ind w:firstLine="640" w:firstLineChars="200"/>
        <w:rPr>
          <w:rFonts w:hint="eastAsia" w:ascii="仿宋_GB2312" w:hAnsi="仿宋_GB2312" w:eastAsia="仿宋_GB2312" w:cs="仿宋_GB2312"/>
          <w:sz w:val="32"/>
          <w:highlight w:val="none"/>
          <w:lang w:val="en-US" w:eastAsia="zh-CN"/>
        </w:rPr>
      </w:pPr>
      <w:r>
        <w:rPr>
          <w:rFonts w:hint="default" w:ascii="Times New Roman" w:hAnsi="Times New Roman" w:eastAsia="仿宋_GB2312" w:cs="Times New Roman"/>
          <w:b w:val="0"/>
          <w:sz w:val="32"/>
          <w:highlight w:val="none"/>
        </w:rPr>
        <w:t>202</w:t>
      </w:r>
      <w:r>
        <w:rPr>
          <w:rFonts w:hint="eastAsia" w:ascii="Times New Roman" w:hAnsi="Times New Roman" w:eastAsia="仿宋_GB2312" w:cs="Times New Roman"/>
          <w:b w:val="0"/>
          <w:sz w:val="32"/>
          <w:highlight w:val="none"/>
          <w:lang w:val="en-US" w:eastAsia="zh-CN"/>
        </w:rPr>
        <w:t>4</w:t>
      </w:r>
      <w:r>
        <w:rPr>
          <w:rFonts w:hint="eastAsia" w:ascii="仿宋_GB2312" w:hAnsi="仿宋_GB2312" w:eastAsia="仿宋_GB2312" w:cs="仿宋_GB2312"/>
          <w:b w:val="0"/>
          <w:sz w:val="32"/>
          <w:highlight w:val="none"/>
        </w:rPr>
        <w:t>年，我行</w:t>
      </w:r>
      <w:r>
        <w:rPr>
          <w:rFonts w:hint="eastAsia" w:ascii="仿宋_GB2312" w:hAnsi="仿宋_GB2312" w:eastAsia="仿宋_GB2312" w:cs="仿宋_GB2312"/>
          <w:b w:val="0"/>
          <w:sz w:val="32"/>
          <w:highlight w:val="none"/>
          <w:lang w:eastAsia="zh-CN"/>
        </w:rPr>
        <w:t>监</w:t>
      </w:r>
      <w:r>
        <w:rPr>
          <w:rFonts w:hint="eastAsia" w:ascii="仿宋_GB2312" w:hAnsi="仿宋_GB2312" w:eastAsia="仿宋_GB2312" w:cs="仿宋_GB2312"/>
          <w:b w:val="0"/>
          <w:sz w:val="32"/>
          <w:highlight w:val="none"/>
        </w:rPr>
        <w:t>事基本都能较好地履行</w:t>
      </w:r>
      <w:r>
        <w:rPr>
          <w:rFonts w:hint="eastAsia" w:ascii="仿宋_GB2312" w:hAnsi="仿宋_GB2312" w:eastAsia="仿宋_GB2312" w:cs="仿宋_GB2312"/>
          <w:b w:val="0"/>
          <w:sz w:val="32"/>
          <w:highlight w:val="none"/>
          <w:lang w:eastAsia="zh-CN"/>
        </w:rPr>
        <w:t>监</w:t>
      </w:r>
      <w:r>
        <w:rPr>
          <w:rFonts w:hint="eastAsia" w:ascii="仿宋_GB2312" w:hAnsi="仿宋_GB2312" w:eastAsia="仿宋_GB2312" w:cs="仿宋_GB2312"/>
          <w:b w:val="0"/>
          <w:sz w:val="32"/>
          <w:highlight w:val="none"/>
        </w:rPr>
        <w:t>事会成员的基本职责，自觉关注我行发展动态，努力履行</w:t>
      </w:r>
      <w:r>
        <w:rPr>
          <w:rFonts w:hint="eastAsia" w:ascii="仿宋_GB2312" w:hAnsi="仿宋_GB2312" w:eastAsia="仿宋_GB2312" w:cs="仿宋_GB2312"/>
          <w:b w:val="0"/>
          <w:sz w:val="32"/>
          <w:highlight w:val="none"/>
          <w:lang w:eastAsia="zh-CN"/>
        </w:rPr>
        <w:t>监</w:t>
      </w:r>
      <w:r>
        <w:rPr>
          <w:rFonts w:hint="eastAsia" w:ascii="仿宋_GB2312" w:hAnsi="仿宋_GB2312" w:eastAsia="仿宋_GB2312" w:cs="仿宋_GB2312"/>
          <w:b w:val="0"/>
          <w:sz w:val="32"/>
          <w:highlight w:val="none"/>
        </w:rPr>
        <w:t>事职责，针对管理决策各抒己见，提出合理性建议</w:t>
      </w:r>
      <w:r>
        <w:rPr>
          <w:rFonts w:hint="eastAsia" w:ascii="仿宋_GB2312" w:hAnsi="仿宋_GB2312" w:eastAsia="仿宋_GB2312" w:cs="仿宋_GB2312"/>
          <w:sz w:val="32"/>
          <w:highlight w:val="none"/>
        </w:rPr>
        <w:t>；</w:t>
      </w:r>
      <w:r>
        <w:rPr>
          <w:rFonts w:hint="eastAsia" w:ascii="仿宋_GB2312" w:hAnsi="仿宋_GB2312" w:eastAsia="仿宋_GB2312" w:cs="仿宋_GB2312"/>
          <w:sz w:val="32"/>
          <w:highlight w:val="none"/>
          <w:lang w:eastAsia="zh-CN"/>
        </w:rPr>
        <w:t>外部监事</w:t>
      </w:r>
      <w:r>
        <w:rPr>
          <w:rFonts w:hint="eastAsia" w:ascii="仿宋_GB2312" w:hAnsi="仿宋_GB2312" w:eastAsia="仿宋_GB2312" w:cs="仿宋_GB2312"/>
          <w:sz w:val="32"/>
          <w:highlight w:val="none"/>
        </w:rPr>
        <w:t>基本发挥了对</w:t>
      </w:r>
      <w:r>
        <w:rPr>
          <w:rFonts w:hint="eastAsia" w:ascii="仿宋_GB2312" w:hAnsi="仿宋_GB2312" w:eastAsia="仿宋_GB2312" w:cs="仿宋_GB2312"/>
          <w:sz w:val="32"/>
          <w:highlight w:val="none"/>
          <w:lang w:eastAsia="zh-CN"/>
        </w:rPr>
        <w:t>监</w:t>
      </w:r>
      <w:r>
        <w:rPr>
          <w:rFonts w:hint="eastAsia" w:ascii="仿宋_GB2312" w:hAnsi="仿宋_GB2312" w:eastAsia="仿宋_GB2312" w:cs="仿宋_GB2312"/>
          <w:sz w:val="32"/>
          <w:highlight w:val="none"/>
        </w:rPr>
        <w:t>事会内部的监督员作用，并充分发表独立意见。</w:t>
      </w:r>
      <w:r>
        <w:rPr>
          <w:rFonts w:hint="eastAsia" w:ascii="仿宋_GB2312" w:hAnsi="仿宋_GB2312" w:eastAsia="仿宋_GB2312" w:cs="仿宋_GB2312"/>
          <w:sz w:val="32"/>
          <w:highlight w:val="none"/>
          <w:lang w:val="en-US" w:eastAsia="zh-CN"/>
        </w:rPr>
        <w:t>2024年，我行外部监事亲自出席所有监事会，在我行工作时长不低于15个工作日。</w:t>
      </w:r>
    </w:p>
    <w:p w14:paraId="33150C1B">
      <w:pPr>
        <w:pStyle w:val="2"/>
        <w:outlineLvl w:val="2"/>
        <w:rPr>
          <w:rFonts w:hint="eastAsia" w:ascii="仿宋_GB2312" w:hAnsi="仿宋_GB2312" w:eastAsia="仿宋_GB2312" w:cs="仿宋_GB2312"/>
          <w:sz w:val="32"/>
          <w:highlight w:val="none"/>
          <w:lang w:val="en-US" w:eastAsia="zh-CN"/>
        </w:rPr>
      </w:pPr>
      <w:r>
        <w:rPr>
          <w:rFonts w:hint="eastAsia" w:ascii="Times New Roman" w:hAnsi="Times New Roman" w:eastAsia="黑体" w:cs="Times New Roman"/>
          <w:snapToGrid w:val="0"/>
          <w:kern w:val="0"/>
          <w:sz w:val="32"/>
          <w:szCs w:val="32"/>
          <w:highlight w:val="none"/>
          <w:lang w:val="en-US" w:eastAsia="zh-CN" w:bidi="ar-SA"/>
        </w:rPr>
        <w:t>（四）公司治理评价</w:t>
      </w:r>
    </w:p>
    <w:p w14:paraId="4A785B51">
      <w:pPr>
        <w:pStyle w:val="2"/>
        <w:rPr>
          <w:rFonts w:hint="eastAsia"/>
          <w:highlight w:val="none"/>
          <w:lang w:eastAsia="zh-CN"/>
        </w:rPr>
      </w:pPr>
      <w:r>
        <w:rPr>
          <w:rFonts w:hint="eastAsia" w:ascii="仿宋_GB2312" w:hAnsi="仿宋_GB2312" w:eastAsia="仿宋_GB2312" w:cs="仿宋_GB2312"/>
          <w:sz w:val="32"/>
          <w:highlight w:val="none"/>
          <w:lang w:val="en-US" w:eastAsia="zh-CN"/>
        </w:rPr>
        <w:t>监事会对本行的决策程序、内部控制制度的建立与执行情况以及董事、高级管理人员履职情况进行了监督，认为本行决策程序遵守法律法规以及《公司章程》等相关规定；董事会运作规范、决策合理、程序合法，认真执行股东大会的各项决议；董事、高级管理人员执行职务时忠于职守、勤勉尽责，不存在违反法律法规、本行公司章程或损害本行利益的行为。</w:t>
      </w:r>
    </w:p>
    <w:p w14:paraId="00783B9F">
      <w:pPr>
        <w:keepNext w:val="0"/>
        <w:keepLines w:val="0"/>
        <w:pageBreakBefore w:val="0"/>
        <w:kinsoku/>
        <w:wordWrap/>
        <w:overflowPunct/>
        <w:autoSpaceDE/>
        <w:autoSpaceDN/>
        <w:bidi w:val="0"/>
        <w:adjustRightInd w:val="0"/>
        <w:snapToGrid w:val="0"/>
        <w:spacing w:line="560" w:lineRule="exact"/>
        <w:ind w:firstLine="480" w:firstLineChars="150"/>
        <w:outlineLvl w:val="1"/>
        <w:rPr>
          <w:rFonts w:hint="eastAsia" w:ascii="Times New Roman" w:hAnsi="Times New Roman" w:eastAsia="黑体"/>
          <w:bCs/>
          <w:kern w:val="30"/>
          <w:sz w:val="32"/>
          <w:szCs w:val="32"/>
          <w:highlight w:val="none"/>
          <w:lang w:eastAsia="zh-CN"/>
        </w:rPr>
      </w:pPr>
      <w:bookmarkStart w:id="21" w:name="_Toc17320"/>
      <w:r>
        <w:rPr>
          <w:rFonts w:hint="eastAsia" w:ascii="Times New Roman" w:hAnsi="Times New Roman" w:eastAsia="黑体"/>
          <w:bCs/>
          <w:kern w:val="30"/>
          <w:sz w:val="32"/>
          <w:szCs w:val="32"/>
          <w:highlight w:val="none"/>
        </w:rPr>
        <w:t>六、经营管理层</w:t>
      </w:r>
      <w:r>
        <w:rPr>
          <w:rFonts w:hint="eastAsia" w:ascii="Times New Roman" w:hAnsi="Times New Roman" w:eastAsia="黑体"/>
          <w:bCs/>
          <w:kern w:val="30"/>
          <w:sz w:val="32"/>
          <w:szCs w:val="32"/>
          <w:highlight w:val="none"/>
          <w:lang w:eastAsia="zh-CN"/>
        </w:rPr>
        <w:t>构成</w:t>
      </w:r>
      <w:r>
        <w:rPr>
          <w:rFonts w:hint="eastAsia" w:ascii="Times New Roman" w:hAnsi="Times New Roman" w:eastAsia="黑体"/>
          <w:bCs/>
          <w:kern w:val="30"/>
          <w:sz w:val="32"/>
          <w:szCs w:val="32"/>
          <w:highlight w:val="none"/>
        </w:rPr>
        <w:t>及</w:t>
      </w:r>
      <w:r>
        <w:rPr>
          <w:rFonts w:hint="eastAsia" w:ascii="Times New Roman" w:hAnsi="Times New Roman" w:eastAsia="黑体"/>
          <w:bCs/>
          <w:kern w:val="30"/>
          <w:sz w:val="32"/>
          <w:szCs w:val="32"/>
          <w:highlight w:val="none"/>
          <w:lang w:eastAsia="zh-CN"/>
        </w:rPr>
        <w:t>工作职责</w:t>
      </w:r>
      <w:bookmarkEnd w:id="21"/>
    </w:p>
    <w:p w14:paraId="15BD4D9B">
      <w:pPr>
        <w:keepNext w:val="0"/>
        <w:keepLines w:val="0"/>
        <w:pageBreakBefore w:val="0"/>
        <w:kinsoku/>
        <w:wordWrap/>
        <w:overflowPunct/>
        <w:autoSpaceDE/>
        <w:autoSpaceDN/>
        <w:bidi w:val="0"/>
        <w:adjustRightInd w:val="0"/>
        <w:snapToGrid w:val="0"/>
        <w:spacing w:line="560" w:lineRule="exact"/>
        <w:ind w:firstLine="640" w:firstLineChars="200"/>
        <w:outlineLvl w:val="2"/>
        <w:rPr>
          <w:rFonts w:hint="eastAsia" w:ascii="Times New Roman" w:hAnsi="Times New Roman" w:eastAsia="黑体"/>
          <w:snapToGrid w:val="0"/>
          <w:kern w:val="0"/>
          <w:sz w:val="32"/>
          <w:szCs w:val="32"/>
          <w:highlight w:val="none"/>
          <w:lang w:eastAsia="zh-CN"/>
        </w:rPr>
      </w:pPr>
      <w:r>
        <w:rPr>
          <w:rFonts w:hint="eastAsia" w:ascii="Times New Roman" w:hAnsi="Times New Roman" w:eastAsia="黑体"/>
          <w:snapToGrid w:val="0"/>
          <w:kern w:val="0"/>
          <w:sz w:val="32"/>
          <w:szCs w:val="32"/>
          <w:highlight w:val="none"/>
          <w:lang w:eastAsia="zh-CN"/>
        </w:rPr>
        <w:t>（一）经营管理层构成</w:t>
      </w:r>
    </w:p>
    <w:p w14:paraId="2AD32810">
      <w:pPr>
        <w:pStyle w:val="2"/>
        <w:rPr>
          <w:rFonts w:hint="default" w:ascii="仿宋_GB2312" w:hAnsi="仿宋_GB2312" w:eastAsia="仿宋_GB2312" w:cs="仿宋_GB2312"/>
          <w:b w:val="0"/>
          <w:kern w:val="2"/>
          <w:sz w:val="32"/>
          <w:szCs w:val="22"/>
          <w:highlight w:val="none"/>
          <w:lang w:val="en-US" w:eastAsia="zh-CN" w:bidi="ar-SA"/>
        </w:rPr>
      </w:pPr>
      <w:r>
        <w:rPr>
          <w:rFonts w:hint="eastAsia" w:ascii="仿宋_GB2312" w:hAnsi="仿宋_GB2312" w:eastAsia="仿宋_GB2312" w:cs="仿宋_GB2312"/>
          <w:b w:val="0"/>
          <w:kern w:val="2"/>
          <w:sz w:val="32"/>
          <w:szCs w:val="22"/>
          <w:highlight w:val="none"/>
          <w:lang w:val="en-US" w:eastAsia="zh-CN" w:bidi="ar-SA"/>
        </w:rPr>
        <w:t>本行经营管理层的任职资格和选聘程序、经营管理层的人数和人员构成符合《章程》的规定要求。</w:t>
      </w:r>
      <w:r>
        <w:rPr>
          <w:rFonts w:hint="default" w:ascii="仿宋_GB2312" w:hAnsi="仿宋_GB2312" w:eastAsia="仿宋_GB2312" w:cs="仿宋_GB2312"/>
          <w:b w:val="0"/>
          <w:kern w:val="2"/>
          <w:sz w:val="32"/>
          <w:szCs w:val="22"/>
          <w:highlight w:val="none"/>
          <w:lang w:val="en-US" w:eastAsia="zh-CN" w:bidi="ar-SA"/>
        </w:rPr>
        <w:t>202</w:t>
      </w:r>
      <w:r>
        <w:rPr>
          <w:rFonts w:hint="eastAsia" w:ascii="仿宋_GB2312" w:hAnsi="仿宋_GB2312" w:eastAsia="仿宋_GB2312" w:cs="仿宋_GB2312"/>
          <w:b w:val="0"/>
          <w:kern w:val="2"/>
          <w:sz w:val="32"/>
          <w:szCs w:val="22"/>
          <w:highlight w:val="none"/>
          <w:lang w:val="en-US" w:eastAsia="zh-CN" w:bidi="ar-SA"/>
        </w:rPr>
        <w:t>4年，本行经营管理层由3名高级管理人员组成，成员为</w:t>
      </w:r>
      <w:r>
        <w:rPr>
          <w:rFonts w:hint="default" w:ascii="仿宋_GB2312" w:hAnsi="仿宋_GB2312" w:eastAsia="仿宋_GB2312" w:cs="仿宋_GB2312"/>
          <w:b w:val="0"/>
          <w:kern w:val="2"/>
          <w:sz w:val="32"/>
          <w:szCs w:val="22"/>
          <w:highlight w:val="none"/>
          <w:lang w:val="en-US" w:eastAsia="zh-CN" w:bidi="ar-SA"/>
        </w:rPr>
        <w:t>1</w:t>
      </w:r>
      <w:r>
        <w:rPr>
          <w:rFonts w:hint="eastAsia" w:ascii="仿宋_GB2312" w:hAnsi="仿宋_GB2312" w:eastAsia="仿宋_GB2312" w:cs="仿宋_GB2312"/>
          <w:b w:val="0"/>
          <w:kern w:val="2"/>
          <w:sz w:val="32"/>
          <w:szCs w:val="22"/>
          <w:highlight w:val="none"/>
          <w:lang w:val="en-US" w:eastAsia="zh-CN" w:bidi="ar-SA"/>
        </w:rPr>
        <w:t>名代履职行长、2名副行长。</w:t>
      </w:r>
    </w:p>
    <w:p w14:paraId="185A624E">
      <w:pPr>
        <w:keepNext w:val="0"/>
        <w:keepLines w:val="0"/>
        <w:pageBreakBefore w:val="0"/>
        <w:kinsoku/>
        <w:wordWrap/>
        <w:overflowPunct/>
        <w:autoSpaceDE/>
        <w:autoSpaceDN/>
        <w:bidi w:val="0"/>
        <w:adjustRightInd w:val="0"/>
        <w:snapToGrid w:val="0"/>
        <w:spacing w:line="560" w:lineRule="exact"/>
        <w:ind w:firstLine="640" w:firstLineChars="200"/>
        <w:outlineLvl w:val="2"/>
        <w:rPr>
          <w:rFonts w:hint="eastAsia" w:ascii="Times New Roman" w:hAnsi="Times New Roman" w:eastAsia="黑体"/>
          <w:snapToGrid w:val="0"/>
          <w:kern w:val="0"/>
          <w:sz w:val="32"/>
          <w:szCs w:val="32"/>
          <w:highlight w:val="none"/>
          <w:lang w:eastAsia="zh-CN"/>
        </w:rPr>
      </w:pPr>
      <w:r>
        <w:rPr>
          <w:rFonts w:hint="eastAsia" w:ascii="Times New Roman" w:hAnsi="Times New Roman" w:eastAsia="黑体"/>
          <w:snapToGrid w:val="0"/>
          <w:kern w:val="0"/>
          <w:sz w:val="32"/>
          <w:szCs w:val="32"/>
          <w:highlight w:val="none"/>
          <w:lang w:eastAsia="zh-CN"/>
        </w:rPr>
        <w:t>（二）经营管理层工作职责</w:t>
      </w:r>
    </w:p>
    <w:p w14:paraId="55DC5548">
      <w:pPr>
        <w:pStyle w:val="15"/>
        <w:numPr>
          <w:ilvl w:val="0"/>
          <w:numId w:val="0"/>
        </w:numPr>
        <w:ind w:firstLine="640" w:firstLineChars="200"/>
        <w:rPr>
          <w:rFonts w:hint="eastAsia" w:ascii="仿宋_GB2312" w:hAnsi="仿宋_GB2312" w:eastAsia="仿宋_GB2312" w:cs="仿宋_GB2312"/>
          <w:kern w:val="2"/>
          <w:sz w:val="32"/>
          <w:szCs w:val="22"/>
          <w:highlight w:val="none"/>
          <w:lang w:val="en-US" w:eastAsia="zh-CN" w:bidi="ar-SA"/>
        </w:rPr>
      </w:pPr>
      <w:r>
        <w:rPr>
          <w:rFonts w:hint="eastAsia" w:ascii="仿宋_GB2312" w:hAnsi="仿宋_GB2312" w:eastAsia="仿宋_GB2312" w:cs="仿宋_GB2312"/>
          <w:kern w:val="2"/>
          <w:sz w:val="32"/>
          <w:szCs w:val="22"/>
          <w:highlight w:val="none"/>
          <w:lang w:val="en-US" w:eastAsia="zh-CN" w:bidi="ar-SA"/>
        </w:rPr>
        <w:t>经营管理层是本行的执行机构，对董事会负责，同时接受监事会监督，并根据法律法规、监管规定、公司章程，在董事会授权范围内开展经营管理活动，积极执行股东大会及董事会决议。本行行长（代履职行长）主持日常经营管理工作，主要职责包括：组织实施董事会决议、本行年度计划和投资方案；拟订本行内部管理机构设置方案；拟订本行的基本管理制度；拟定本行职工的工资、福利、奖惩、聘用和解聘方案；应当按照董事会、监事会要求，及时、准确、完整地报告本行经营业绩、财务状况、风险状况等经营管理情况，提供有关资料等。副行长主要职责包括：协助行长工作；根据分工和行长授权组织开展经营管理工作；组织领导分管部门起草相关管理制度并组织贯彻落实；组织分管部门（条线）落实案件防控及全面风险管理；就分管部门（条线）重大事项、重大客户、重大项目对外沟通协调；审核分管部门财务预算；组织跟踪分析监管部门相关监管政策和金融同业的发展态势，结合本行实际组织制定升级改造计划，不断提升本行竞争能力和管理水平；负责对分管部门相关工作的安排部署、检查指导、审核把关、监督考核等。</w:t>
      </w:r>
    </w:p>
    <w:p w14:paraId="4488820A">
      <w:pPr>
        <w:pStyle w:val="15"/>
        <w:numPr>
          <w:ilvl w:val="0"/>
          <w:numId w:val="0"/>
        </w:numPr>
        <w:ind w:firstLine="640" w:firstLineChars="200"/>
        <w:outlineLvl w:val="1"/>
        <w:rPr>
          <w:rFonts w:ascii="Times New Roman" w:hAnsi="Times New Roman" w:eastAsia="黑体"/>
          <w:bCs/>
          <w:kern w:val="30"/>
          <w:sz w:val="32"/>
          <w:szCs w:val="32"/>
          <w:highlight w:val="none"/>
        </w:rPr>
      </w:pPr>
      <w:bookmarkStart w:id="22" w:name="_Toc27837"/>
      <w:r>
        <w:rPr>
          <w:rFonts w:hint="eastAsia" w:ascii="Times New Roman" w:hAnsi="Times New Roman" w:eastAsia="黑体"/>
          <w:bCs/>
          <w:kern w:val="30"/>
          <w:sz w:val="32"/>
          <w:szCs w:val="32"/>
          <w:highlight w:val="none"/>
          <w:lang w:eastAsia="zh-CN"/>
        </w:rPr>
        <w:t>七</w:t>
      </w:r>
      <w:r>
        <w:rPr>
          <w:rFonts w:hint="eastAsia" w:ascii="Times New Roman" w:hAnsi="Times New Roman" w:eastAsia="黑体"/>
          <w:bCs/>
          <w:kern w:val="30"/>
          <w:sz w:val="32"/>
          <w:szCs w:val="32"/>
          <w:highlight w:val="none"/>
        </w:rPr>
        <w:t>、职能部门与分支机构设置情况</w:t>
      </w:r>
      <w:bookmarkEnd w:id="22"/>
    </w:p>
    <w:p w14:paraId="3BA48975">
      <w:pPr>
        <w:keepNext w:val="0"/>
        <w:keepLines w:val="0"/>
        <w:pageBreakBefore w:val="0"/>
        <w:kinsoku/>
        <w:wordWrap/>
        <w:overflowPunct/>
        <w:autoSpaceDE/>
        <w:autoSpaceDN/>
        <w:bidi w:val="0"/>
        <w:adjustRightInd w:val="0"/>
        <w:snapToGrid w:val="0"/>
        <w:spacing w:line="560" w:lineRule="exact"/>
        <w:ind w:firstLine="640" w:firstLineChars="200"/>
        <w:outlineLvl w:val="2"/>
        <w:rPr>
          <w:rFonts w:ascii="Times New Roman" w:hAnsi="Times New Roman" w:eastAsia="黑体"/>
          <w:bCs/>
          <w:sz w:val="32"/>
          <w:szCs w:val="32"/>
          <w:highlight w:val="none"/>
        </w:rPr>
      </w:pPr>
      <w:bookmarkStart w:id="23" w:name="_Toc193883079"/>
      <w:r>
        <w:rPr>
          <w:rFonts w:ascii="Times New Roman" w:hAnsi="Times New Roman" w:eastAsia="黑体"/>
          <w:bCs/>
          <w:sz w:val="32"/>
          <w:szCs w:val="32"/>
          <w:highlight w:val="none"/>
        </w:rPr>
        <w:t>（</w:t>
      </w:r>
      <w:r>
        <w:rPr>
          <w:rFonts w:hint="eastAsia" w:ascii="Times New Roman" w:hAnsi="Times New Roman" w:eastAsia="黑体"/>
          <w:bCs/>
          <w:sz w:val="32"/>
          <w:szCs w:val="32"/>
          <w:highlight w:val="none"/>
        </w:rPr>
        <w:t>一</w:t>
      </w:r>
      <w:r>
        <w:rPr>
          <w:rFonts w:ascii="Times New Roman" w:hAnsi="Times New Roman" w:eastAsia="黑体"/>
          <w:bCs/>
          <w:sz w:val="32"/>
          <w:szCs w:val="32"/>
          <w:highlight w:val="none"/>
        </w:rPr>
        <w:t>）</w:t>
      </w:r>
      <w:r>
        <w:rPr>
          <w:rFonts w:hint="eastAsia" w:ascii="Times New Roman" w:hAnsi="Times New Roman" w:eastAsia="黑体"/>
          <w:bCs/>
          <w:sz w:val="32"/>
          <w:szCs w:val="32"/>
          <w:highlight w:val="none"/>
        </w:rPr>
        <w:t>职能部门设置情况</w:t>
      </w:r>
      <w:bookmarkEnd w:id="23"/>
    </w:p>
    <w:p w14:paraId="7D9B87E4">
      <w:pPr>
        <w:spacing w:line="560" w:lineRule="exact"/>
        <w:ind w:firstLine="640" w:firstLineChars="200"/>
        <w:rPr>
          <w:rFonts w:hint="eastAsia" w:ascii="仿宋_GB2312" w:hAnsi="仿宋_GB2312" w:eastAsia="仿宋_GB2312" w:cs="仿宋_GB2312"/>
          <w:b w:val="0"/>
          <w:sz w:val="32"/>
          <w:highlight w:val="none"/>
        </w:rPr>
      </w:pPr>
      <w:r>
        <w:rPr>
          <w:rFonts w:hint="eastAsia" w:ascii="仿宋_GB2312" w:hAnsi="仿宋_GB2312" w:eastAsia="仿宋_GB2312" w:cs="仿宋_GB2312"/>
          <w:b w:val="0"/>
          <w:sz w:val="32"/>
          <w:highlight w:val="none"/>
        </w:rPr>
        <w:t>报告期末，本行内设业务发展部、农村业务部、综合运营部、科技部、稽核审计部、合规风险部、党委组织部、</w:t>
      </w:r>
      <w:r>
        <w:rPr>
          <w:rFonts w:hint="eastAsia" w:ascii="仿宋_GB2312" w:hAnsi="仿宋_GB2312" w:eastAsia="仿宋_GB2312" w:cs="仿宋_GB2312"/>
          <w:b w:val="0"/>
          <w:sz w:val="32"/>
          <w:highlight w:val="none"/>
          <w:lang w:eastAsia="zh-CN"/>
        </w:rPr>
        <w:t>综合保障部</w:t>
      </w:r>
      <w:r>
        <w:rPr>
          <w:rFonts w:hint="eastAsia" w:ascii="仿宋_GB2312" w:hAnsi="仿宋_GB2312" w:eastAsia="仿宋_GB2312" w:cs="仿宋_GB2312"/>
          <w:b w:val="0"/>
          <w:sz w:val="32"/>
          <w:highlight w:val="none"/>
        </w:rPr>
        <w:t>、</w:t>
      </w:r>
      <w:r>
        <w:rPr>
          <w:rFonts w:hint="eastAsia" w:ascii="仿宋_GB2312" w:hAnsi="仿宋_GB2312" w:eastAsia="仿宋_GB2312" w:cs="仿宋_GB2312"/>
          <w:b w:val="0"/>
          <w:sz w:val="32"/>
          <w:highlight w:val="none"/>
          <w:lang w:eastAsia="zh-CN"/>
        </w:rPr>
        <w:t>纪律检查</w:t>
      </w:r>
      <w:r>
        <w:rPr>
          <w:rFonts w:hint="eastAsia" w:ascii="仿宋_GB2312" w:hAnsi="仿宋_GB2312" w:eastAsia="仿宋_GB2312" w:cs="仿宋_GB2312"/>
          <w:b w:val="0"/>
          <w:sz w:val="32"/>
          <w:highlight w:val="none"/>
        </w:rPr>
        <w:t>室</w:t>
      </w:r>
      <w:r>
        <w:rPr>
          <w:rFonts w:hint="default" w:ascii="Times New Roman" w:hAnsi="Times New Roman" w:eastAsia="仿宋_GB2312" w:cs="Times New Roman"/>
          <w:b w:val="0"/>
          <w:sz w:val="32"/>
          <w:highlight w:val="none"/>
        </w:rPr>
        <w:t>10</w:t>
      </w:r>
      <w:r>
        <w:rPr>
          <w:rFonts w:hint="eastAsia" w:ascii="仿宋_GB2312" w:hAnsi="仿宋_GB2312" w:eastAsia="仿宋_GB2312" w:cs="仿宋_GB2312"/>
          <w:b w:val="0"/>
          <w:sz w:val="32"/>
          <w:highlight w:val="none"/>
        </w:rPr>
        <w:t>个机关部室，</w:t>
      </w:r>
      <w:r>
        <w:rPr>
          <w:rFonts w:hint="eastAsia" w:ascii="仿宋_GB2312" w:hAnsi="仿宋_GB2312" w:eastAsia="仿宋_GB2312" w:cs="仿宋_GB2312"/>
          <w:b w:val="0"/>
          <w:sz w:val="32"/>
          <w:highlight w:val="none"/>
          <w:lang w:eastAsia="zh-CN"/>
        </w:rPr>
        <w:t>快贷中心</w:t>
      </w:r>
      <w:r>
        <w:rPr>
          <w:rFonts w:hint="eastAsia" w:ascii="仿宋_GB2312" w:hAnsi="仿宋_GB2312" w:eastAsia="仿宋_GB2312" w:cs="仿宋_GB2312"/>
          <w:b w:val="0"/>
          <w:sz w:val="32"/>
          <w:highlight w:val="none"/>
        </w:rPr>
        <w:t>、授信审批中心和资产管理中心</w:t>
      </w:r>
      <w:r>
        <w:rPr>
          <w:rFonts w:hint="eastAsia" w:ascii="仿宋_GB2312" w:hAnsi="仿宋_GB2312" w:eastAsia="仿宋_GB2312" w:cs="仿宋_GB2312"/>
          <w:b w:val="0"/>
          <w:sz w:val="32"/>
          <w:highlight w:val="none"/>
          <w:lang w:eastAsia="zh-CN"/>
        </w:rPr>
        <w:t>三个事业中心</w:t>
      </w:r>
      <w:r>
        <w:rPr>
          <w:rFonts w:hint="eastAsia" w:ascii="仿宋_GB2312" w:hAnsi="仿宋_GB2312" w:eastAsia="仿宋_GB2312" w:cs="仿宋_GB2312"/>
          <w:b w:val="0"/>
          <w:sz w:val="32"/>
          <w:highlight w:val="none"/>
        </w:rPr>
        <w:t>。</w:t>
      </w:r>
    </w:p>
    <w:p w14:paraId="065E9177">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outlineLvl w:val="2"/>
        <w:rPr>
          <w:rFonts w:ascii="Times New Roman" w:hAnsi="Times New Roman" w:eastAsia="黑体"/>
          <w:bCs/>
          <w:sz w:val="32"/>
          <w:szCs w:val="32"/>
          <w:highlight w:val="none"/>
        </w:rPr>
      </w:pPr>
      <w:r>
        <w:rPr>
          <w:rFonts w:ascii="Times New Roman" w:hAnsi="Times New Roman" w:eastAsia="黑体"/>
          <w:bCs/>
          <w:sz w:val="32"/>
          <w:szCs w:val="32"/>
          <w:highlight w:val="none"/>
        </w:rPr>
        <w:t>（</w:t>
      </w:r>
      <w:r>
        <w:rPr>
          <w:rFonts w:hint="eastAsia" w:ascii="Times New Roman" w:hAnsi="Times New Roman" w:eastAsia="黑体"/>
          <w:bCs/>
          <w:sz w:val="32"/>
          <w:szCs w:val="32"/>
          <w:highlight w:val="none"/>
        </w:rPr>
        <w:t>二</w:t>
      </w:r>
      <w:r>
        <w:rPr>
          <w:rFonts w:ascii="Times New Roman" w:hAnsi="Times New Roman" w:eastAsia="黑体"/>
          <w:bCs/>
          <w:sz w:val="32"/>
          <w:szCs w:val="32"/>
          <w:highlight w:val="none"/>
        </w:rPr>
        <w:t>）</w:t>
      </w:r>
      <w:r>
        <w:rPr>
          <w:rFonts w:hint="eastAsia" w:ascii="Times New Roman" w:hAnsi="Times New Roman" w:eastAsia="黑体"/>
          <w:bCs/>
          <w:sz w:val="32"/>
          <w:szCs w:val="32"/>
          <w:highlight w:val="none"/>
        </w:rPr>
        <w:t>分支机构设置情况</w:t>
      </w:r>
    </w:p>
    <w:p w14:paraId="55607E37">
      <w:pPr>
        <w:spacing w:line="560" w:lineRule="exact"/>
        <w:ind w:firstLine="640" w:firstLineChars="200"/>
        <w:rPr>
          <w:rFonts w:hint="eastAsia" w:ascii="仿宋_GB2312" w:hAnsi="仿宋_GB2312" w:eastAsia="仿宋_GB2312" w:cs="仿宋_GB2312"/>
          <w:color w:val="0000FF"/>
          <w:sz w:val="32"/>
        </w:rPr>
      </w:pPr>
      <w:r>
        <w:rPr>
          <w:rFonts w:hint="eastAsia" w:ascii="仿宋_GB2312" w:hAnsi="仿宋_GB2312" w:eastAsia="仿宋_GB2312" w:cs="仿宋_GB2312"/>
          <w:b w:val="0"/>
          <w:color w:val="auto"/>
          <w:sz w:val="32"/>
        </w:rPr>
        <w:t>全行下辖固定营业网点</w:t>
      </w:r>
      <w:r>
        <w:rPr>
          <w:rFonts w:hint="default" w:ascii="Times New Roman" w:hAnsi="Times New Roman" w:eastAsia="仿宋_GB2312" w:cs="Times New Roman"/>
          <w:b w:val="0"/>
          <w:color w:val="auto"/>
          <w:sz w:val="32"/>
        </w:rPr>
        <w:t>22</w:t>
      </w:r>
      <w:r>
        <w:rPr>
          <w:rFonts w:hint="eastAsia" w:ascii="仿宋_GB2312" w:hAnsi="仿宋_GB2312" w:eastAsia="仿宋_GB2312" w:cs="仿宋_GB2312"/>
          <w:b w:val="0"/>
          <w:color w:val="auto"/>
          <w:sz w:val="32"/>
        </w:rPr>
        <w:t>个，其中营业部</w:t>
      </w:r>
      <w:r>
        <w:rPr>
          <w:rFonts w:hint="default" w:ascii="Times New Roman" w:hAnsi="Times New Roman" w:eastAsia="仿宋_GB2312" w:cs="Times New Roman"/>
          <w:b w:val="0"/>
          <w:color w:val="auto"/>
          <w:sz w:val="32"/>
        </w:rPr>
        <w:t>1</w:t>
      </w:r>
      <w:r>
        <w:rPr>
          <w:rFonts w:hint="eastAsia" w:ascii="仿宋_GB2312" w:hAnsi="仿宋_GB2312" w:eastAsia="仿宋_GB2312" w:cs="仿宋_GB2312"/>
          <w:b w:val="0"/>
          <w:color w:val="auto"/>
          <w:sz w:val="32"/>
        </w:rPr>
        <w:t>家，其中支行</w:t>
      </w:r>
      <w:r>
        <w:rPr>
          <w:rFonts w:hint="default" w:ascii="Times New Roman" w:hAnsi="Times New Roman" w:eastAsia="仿宋_GB2312" w:cs="Times New Roman"/>
          <w:b w:val="0"/>
          <w:color w:val="auto"/>
          <w:sz w:val="32"/>
        </w:rPr>
        <w:t>11</w:t>
      </w:r>
      <w:r>
        <w:rPr>
          <w:rFonts w:hint="eastAsia" w:ascii="仿宋_GB2312" w:hAnsi="仿宋_GB2312" w:eastAsia="仿宋_GB2312" w:cs="仿宋_GB2312"/>
          <w:b w:val="0"/>
          <w:color w:val="auto"/>
          <w:sz w:val="32"/>
        </w:rPr>
        <w:t>个、</w:t>
      </w:r>
      <w:r>
        <w:rPr>
          <w:rFonts w:hint="default" w:ascii="Times New Roman" w:hAnsi="Times New Roman" w:eastAsia="仿宋_GB2312" w:cs="Times New Roman"/>
          <w:b w:val="0"/>
          <w:color w:val="auto"/>
          <w:sz w:val="32"/>
        </w:rPr>
        <w:t>10</w:t>
      </w:r>
      <w:r>
        <w:rPr>
          <w:rFonts w:hint="eastAsia" w:ascii="仿宋_GB2312" w:hAnsi="仿宋_GB2312" w:eastAsia="仿宋_GB2312" w:cs="仿宋_GB2312"/>
          <w:b w:val="0"/>
          <w:color w:val="auto"/>
          <w:sz w:val="32"/>
        </w:rPr>
        <w:t>个分理处；全行在职员工</w:t>
      </w:r>
      <w:r>
        <w:rPr>
          <w:rFonts w:hint="default" w:ascii="Times New Roman" w:hAnsi="Times New Roman" w:eastAsia="仿宋_GB2312" w:cs="Times New Roman"/>
          <w:b w:val="0"/>
          <w:color w:val="auto"/>
          <w:sz w:val="32"/>
          <w:lang w:val="en-US" w:eastAsia="zh-CN"/>
        </w:rPr>
        <w:t>26</w:t>
      </w:r>
      <w:r>
        <w:rPr>
          <w:rFonts w:hint="eastAsia" w:ascii="Times New Roman" w:hAnsi="Times New Roman" w:eastAsia="仿宋_GB2312" w:cs="Times New Roman"/>
          <w:b w:val="0"/>
          <w:color w:val="auto"/>
          <w:sz w:val="32"/>
          <w:lang w:val="en-US" w:eastAsia="zh-CN"/>
        </w:rPr>
        <w:t>1</w:t>
      </w:r>
      <w:r>
        <w:rPr>
          <w:rFonts w:hint="eastAsia" w:ascii="仿宋_GB2312" w:hAnsi="仿宋_GB2312" w:eastAsia="仿宋_GB2312" w:cs="仿宋_GB2312"/>
          <w:b w:val="0"/>
          <w:color w:val="auto"/>
          <w:sz w:val="32"/>
        </w:rPr>
        <w:t>人，其中，合同制员工</w:t>
      </w:r>
      <w:r>
        <w:rPr>
          <w:rFonts w:hint="default" w:ascii="Times New Roman" w:hAnsi="Times New Roman" w:eastAsia="仿宋_GB2312" w:cs="Times New Roman"/>
          <w:b w:val="0"/>
          <w:color w:val="auto"/>
          <w:sz w:val="32"/>
        </w:rPr>
        <w:t>2</w:t>
      </w:r>
      <w:r>
        <w:rPr>
          <w:rFonts w:hint="default" w:ascii="Times New Roman" w:hAnsi="Times New Roman" w:eastAsia="仿宋_GB2312" w:cs="Times New Roman"/>
          <w:b w:val="0"/>
          <w:color w:val="auto"/>
          <w:sz w:val="32"/>
          <w:lang w:val="en-US" w:eastAsia="zh-CN"/>
        </w:rPr>
        <w:t>5</w:t>
      </w:r>
      <w:r>
        <w:rPr>
          <w:rFonts w:hint="eastAsia" w:ascii="Times New Roman" w:hAnsi="Times New Roman" w:eastAsia="仿宋_GB2312" w:cs="Times New Roman"/>
          <w:b w:val="0"/>
          <w:color w:val="auto"/>
          <w:sz w:val="32"/>
          <w:lang w:val="en-US" w:eastAsia="zh-CN"/>
        </w:rPr>
        <w:t>2</w:t>
      </w:r>
      <w:r>
        <w:rPr>
          <w:rFonts w:hint="eastAsia" w:ascii="仿宋_GB2312" w:hAnsi="仿宋_GB2312" w:eastAsia="仿宋_GB2312" w:cs="仿宋_GB2312"/>
          <w:b w:val="0"/>
          <w:color w:val="auto"/>
          <w:sz w:val="32"/>
        </w:rPr>
        <w:t>人、</w:t>
      </w:r>
      <w:r>
        <w:rPr>
          <w:rFonts w:hint="eastAsia" w:ascii="仿宋_GB2312" w:hAnsi="仿宋_GB2312" w:eastAsia="仿宋_GB2312" w:cs="仿宋_GB2312"/>
          <w:b w:val="0"/>
          <w:color w:val="auto"/>
          <w:sz w:val="32"/>
          <w:lang w:eastAsia="zh-CN"/>
        </w:rPr>
        <w:t>工勤人员</w:t>
      </w:r>
      <w:r>
        <w:rPr>
          <w:rFonts w:hint="default" w:ascii="Times New Roman" w:hAnsi="Times New Roman" w:eastAsia="仿宋_GB2312" w:cs="Times New Roman"/>
          <w:b w:val="0"/>
          <w:color w:val="auto"/>
          <w:sz w:val="32"/>
        </w:rPr>
        <w:t>9</w:t>
      </w:r>
      <w:r>
        <w:rPr>
          <w:rFonts w:hint="eastAsia" w:ascii="仿宋_GB2312" w:hAnsi="仿宋_GB2312" w:eastAsia="仿宋_GB2312" w:cs="仿宋_GB2312"/>
          <w:b w:val="0"/>
          <w:color w:val="auto"/>
          <w:sz w:val="32"/>
        </w:rPr>
        <w:t>人。</w:t>
      </w:r>
      <w:r>
        <w:rPr>
          <w:rFonts w:hint="eastAsia" w:ascii="仿宋_GB2312" w:hAnsi="仿宋_GB2312" w:eastAsia="仿宋_GB2312" w:cs="仿宋_GB2312"/>
          <w:color w:val="auto"/>
          <w:sz w:val="32"/>
        </w:rPr>
        <w:t>研究生</w:t>
      </w:r>
      <w:r>
        <w:rPr>
          <w:rFonts w:hint="eastAsia" w:ascii="仿宋_GB2312" w:hAnsi="仿宋_GB2312" w:eastAsia="仿宋_GB2312" w:cs="仿宋_GB2312"/>
          <w:color w:val="auto"/>
          <w:sz w:val="32"/>
          <w:lang w:val="en-US" w:eastAsia="zh-CN"/>
        </w:rPr>
        <w:t>5</w:t>
      </w:r>
      <w:r>
        <w:rPr>
          <w:rFonts w:hint="eastAsia" w:ascii="仿宋_GB2312" w:hAnsi="仿宋_GB2312" w:eastAsia="仿宋_GB2312" w:cs="仿宋_GB2312"/>
          <w:color w:val="auto"/>
          <w:sz w:val="32"/>
        </w:rPr>
        <w:t>人，占比</w:t>
      </w:r>
      <w:r>
        <w:rPr>
          <w:rFonts w:hint="eastAsia" w:ascii="仿宋_GB2312" w:hAnsi="仿宋_GB2312" w:eastAsia="仿宋_GB2312" w:cs="仿宋_GB2312"/>
          <w:color w:val="auto"/>
          <w:sz w:val="32"/>
          <w:lang w:val="en-US" w:eastAsia="zh-CN"/>
        </w:rPr>
        <w:t>1.92</w:t>
      </w:r>
      <w:r>
        <w:rPr>
          <w:rFonts w:hint="eastAsia" w:ascii="仿宋_GB2312" w:hAnsi="仿宋_GB2312" w:eastAsia="仿宋_GB2312" w:cs="仿宋_GB2312"/>
          <w:color w:val="auto"/>
          <w:sz w:val="32"/>
        </w:rPr>
        <w:t>%，本科生</w:t>
      </w:r>
      <w:r>
        <w:rPr>
          <w:rFonts w:hint="eastAsia" w:ascii="仿宋_GB2312" w:hAnsi="仿宋_GB2312" w:eastAsia="仿宋_GB2312" w:cs="仿宋_GB2312"/>
          <w:color w:val="auto"/>
          <w:sz w:val="32"/>
          <w:lang w:val="en-US" w:eastAsia="zh-CN"/>
        </w:rPr>
        <w:t>207</w:t>
      </w:r>
      <w:r>
        <w:rPr>
          <w:rFonts w:hint="eastAsia" w:ascii="仿宋_GB2312" w:hAnsi="仿宋_GB2312" w:eastAsia="仿宋_GB2312" w:cs="仿宋_GB2312"/>
          <w:color w:val="auto"/>
          <w:sz w:val="32"/>
        </w:rPr>
        <w:t>人，占比</w:t>
      </w:r>
      <w:r>
        <w:rPr>
          <w:rFonts w:hint="eastAsia" w:ascii="仿宋_GB2312" w:hAnsi="仿宋_GB2312" w:eastAsia="仿宋_GB2312" w:cs="仿宋_GB2312"/>
          <w:color w:val="auto"/>
          <w:sz w:val="32"/>
          <w:lang w:val="en-US" w:eastAsia="zh-CN"/>
        </w:rPr>
        <w:t>79.31</w:t>
      </w:r>
      <w:r>
        <w:rPr>
          <w:rFonts w:hint="eastAsia" w:ascii="仿宋_GB2312" w:hAnsi="仿宋_GB2312" w:eastAsia="仿宋_GB2312" w:cs="仿宋_GB2312"/>
          <w:color w:val="auto"/>
          <w:sz w:val="32"/>
        </w:rPr>
        <w:t>%，大专及以下学历</w:t>
      </w:r>
      <w:r>
        <w:rPr>
          <w:rFonts w:hint="eastAsia" w:ascii="仿宋_GB2312" w:hAnsi="仿宋_GB2312" w:eastAsia="仿宋_GB2312" w:cs="仿宋_GB2312"/>
          <w:color w:val="auto"/>
          <w:sz w:val="32"/>
          <w:lang w:val="en-US" w:eastAsia="zh-CN"/>
        </w:rPr>
        <w:t>49</w:t>
      </w:r>
      <w:r>
        <w:rPr>
          <w:rFonts w:hint="eastAsia" w:ascii="仿宋_GB2312" w:hAnsi="仿宋_GB2312" w:eastAsia="仿宋_GB2312" w:cs="仿宋_GB2312"/>
          <w:color w:val="auto"/>
          <w:sz w:val="32"/>
        </w:rPr>
        <w:t>人，占比</w:t>
      </w:r>
      <w:r>
        <w:rPr>
          <w:rFonts w:hint="eastAsia" w:ascii="仿宋_GB2312" w:hAnsi="仿宋_GB2312" w:eastAsia="仿宋_GB2312" w:cs="仿宋_GB2312"/>
          <w:color w:val="auto"/>
          <w:sz w:val="32"/>
          <w:lang w:val="en-US" w:eastAsia="zh-CN"/>
        </w:rPr>
        <w:t>18.77</w:t>
      </w:r>
      <w:r>
        <w:rPr>
          <w:rFonts w:hint="eastAsia" w:ascii="仿宋_GB2312" w:hAnsi="仿宋_GB2312" w:eastAsia="仿宋_GB2312" w:cs="仿宋_GB2312"/>
          <w:color w:val="auto"/>
          <w:sz w:val="32"/>
        </w:rPr>
        <w:t>%。</w:t>
      </w:r>
    </w:p>
    <w:p w14:paraId="51D21E3C">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outlineLvl w:val="1"/>
        <w:rPr>
          <w:rFonts w:ascii="Times New Roman" w:hAnsi="Times New Roman" w:eastAsia="黑体"/>
          <w:bCs/>
          <w:color w:val="auto"/>
          <w:kern w:val="30"/>
          <w:sz w:val="32"/>
          <w:szCs w:val="32"/>
          <w:highlight w:val="none"/>
        </w:rPr>
      </w:pPr>
      <w:bookmarkStart w:id="24" w:name="_Toc19087"/>
      <w:r>
        <w:rPr>
          <w:rFonts w:hint="eastAsia" w:ascii="Times New Roman" w:hAnsi="Times New Roman" w:eastAsia="黑体"/>
          <w:bCs/>
          <w:color w:val="auto"/>
          <w:kern w:val="30"/>
          <w:sz w:val="32"/>
          <w:szCs w:val="32"/>
          <w:highlight w:val="none"/>
          <w:lang w:eastAsia="zh-CN"/>
        </w:rPr>
        <w:t>八</w:t>
      </w:r>
      <w:r>
        <w:rPr>
          <w:rFonts w:hint="eastAsia" w:ascii="Times New Roman" w:hAnsi="Times New Roman" w:eastAsia="黑体"/>
          <w:bCs/>
          <w:color w:val="auto"/>
          <w:kern w:val="30"/>
          <w:sz w:val="32"/>
          <w:szCs w:val="32"/>
          <w:highlight w:val="none"/>
        </w:rPr>
        <w:t>、薪酬</w:t>
      </w:r>
      <w:r>
        <w:rPr>
          <w:rFonts w:hint="eastAsia" w:ascii="Times New Roman" w:hAnsi="Times New Roman" w:eastAsia="黑体"/>
          <w:bCs/>
          <w:color w:val="auto"/>
          <w:kern w:val="30"/>
          <w:sz w:val="32"/>
          <w:szCs w:val="32"/>
          <w:highlight w:val="none"/>
          <w:lang w:eastAsia="zh-CN"/>
        </w:rPr>
        <w:t>制度及支付情况</w:t>
      </w:r>
      <w:bookmarkEnd w:id="24"/>
      <w:bookmarkStart w:id="29" w:name="_GoBack"/>
      <w:bookmarkEnd w:id="29"/>
    </w:p>
    <w:p w14:paraId="1C9C681C">
      <w:pPr>
        <w:keepNext w:val="0"/>
        <w:keepLines w:val="0"/>
        <w:pageBreakBefore w:val="0"/>
        <w:kinsoku/>
        <w:wordWrap/>
        <w:overflowPunct/>
        <w:autoSpaceDE/>
        <w:autoSpaceDN/>
        <w:bidi w:val="0"/>
        <w:adjustRightInd w:val="0"/>
        <w:snapToGrid w:val="0"/>
        <w:spacing w:line="560" w:lineRule="exact"/>
        <w:ind w:firstLine="640" w:firstLineChars="200"/>
        <w:outlineLvl w:val="2"/>
        <w:rPr>
          <w:rFonts w:hint="eastAsia" w:ascii="Times New Roman" w:hAnsi="Times New Roman" w:eastAsia="黑体"/>
          <w:snapToGrid w:val="0"/>
          <w:kern w:val="0"/>
          <w:sz w:val="32"/>
          <w:szCs w:val="32"/>
          <w:highlight w:val="none"/>
          <w:lang w:eastAsia="zh-CN"/>
        </w:rPr>
      </w:pPr>
      <w:r>
        <w:rPr>
          <w:rFonts w:hint="eastAsia" w:ascii="Times New Roman" w:hAnsi="Times New Roman" w:eastAsia="黑体"/>
          <w:snapToGrid w:val="0"/>
          <w:kern w:val="0"/>
          <w:sz w:val="32"/>
          <w:szCs w:val="32"/>
          <w:highlight w:val="none"/>
          <w:lang w:eastAsia="zh-CN"/>
        </w:rPr>
        <w:t>（一）薪酬管理架构</w:t>
      </w:r>
    </w:p>
    <w:p w14:paraId="4D836647">
      <w:pPr>
        <w:spacing w:line="560" w:lineRule="exact"/>
        <w:ind w:firstLine="640" w:firstLineChars="200"/>
        <w:rPr>
          <w:rFonts w:hint="default" w:ascii="仿宋_GB2312" w:hAnsi="仿宋_GB2312" w:eastAsia="仿宋_GB2312" w:cs="仿宋_GB2312"/>
          <w:color w:val="FF0000"/>
          <w:sz w:val="32"/>
          <w:highlight w:val="none"/>
          <w:lang w:val="en-US"/>
        </w:rPr>
      </w:pPr>
      <w:r>
        <w:rPr>
          <w:rFonts w:hint="eastAsia" w:ascii="仿宋_GB2312" w:hAnsi="仿宋_GB2312" w:eastAsia="仿宋_GB2312" w:cs="仿宋_GB2312"/>
          <w:color w:val="auto"/>
          <w:sz w:val="32"/>
          <w:highlight w:val="none"/>
        </w:rPr>
        <w:t>本行董事会下设提名与薪酬委员会，根据董事及高级管理人员管理岗位的主要范围、职责、重要性以及上级行业管理部门薪酬指导意见制定薪酬计划或方案，包括但不限于绩效评价标准、程序及主要评价体系，奖励和惩罚的主要方案和制度等</w:t>
      </w:r>
      <w:r>
        <w:rPr>
          <w:rFonts w:hint="eastAsia" w:ascii="仿宋_GB2312" w:hAnsi="仿宋_GB2312" w:eastAsia="仿宋_GB2312" w:cs="仿宋_GB2312"/>
          <w:color w:val="auto"/>
          <w:sz w:val="32"/>
          <w:highlight w:val="none"/>
          <w:lang w:val="en-US" w:eastAsia="zh-CN"/>
        </w:rPr>
        <w:t>;</w:t>
      </w:r>
      <w:r>
        <w:rPr>
          <w:rFonts w:hint="eastAsia" w:ascii="仿宋_GB2312" w:hAnsi="仿宋_GB2312" w:eastAsia="仿宋_GB2312" w:cs="仿宋_GB2312"/>
          <w:color w:val="auto"/>
          <w:sz w:val="32"/>
          <w:highlight w:val="none"/>
          <w:lang w:eastAsia="zh-CN"/>
        </w:rPr>
        <w:t>对本行董事、高级管理人员进行绩效考评</w:t>
      </w:r>
      <w:r>
        <w:rPr>
          <w:rFonts w:hint="eastAsia" w:ascii="仿宋_GB2312" w:hAnsi="仿宋_GB2312" w:eastAsia="仿宋_GB2312" w:cs="仿宋_GB2312"/>
          <w:color w:val="auto"/>
          <w:sz w:val="32"/>
          <w:highlight w:val="none"/>
          <w:lang w:val="en-US" w:eastAsia="zh-CN"/>
        </w:rPr>
        <w:t>;</w:t>
      </w:r>
      <w:r>
        <w:rPr>
          <w:rFonts w:hint="eastAsia" w:ascii="仿宋_GB2312" w:hAnsi="仿宋_GB2312" w:eastAsia="仿宋_GB2312" w:cs="仿宋_GB2312"/>
          <w:color w:val="auto"/>
          <w:sz w:val="32"/>
          <w:highlight w:val="none"/>
          <w:lang w:eastAsia="zh-CN"/>
        </w:rPr>
        <w:t>审议全行薪酬管理制度和政策，对本行薪酬管理制度执行进行监督等。委员会由</w:t>
      </w:r>
      <w:r>
        <w:rPr>
          <w:rFonts w:hint="eastAsia" w:ascii="仿宋_GB2312" w:hAnsi="仿宋_GB2312" w:eastAsia="仿宋_GB2312" w:cs="仿宋_GB2312"/>
          <w:color w:val="auto"/>
          <w:sz w:val="32"/>
          <w:highlight w:val="none"/>
          <w:lang w:val="en-US" w:eastAsia="zh-CN"/>
        </w:rPr>
        <w:t>5名成员组成，主任委员由独立董事担任。</w:t>
      </w:r>
    </w:p>
    <w:p w14:paraId="6F79A38B">
      <w:pPr>
        <w:keepNext w:val="0"/>
        <w:keepLines w:val="0"/>
        <w:pageBreakBefore w:val="0"/>
        <w:kinsoku/>
        <w:wordWrap/>
        <w:overflowPunct/>
        <w:autoSpaceDE/>
        <w:autoSpaceDN/>
        <w:bidi w:val="0"/>
        <w:adjustRightInd w:val="0"/>
        <w:snapToGrid w:val="0"/>
        <w:spacing w:line="560" w:lineRule="exact"/>
        <w:ind w:firstLine="640" w:firstLineChars="200"/>
        <w:outlineLvl w:val="2"/>
        <w:rPr>
          <w:rFonts w:hint="eastAsia" w:ascii="Times New Roman" w:hAnsi="Times New Roman" w:eastAsia="黑体"/>
          <w:snapToGrid w:val="0"/>
          <w:kern w:val="0"/>
          <w:sz w:val="32"/>
          <w:szCs w:val="32"/>
          <w:highlight w:val="none"/>
          <w:lang w:eastAsia="zh-CN"/>
        </w:rPr>
      </w:pPr>
      <w:r>
        <w:rPr>
          <w:rFonts w:hint="eastAsia" w:ascii="Times New Roman" w:hAnsi="Times New Roman" w:eastAsia="黑体"/>
          <w:snapToGrid w:val="0"/>
          <w:kern w:val="0"/>
          <w:sz w:val="32"/>
          <w:szCs w:val="32"/>
          <w:highlight w:val="none"/>
          <w:lang w:eastAsia="zh-CN"/>
        </w:rPr>
        <w:t>（二）薪酬方案</w:t>
      </w:r>
    </w:p>
    <w:p w14:paraId="63C7D9B0">
      <w:pPr>
        <w:spacing w:line="560" w:lineRule="exact"/>
        <w:ind w:firstLine="640" w:firstLineChars="200"/>
        <w:rPr>
          <w:rFonts w:hint="eastAsia" w:ascii="仿宋_GB2312" w:hAnsi="仿宋_GB2312" w:eastAsia="仿宋_GB2312" w:cs="仿宋_GB2312"/>
          <w:color w:val="auto"/>
          <w:sz w:val="32"/>
          <w:highlight w:val="none"/>
        </w:rPr>
      </w:pPr>
      <w:r>
        <w:rPr>
          <w:rFonts w:hint="eastAsia" w:ascii="仿宋_GB2312" w:hAnsi="仿宋_GB2312" w:eastAsia="仿宋_GB2312" w:cs="仿宋_GB2312"/>
          <w:color w:val="auto"/>
          <w:sz w:val="32"/>
          <w:highlight w:val="none"/>
        </w:rPr>
        <w:t>本行根据《商业银行稳健薪酬监管指引》，制定印发了</w:t>
      </w:r>
      <w:r>
        <w:rPr>
          <w:rFonts w:hint="eastAsia" w:ascii="仿宋_GB2312" w:hAnsi="仿宋_GB2312" w:eastAsia="仿宋_GB2312" w:cs="仿宋_GB2312"/>
          <w:color w:val="auto"/>
          <w:sz w:val="32"/>
          <w:highlight w:val="none"/>
          <w:lang w:eastAsia="zh-CN"/>
        </w:rPr>
        <w:t>《贵州惠水农村商业银行股份有限公司薪酬分配管理办法（试行）》</w:t>
      </w:r>
      <w:r>
        <w:rPr>
          <w:rFonts w:hint="eastAsia" w:ascii="仿宋_GB2312" w:hAnsi="仿宋_GB2312" w:eastAsia="仿宋_GB2312" w:cs="仿宋_GB2312"/>
          <w:color w:val="auto"/>
          <w:sz w:val="32"/>
          <w:highlight w:val="none"/>
        </w:rPr>
        <w:t>《</w:t>
      </w:r>
      <w:r>
        <w:rPr>
          <w:rFonts w:hint="eastAsia" w:ascii="仿宋_GB2312" w:hAnsi="仿宋_GB2312" w:eastAsia="仿宋_GB2312" w:cs="仿宋_GB2312"/>
          <w:color w:val="auto"/>
          <w:sz w:val="32"/>
          <w:highlight w:val="none"/>
          <w:lang w:eastAsia="zh-CN"/>
        </w:rPr>
        <w:t>贵州惠水农村商业银行股份有限公司基本薪酬管理办法</w:t>
      </w:r>
      <w:r>
        <w:rPr>
          <w:rFonts w:hint="eastAsia" w:ascii="仿宋_GB2312" w:hAnsi="仿宋_GB2312" w:eastAsia="仿宋_GB2312" w:cs="仿宋_GB2312"/>
          <w:color w:val="auto"/>
          <w:sz w:val="32"/>
          <w:highlight w:val="none"/>
        </w:rPr>
        <w:t>》</w:t>
      </w:r>
      <w:r>
        <w:rPr>
          <w:rFonts w:hint="eastAsia" w:ascii="仿宋_GB2312" w:hAnsi="仿宋_GB2312" w:eastAsia="仿宋_GB2312" w:cs="仿宋_GB2312"/>
          <w:color w:val="auto"/>
          <w:sz w:val="32"/>
          <w:highlight w:val="none"/>
          <w:lang w:eastAsia="zh-CN"/>
        </w:rPr>
        <w:t>《贵州惠水农村商业银行股份有限公司员工绩效薪酬总额管理办法》《贵州惠水农村商业银行股份有限公司202</w:t>
      </w:r>
      <w:r>
        <w:rPr>
          <w:rFonts w:hint="eastAsia" w:ascii="仿宋_GB2312" w:hAnsi="仿宋_GB2312" w:eastAsia="仿宋_GB2312" w:cs="仿宋_GB2312"/>
          <w:color w:val="auto"/>
          <w:sz w:val="32"/>
          <w:highlight w:val="none"/>
          <w:lang w:val="en-US" w:eastAsia="zh-CN"/>
        </w:rPr>
        <w:t>4</w:t>
      </w:r>
      <w:r>
        <w:rPr>
          <w:rFonts w:hint="eastAsia" w:ascii="仿宋_GB2312" w:hAnsi="仿宋_GB2312" w:eastAsia="仿宋_GB2312" w:cs="仿宋_GB2312"/>
          <w:color w:val="auto"/>
          <w:sz w:val="32"/>
          <w:highlight w:val="none"/>
          <w:lang w:eastAsia="zh-CN"/>
        </w:rPr>
        <w:t>年绩效考核管理办法》</w:t>
      </w:r>
      <w:r>
        <w:rPr>
          <w:rFonts w:hint="eastAsia" w:ascii="仿宋_GB2312" w:hAnsi="仿宋_GB2312" w:eastAsia="仿宋_GB2312" w:cs="仿宋_GB2312"/>
          <w:color w:val="auto"/>
          <w:sz w:val="32"/>
          <w:highlight w:val="none"/>
        </w:rPr>
        <w:t>等薪酬制度。本行薪酬政策以经营发展战略为导向，与风险管理体系相协调，员工薪酬由基本薪酬、绩效薪酬</w:t>
      </w:r>
      <w:r>
        <w:rPr>
          <w:rFonts w:hint="eastAsia" w:ascii="仿宋_GB2312" w:hAnsi="仿宋_GB2312" w:eastAsia="仿宋_GB2312" w:cs="仿宋_GB2312"/>
          <w:color w:val="auto"/>
          <w:sz w:val="32"/>
          <w:highlight w:val="none"/>
          <w:lang w:eastAsia="zh-CN"/>
        </w:rPr>
        <w:t>、福利性收入等</w:t>
      </w:r>
      <w:r>
        <w:rPr>
          <w:rFonts w:hint="eastAsia" w:ascii="仿宋_GB2312" w:hAnsi="仿宋_GB2312" w:eastAsia="仿宋_GB2312" w:cs="仿宋_GB2312"/>
          <w:color w:val="auto"/>
          <w:sz w:val="32"/>
          <w:highlight w:val="none"/>
        </w:rPr>
        <w:t>部分组成。其中，基本薪酬是为保障员工基本生活而支付的基本报酬，</w:t>
      </w:r>
      <w:r>
        <w:rPr>
          <w:rFonts w:hint="eastAsia" w:ascii="仿宋_GB2312" w:hAnsi="仿宋_GB2312" w:eastAsia="仿宋_GB2312" w:cs="仿宋_GB2312"/>
          <w:color w:val="auto"/>
          <w:sz w:val="32"/>
          <w:highlight w:val="none"/>
          <w:lang w:eastAsia="zh-CN"/>
        </w:rPr>
        <w:t>由岗位薪酬和津贴补贴构成</w:t>
      </w:r>
      <w:r>
        <w:rPr>
          <w:rFonts w:hint="eastAsia" w:ascii="仿宋_GB2312" w:hAnsi="仿宋_GB2312" w:eastAsia="仿宋_GB2312" w:cs="仿宋_GB2312"/>
          <w:color w:val="auto"/>
          <w:sz w:val="32"/>
          <w:highlight w:val="none"/>
        </w:rPr>
        <w:t>。绩效薪酬是</w:t>
      </w:r>
      <w:r>
        <w:rPr>
          <w:rFonts w:hint="eastAsia" w:ascii="仿宋_GB2312" w:hAnsi="仿宋_GB2312" w:eastAsia="仿宋_GB2312" w:cs="仿宋_GB2312"/>
          <w:color w:val="auto"/>
          <w:sz w:val="32"/>
          <w:highlight w:val="none"/>
          <w:lang w:eastAsia="zh-CN"/>
        </w:rPr>
        <w:t>按照</w:t>
      </w:r>
      <w:r>
        <w:rPr>
          <w:rFonts w:hint="eastAsia" w:ascii="仿宋_GB2312" w:hAnsi="仿宋_GB2312" w:eastAsia="仿宋_GB2312" w:cs="仿宋_GB2312"/>
          <w:color w:val="auto"/>
          <w:sz w:val="32"/>
          <w:highlight w:val="none"/>
        </w:rPr>
        <w:t>本行</w:t>
      </w:r>
      <w:r>
        <w:rPr>
          <w:rFonts w:hint="eastAsia" w:ascii="仿宋_GB2312" w:hAnsi="仿宋_GB2312" w:eastAsia="仿宋_GB2312" w:cs="仿宋_GB2312"/>
          <w:color w:val="auto"/>
          <w:sz w:val="32"/>
          <w:highlight w:val="none"/>
          <w:lang w:eastAsia="zh-CN"/>
        </w:rPr>
        <w:t>绩效</w:t>
      </w:r>
      <w:r>
        <w:rPr>
          <w:rFonts w:hint="eastAsia" w:ascii="仿宋_GB2312" w:hAnsi="仿宋_GB2312" w:eastAsia="仿宋_GB2312" w:cs="仿宋_GB2312"/>
          <w:color w:val="auto"/>
          <w:sz w:val="32"/>
          <w:highlight w:val="none"/>
        </w:rPr>
        <w:t>考核办法</w:t>
      </w:r>
      <w:r>
        <w:rPr>
          <w:rFonts w:hint="eastAsia" w:ascii="仿宋_GB2312" w:hAnsi="仿宋_GB2312" w:eastAsia="仿宋_GB2312" w:cs="仿宋_GB2312"/>
          <w:color w:val="auto"/>
          <w:sz w:val="32"/>
          <w:highlight w:val="none"/>
          <w:lang w:eastAsia="zh-CN"/>
        </w:rPr>
        <w:t>相关规定</w:t>
      </w:r>
      <w:r>
        <w:rPr>
          <w:rFonts w:hint="eastAsia" w:ascii="仿宋_GB2312" w:hAnsi="仿宋_GB2312" w:eastAsia="仿宋_GB2312" w:cs="仿宋_GB2312"/>
          <w:color w:val="auto"/>
          <w:sz w:val="32"/>
          <w:highlight w:val="none"/>
        </w:rPr>
        <w:t>，</w:t>
      </w:r>
      <w:r>
        <w:rPr>
          <w:rFonts w:hint="eastAsia" w:ascii="仿宋_GB2312" w:hAnsi="仿宋_GB2312" w:eastAsia="仿宋_GB2312" w:cs="仿宋_GB2312"/>
          <w:color w:val="auto"/>
          <w:sz w:val="32"/>
          <w:highlight w:val="none"/>
          <w:lang w:eastAsia="zh-CN"/>
        </w:rPr>
        <w:t>根据</w:t>
      </w:r>
      <w:r>
        <w:rPr>
          <w:rFonts w:hint="eastAsia" w:ascii="仿宋_GB2312" w:hAnsi="仿宋_GB2312" w:eastAsia="仿宋_GB2312" w:cs="仿宋_GB2312"/>
          <w:color w:val="auto"/>
          <w:sz w:val="32"/>
          <w:highlight w:val="none"/>
        </w:rPr>
        <w:t>考核结果支付给员工的报酬，绩效薪酬总额按</w:t>
      </w:r>
      <w:r>
        <w:rPr>
          <w:rFonts w:hint="eastAsia" w:ascii="仿宋_GB2312" w:hAnsi="仿宋_GB2312" w:eastAsia="仿宋_GB2312" w:cs="仿宋_GB2312"/>
          <w:color w:val="auto"/>
          <w:sz w:val="32"/>
          <w:highlight w:val="none"/>
          <w:lang w:eastAsia="zh-CN"/>
        </w:rPr>
        <w:t>省联社</w:t>
      </w:r>
      <w:r>
        <w:rPr>
          <w:rFonts w:hint="eastAsia" w:ascii="仿宋_GB2312" w:hAnsi="仿宋_GB2312" w:eastAsia="仿宋_GB2312" w:cs="仿宋_GB2312"/>
          <w:color w:val="auto"/>
          <w:sz w:val="32"/>
          <w:highlight w:val="none"/>
        </w:rPr>
        <w:t>薪酬管理</w:t>
      </w:r>
      <w:r>
        <w:rPr>
          <w:rFonts w:hint="eastAsia" w:ascii="仿宋_GB2312" w:hAnsi="仿宋_GB2312" w:eastAsia="仿宋_GB2312" w:cs="仿宋_GB2312"/>
          <w:color w:val="auto"/>
          <w:sz w:val="32"/>
          <w:highlight w:val="none"/>
          <w:lang w:eastAsia="zh-CN"/>
        </w:rPr>
        <w:t>相关</w:t>
      </w:r>
      <w:r>
        <w:rPr>
          <w:rFonts w:hint="eastAsia" w:ascii="仿宋_GB2312" w:hAnsi="仿宋_GB2312" w:eastAsia="仿宋_GB2312" w:cs="仿宋_GB2312"/>
          <w:color w:val="auto"/>
          <w:sz w:val="32"/>
          <w:highlight w:val="none"/>
        </w:rPr>
        <w:t>指引确定的绩效薪酬的约束执行。福利性收入包括本行为员工缴纳的社会保险费、住房公积金、企业年金等，按国家或当地政府有关法律法规结合本行管理规定执行。本行年度薪酬总额无超出原定薪酬方案的例外情况。</w:t>
      </w:r>
    </w:p>
    <w:p w14:paraId="14A24C90">
      <w:pPr>
        <w:pStyle w:val="2"/>
        <w:rPr>
          <w:rFonts w:hint="eastAsia" w:eastAsia="仿宋_GB2312"/>
          <w:lang w:eastAsia="zh-CN"/>
        </w:rPr>
      </w:pPr>
      <w:r>
        <w:rPr>
          <w:rFonts w:hint="eastAsia" w:ascii="仿宋_GB2312" w:hAnsi="仿宋_GB2312" w:eastAsia="仿宋_GB2312" w:cs="仿宋_GB2312"/>
          <w:color w:val="auto"/>
          <w:sz w:val="32"/>
          <w:highlight w:val="none"/>
          <w:lang w:eastAsia="zh-CN"/>
        </w:rPr>
        <w:t>本行职工薪酬均为现金薪酬，无非现金薪酬形式。</w:t>
      </w:r>
    </w:p>
    <w:p w14:paraId="2728930A">
      <w:pPr>
        <w:keepNext w:val="0"/>
        <w:keepLines w:val="0"/>
        <w:pageBreakBefore w:val="0"/>
        <w:kinsoku/>
        <w:wordWrap/>
        <w:overflowPunct/>
        <w:autoSpaceDE/>
        <w:autoSpaceDN/>
        <w:bidi w:val="0"/>
        <w:adjustRightInd w:val="0"/>
        <w:snapToGrid w:val="0"/>
        <w:spacing w:line="560" w:lineRule="exact"/>
        <w:ind w:firstLine="640" w:firstLineChars="200"/>
        <w:outlineLvl w:val="2"/>
        <w:rPr>
          <w:rFonts w:hint="eastAsia" w:ascii="Times New Roman" w:hAnsi="Times New Roman" w:eastAsia="黑体"/>
          <w:snapToGrid w:val="0"/>
          <w:kern w:val="0"/>
          <w:sz w:val="32"/>
          <w:szCs w:val="32"/>
          <w:highlight w:val="none"/>
          <w:lang w:eastAsia="zh-CN"/>
        </w:rPr>
      </w:pPr>
      <w:r>
        <w:rPr>
          <w:rFonts w:hint="eastAsia" w:ascii="Times New Roman" w:hAnsi="Times New Roman" w:eastAsia="黑体"/>
          <w:snapToGrid w:val="0"/>
          <w:kern w:val="0"/>
          <w:sz w:val="32"/>
          <w:szCs w:val="32"/>
          <w:highlight w:val="none"/>
          <w:lang w:eastAsia="zh-CN"/>
        </w:rPr>
        <w:t>（三）工资总量及结构分布</w:t>
      </w:r>
    </w:p>
    <w:p w14:paraId="18527265">
      <w:pPr>
        <w:spacing w:line="560" w:lineRule="exact"/>
        <w:ind w:firstLine="640" w:firstLineChars="200"/>
        <w:rPr>
          <w:rFonts w:hint="eastAsia" w:ascii="仿宋_GB2312" w:hAnsi="仿宋_GB2312" w:eastAsia="仿宋_GB2312" w:cs="仿宋_GB2312"/>
          <w:color w:val="auto"/>
          <w:sz w:val="32"/>
          <w:highlight w:val="none"/>
        </w:rPr>
      </w:pPr>
      <w:r>
        <w:rPr>
          <w:rFonts w:hint="eastAsia" w:ascii="仿宋_GB2312" w:hAnsi="仿宋_GB2312" w:eastAsia="仿宋_GB2312" w:cs="仿宋_GB2312"/>
          <w:color w:val="auto"/>
          <w:sz w:val="32"/>
          <w:highlight w:val="none"/>
        </w:rPr>
        <w:t>本行严格按照</w:t>
      </w:r>
      <w:r>
        <w:rPr>
          <w:rFonts w:hint="eastAsia" w:ascii="仿宋_GB2312" w:hAnsi="仿宋_GB2312" w:eastAsia="仿宋_GB2312" w:cs="仿宋_GB2312"/>
          <w:color w:val="auto"/>
          <w:sz w:val="32"/>
          <w:highlight w:val="none"/>
          <w:lang w:eastAsia="zh-CN"/>
        </w:rPr>
        <w:t>省联社</w:t>
      </w:r>
      <w:r>
        <w:rPr>
          <w:rFonts w:hint="eastAsia" w:ascii="仿宋_GB2312" w:hAnsi="仿宋_GB2312" w:eastAsia="仿宋_GB2312" w:cs="仿宋_GB2312"/>
          <w:color w:val="auto"/>
          <w:sz w:val="32"/>
          <w:highlight w:val="none"/>
        </w:rPr>
        <w:t>相关要求，结合内部薪酬管理制</w:t>
      </w:r>
    </w:p>
    <w:p w14:paraId="7EAE3474">
      <w:pPr>
        <w:spacing w:line="560" w:lineRule="exact"/>
        <w:rPr>
          <w:rFonts w:hint="default"/>
          <w:highlight w:val="none"/>
          <w:lang w:val="en-US" w:eastAsia="zh-CN"/>
        </w:rPr>
      </w:pPr>
      <w:r>
        <w:rPr>
          <w:rFonts w:hint="eastAsia" w:ascii="仿宋_GB2312" w:hAnsi="仿宋_GB2312" w:eastAsia="仿宋_GB2312" w:cs="仿宋_GB2312"/>
          <w:color w:val="auto"/>
          <w:sz w:val="32"/>
          <w:highlight w:val="none"/>
        </w:rPr>
        <w:t>度，对</w:t>
      </w:r>
      <w:r>
        <w:rPr>
          <w:rFonts w:hint="eastAsia" w:ascii="仿宋_GB2312" w:hAnsi="仿宋_GB2312" w:eastAsia="仿宋_GB2312" w:cs="仿宋_GB2312"/>
          <w:color w:val="auto"/>
          <w:sz w:val="32"/>
          <w:highlight w:val="none"/>
          <w:lang w:eastAsia="zh-CN"/>
        </w:rPr>
        <w:t>本行</w:t>
      </w:r>
      <w:r>
        <w:rPr>
          <w:rFonts w:hint="eastAsia" w:ascii="仿宋_GB2312" w:hAnsi="仿宋_GB2312" w:eastAsia="仿宋_GB2312" w:cs="仿宋_GB2312"/>
          <w:color w:val="auto"/>
          <w:sz w:val="32"/>
          <w:highlight w:val="none"/>
        </w:rPr>
        <w:t>员工薪酬进行核算</w:t>
      </w:r>
      <w:r>
        <w:rPr>
          <w:rFonts w:hint="eastAsia" w:ascii="仿宋_GB2312" w:hAnsi="仿宋_GB2312" w:eastAsia="仿宋_GB2312" w:cs="仿宋_GB2312"/>
          <w:color w:val="auto"/>
          <w:sz w:val="32"/>
          <w:highlight w:val="none"/>
          <w:lang w:eastAsia="zh-CN"/>
        </w:rPr>
        <w:t>，包括基本薪酬、绩效薪酬等。负责人薪酬纳入工资总额核算，在工资总额中单列管理。原则上，基本薪酬在工资总额中的占比 30%左右，高质量发展绩效薪酬在工资总额中的占比应不低于 50%，超绩效薪酬的占比不高于 20%。</w:t>
      </w:r>
    </w:p>
    <w:p w14:paraId="27F3482A">
      <w:pPr>
        <w:keepNext w:val="0"/>
        <w:keepLines w:val="0"/>
        <w:pageBreakBefore w:val="0"/>
        <w:kinsoku/>
        <w:wordWrap/>
        <w:overflowPunct/>
        <w:autoSpaceDE/>
        <w:autoSpaceDN/>
        <w:bidi w:val="0"/>
        <w:adjustRightInd w:val="0"/>
        <w:snapToGrid w:val="0"/>
        <w:spacing w:line="560" w:lineRule="exact"/>
        <w:ind w:firstLine="640" w:firstLineChars="200"/>
        <w:outlineLvl w:val="2"/>
        <w:rPr>
          <w:rFonts w:hint="eastAsia" w:ascii="Times New Roman" w:hAnsi="Times New Roman" w:eastAsia="黑体"/>
          <w:snapToGrid w:val="0"/>
          <w:kern w:val="0"/>
          <w:sz w:val="32"/>
          <w:szCs w:val="32"/>
          <w:highlight w:val="none"/>
          <w:lang w:eastAsia="zh-CN"/>
        </w:rPr>
      </w:pPr>
      <w:r>
        <w:rPr>
          <w:rFonts w:hint="eastAsia" w:ascii="Times New Roman" w:hAnsi="Times New Roman" w:eastAsia="黑体"/>
          <w:snapToGrid w:val="0"/>
          <w:kern w:val="0"/>
          <w:sz w:val="32"/>
          <w:szCs w:val="32"/>
          <w:highlight w:val="none"/>
          <w:lang w:eastAsia="zh-CN"/>
        </w:rPr>
        <w:t>（四）薪酬延期支付及追索扣回</w:t>
      </w:r>
    </w:p>
    <w:p w14:paraId="7B3C4E22">
      <w:pPr>
        <w:numPr>
          <w:ilvl w:val="0"/>
          <w:numId w:val="0"/>
        </w:numPr>
        <w:spacing w:line="560" w:lineRule="exact"/>
        <w:ind w:firstLine="640" w:firstLineChars="200"/>
        <w:rPr>
          <w:rFonts w:hint="eastAsia" w:ascii="仿宋_GB2312" w:hAnsi="仿宋_GB2312" w:eastAsia="仿宋_GB2312" w:cs="仿宋_GB2312"/>
          <w:color w:val="auto"/>
          <w:sz w:val="32"/>
          <w:highlight w:val="none"/>
        </w:rPr>
      </w:pPr>
      <w:r>
        <w:rPr>
          <w:rFonts w:hint="eastAsia" w:ascii="仿宋_GB2312" w:hAnsi="仿宋_GB2312" w:eastAsia="仿宋_GB2312" w:cs="仿宋_GB2312"/>
          <w:color w:val="auto"/>
          <w:sz w:val="32"/>
          <w:highlight w:val="none"/>
        </w:rPr>
        <w:t>本行对高级管理人员及对风险有重要影响岗位上的员工的绩效薪酬实行延期支付制度，并建立追索扣回机制</w:t>
      </w:r>
      <w:r>
        <w:rPr>
          <w:rFonts w:hint="eastAsia" w:ascii="仿宋_GB2312" w:hAnsi="仿宋_GB2312" w:eastAsia="仿宋_GB2312" w:cs="仿宋_GB2312"/>
          <w:color w:val="auto"/>
          <w:sz w:val="32"/>
          <w:highlight w:val="none"/>
          <w:lang w:eastAsia="zh-CN"/>
        </w:rPr>
        <w:t>。</w:t>
      </w:r>
      <w:r>
        <w:rPr>
          <w:rFonts w:hint="eastAsia" w:ascii="仿宋_GB2312" w:hAnsi="仿宋_GB2312" w:eastAsia="仿宋_GB2312" w:cs="仿宋_GB2312"/>
          <w:color w:val="auto"/>
          <w:sz w:val="32"/>
          <w:highlight w:val="none"/>
        </w:rPr>
        <w:t>党委书记、董事长，副董事长、行长延期支付比例为 55％；党委副书记、党委委员、纪委书记、监事长、副行长、风险总监、财务总监、工会主席等延期支付比例为 50％；代为履职的按其代为履职岗位计提延期支付</w:t>
      </w:r>
      <w:r>
        <w:rPr>
          <w:rFonts w:hint="eastAsia" w:ascii="仿宋_GB2312" w:hAnsi="仿宋_GB2312" w:eastAsia="仿宋_GB2312" w:cs="仿宋_GB2312"/>
          <w:color w:val="auto"/>
          <w:sz w:val="32"/>
          <w:highlight w:val="none"/>
          <w:lang w:eastAsia="zh-CN"/>
        </w:rPr>
        <w:t>；</w:t>
      </w:r>
      <w:r>
        <w:rPr>
          <w:rFonts w:hint="eastAsia" w:ascii="仿宋_GB2312" w:hAnsi="仿宋_GB2312" w:eastAsia="仿宋_GB2312" w:cs="仿宋_GB2312"/>
          <w:color w:val="auto"/>
          <w:sz w:val="32"/>
          <w:highlight w:val="none"/>
        </w:rPr>
        <w:t>本行内设部门及派出机构对风险有重要影响的人员，包括董事会秘书、授信审批委员会成员，财务、稽核、风险、合规、业务部门正副职负责人，支行（网点）正副职负责人，延期支付比例为40％</w:t>
      </w:r>
      <w:r>
        <w:rPr>
          <w:rFonts w:hint="eastAsia" w:ascii="仿宋_GB2312" w:hAnsi="仿宋_GB2312" w:eastAsia="仿宋_GB2312" w:cs="仿宋_GB2312"/>
          <w:color w:val="auto"/>
          <w:sz w:val="32"/>
          <w:highlight w:val="none"/>
          <w:lang w:eastAsia="zh-CN"/>
        </w:rPr>
        <w:t>；</w:t>
      </w:r>
      <w:r>
        <w:rPr>
          <w:rFonts w:hint="eastAsia" w:ascii="仿宋_GB2312" w:hAnsi="仿宋_GB2312" w:eastAsia="仿宋_GB2312" w:cs="仿宋_GB2312"/>
          <w:color w:val="auto"/>
          <w:sz w:val="32"/>
          <w:highlight w:val="none"/>
        </w:rPr>
        <w:t>其他部门正副职负责人，本行内设部门助理、支行(网点)负责人助理（不享受待遇的助理，按实际岗位比例执行），综合客户经理、运营经理岗位人员，延期支付比例为 15％</w:t>
      </w:r>
      <w:r>
        <w:rPr>
          <w:rFonts w:hint="eastAsia" w:ascii="仿宋_GB2312" w:hAnsi="仿宋_GB2312" w:eastAsia="仿宋_GB2312" w:cs="仿宋_GB2312"/>
          <w:color w:val="auto"/>
          <w:sz w:val="32"/>
          <w:highlight w:val="none"/>
          <w:lang w:eastAsia="zh-CN"/>
        </w:rPr>
        <w:t>；除前款规定外的</w:t>
      </w:r>
      <w:r>
        <w:rPr>
          <w:rFonts w:hint="eastAsia" w:ascii="仿宋_GB2312" w:hAnsi="仿宋_GB2312" w:eastAsia="仿宋_GB2312" w:cs="仿宋_GB2312"/>
          <w:color w:val="auto"/>
          <w:sz w:val="32"/>
          <w:highlight w:val="none"/>
        </w:rPr>
        <w:t>其他人员，延期支付比例为3%。</w:t>
      </w:r>
    </w:p>
    <w:p w14:paraId="6AAC01DC">
      <w:pPr>
        <w:numPr>
          <w:ilvl w:val="0"/>
          <w:numId w:val="0"/>
        </w:numPr>
        <w:spacing w:line="560" w:lineRule="exact"/>
        <w:ind w:firstLine="640" w:firstLineChars="200"/>
        <w:rPr>
          <w:rFonts w:hint="default" w:ascii="仿宋_GB2312" w:hAnsi="仿宋_GB2312" w:eastAsia="仿宋_GB2312" w:cs="仿宋_GB2312"/>
          <w:color w:val="0000FF"/>
          <w:sz w:val="32"/>
          <w:highlight w:val="none"/>
          <w:lang w:val="en-US" w:eastAsia="zh-CN"/>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eastAsia="zh-CN"/>
        </w:rPr>
        <w:t>本行</w:t>
      </w:r>
      <w:r>
        <w:rPr>
          <w:rFonts w:hint="eastAsia" w:ascii="仿宋_GB2312" w:hAnsi="仿宋_GB2312" w:eastAsia="仿宋_GB2312" w:cs="仿宋_GB2312"/>
          <w:sz w:val="32"/>
          <w:szCs w:val="32"/>
        </w:rPr>
        <w:t>根据责任认定及确认结果，追回相应期限内已发放的绩效薪酬和止付未支付的绩效薪酬（包含延期绩效薪酬）</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充分运用薪酬工具，平衡好当期与长期、收益与风险的关系，确保薪酬激励与风险调整后的业绩相匹配防范激进经营行为和违法违规行为，不断促进本行稳健经营和可持续发展。</w:t>
      </w:r>
      <w:r>
        <w:rPr>
          <w:rFonts w:hint="eastAsia" w:ascii="仿宋_GB2312" w:hAnsi="仿宋_GB2312" w:eastAsia="仿宋_GB2312" w:cs="仿宋_GB2312"/>
          <w:color w:val="auto"/>
          <w:sz w:val="32"/>
          <w:highlight w:val="none"/>
          <w:lang w:val="en-US" w:eastAsia="zh-CN"/>
        </w:rPr>
        <w:t>2024年我们不存在追索扣回情形。</w:t>
      </w:r>
    </w:p>
    <w:p w14:paraId="2F07493A">
      <w:pPr>
        <w:keepNext w:val="0"/>
        <w:keepLines w:val="0"/>
        <w:pageBreakBefore w:val="0"/>
        <w:kinsoku/>
        <w:wordWrap/>
        <w:overflowPunct/>
        <w:autoSpaceDE/>
        <w:autoSpaceDN/>
        <w:bidi w:val="0"/>
        <w:adjustRightInd w:val="0"/>
        <w:snapToGrid w:val="0"/>
        <w:spacing w:line="560" w:lineRule="exact"/>
        <w:ind w:firstLine="640" w:firstLineChars="200"/>
        <w:outlineLvl w:val="2"/>
        <w:rPr>
          <w:rFonts w:hint="eastAsia" w:ascii="Times New Roman" w:hAnsi="Times New Roman" w:eastAsia="黑体"/>
          <w:snapToGrid w:val="0"/>
          <w:kern w:val="0"/>
          <w:sz w:val="32"/>
          <w:szCs w:val="32"/>
          <w:highlight w:val="none"/>
          <w:lang w:eastAsia="zh-CN"/>
        </w:rPr>
      </w:pPr>
      <w:r>
        <w:rPr>
          <w:rFonts w:hint="eastAsia" w:ascii="Times New Roman" w:hAnsi="Times New Roman" w:eastAsia="黑体"/>
          <w:snapToGrid w:val="0"/>
          <w:kern w:val="0"/>
          <w:sz w:val="32"/>
          <w:szCs w:val="32"/>
          <w:highlight w:val="none"/>
          <w:lang w:eastAsia="zh-CN"/>
        </w:rPr>
        <w:t>（五）薪酬与业绩衡量</w:t>
      </w:r>
    </w:p>
    <w:p w14:paraId="7C91348A">
      <w:pPr>
        <w:spacing w:line="560" w:lineRule="exact"/>
        <w:ind w:firstLine="640" w:firstLineChars="200"/>
        <w:rPr>
          <w:rFonts w:hint="eastAsia" w:ascii="仿宋_GB2312" w:hAnsi="仿宋_GB2312" w:eastAsia="仿宋_GB2312" w:cs="仿宋_GB2312"/>
          <w:color w:val="auto"/>
          <w:sz w:val="32"/>
          <w:highlight w:val="none"/>
        </w:rPr>
      </w:pPr>
      <w:r>
        <w:rPr>
          <w:rFonts w:hint="eastAsia" w:ascii="仿宋_GB2312" w:hAnsi="仿宋_GB2312" w:eastAsia="仿宋_GB2312" w:cs="仿宋_GB2312"/>
          <w:color w:val="auto"/>
          <w:sz w:val="32"/>
          <w:highlight w:val="none"/>
        </w:rPr>
        <w:t>本行薪酬兑付与业绩挂钩，本行按年制定涵盖经营发展、内控合规、风险管理、社会责任等方面内容的年度目标，并分解至各业务条线和分支机构，同时根据年度目标制定当年绩效考核办法，依据年度目标的完成情况和绩效考核办法对各业务条线和分支机构兑付薪酬。</w:t>
      </w:r>
    </w:p>
    <w:p w14:paraId="71C1D79F">
      <w:pPr>
        <w:keepNext w:val="0"/>
        <w:keepLines w:val="0"/>
        <w:pageBreakBefore w:val="0"/>
        <w:kinsoku/>
        <w:wordWrap/>
        <w:overflowPunct/>
        <w:autoSpaceDE/>
        <w:autoSpaceDN/>
        <w:bidi w:val="0"/>
        <w:adjustRightInd w:val="0"/>
        <w:snapToGrid w:val="0"/>
        <w:spacing w:line="560" w:lineRule="exact"/>
        <w:ind w:firstLine="640" w:firstLineChars="200"/>
        <w:outlineLvl w:val="2"/>
        <w:rPr>
          <w:rFonts w:hint="eastAsia" w:ascii="Times New Roman" w:hAnsi="Times New Roman" w:eastAsia="黑体"/>
          <w:snapToGrid w:val="0"/>
          <w:kern w:val="0"/>
          <w:sz w:val="32"/>
          <w:szCs w:val="32"/>
          <w:highlight w:val="none"/>
          <w:lang w:eastAsia="zh-CN"/>
        </w:rPr>
      </w:pPr>
      <w:r>
        <w:rPr>
          <w:rFonts w:hint="eastAsia" w:ascii="Times New Roman" w:hAnsi="Times New Roman" w:eastAsia="黑体"/>
          <w:snapToGrid w:val="0"/>
          <w:kern w:val="0"/>
          <w:sz w:val="32"/>
          <w:szCs w:val="32"/>
          <w:highlight w:val="none"/>
          <w:lang w:eastAsia="zh-CN"/>
        </w:rPr>
        <w:t>（六）考核完成情况</w:t>
      </w:r>
    </w:p>
    <w:p w14:paraId="56C2AF74">
      <w:pPr>
        <w:spacing w:line="560" w:lineRule="exact"/>
        <w:ind w:firstLine="640" w:firstLineChars="200"/>
        <w:rPr>
          <w:rFonts w:hint="eastAsia" w:ascii="仿宋_GB2312" w:hAnsi="仿宋_GB2312" w:eastAsia="仿宋_GB2312" w:cs="仿宋_GB2312"/>
          <w:color w:val="FF0000"/>
          <w:sz w:val="32"/>
          <w:highlight w:val="none"/>
        </w:rPr>
      </w:pPr>
      <w:r>
        <w:rPr>
          <w:rFonts w:hint="eastAsia" w:ascii="仿宋_GB2312" w:hAnsi="仿宋_GB2312" w:eastAsia="仿宋_GB2312" w:cs="仿宋_GB2312"/>
          <w:color w:val="auto"/>
          <w:sz w:val="32"/>
          <w:highlight w:val="none"/>
        </w:rPr>
        <w:t>根据《银行业金融机构绩效考评监管指引》，本行设置的绩效考评指标涵盖合规经营类指标、风险管理类指标、经营效益类指标、发展转型类指标和社会责任类指标。202</w:t>
      </w:r>
      <w:r>
        <w:rPr>
          <w:rFonts w:hint="eastAsia" w:ascii="仿宋_GB2312" w:hAnsi="仿宋_GB2312" w:eastAsia="仿宋_GB2312" w:cs="仿宋_GB2312"/>
          <w:color w:val="auto"/>
          <w:sz w:val="32"/>
          <w:highlight w:val="none"/>
          <w:lang w:val="en-US" w:eastAsia="zh-CN"/>
        </w:rPr>
        <w:t>4</w:t>
      </w:r>
      <w:r>
        <w:rPr>
          <w:rFonts w:hint="eastAsia" w:ascii="仿宋_GB2312" w:hAnsi="仿宋_GB2312" w:eastAsia="仿宋_GB2312" w:cs="仿宋_GB2312"/>
          <w:color w:val="auto"/>
          <w:sz w:val="32"/>
          <w:highlight w:val="none"/>
        </w:rPr>
        <w:t>年各项存款、各项贷款、各项收入等指标实现年初既定目标；不良贷款率、拨备覆盖率、资本充足率等风险类考核指标满足监管要求；社会责任类考核指标逐步完善，服务质量持续提升。</w:t>
      </w:r>
    </w:p>
    <w:p w14:paraId="187CE0D0">
      <w:pPr>
        <w:keepNext w:val="0"/>
        <w:keepLines w:val="0"/>
        <w:pageBreakBefore w:val="0"/>
        <w:kinsoku/>
        <w:wordWrap/>
        <w:overflowPunct/>
        <w:autoSpaceDE/>
        <w:autoSpaceDN/>
        <w:bidi w:val="0"/>
        <w:adjustRightInd w:val="0"/>
        <w:snapToGrid w:val="0"/>
        <w:spacing w:line="560" w:lineRule="exact"/>
        <w:jc w:val="center"/>
        <w:outlineLvl w:val="0"/>
        <w:rPr>
          <w:rFonts w:ascii="Times New Roman" w:hAnsi="Times New Roman" w:eastAsia="黑体"/>
          <w:sz w:val="32"/>
          <w:szCs w:val="32"/>
          <w:highlight w:val="none"/>
        </w:rPr>
      </w:pPr>
      <w:bookmarkStart w:id="25" w:name="_Toc11412"/>
      <w:r>
        <w:rPr>
          <w:rFonts w:hint="eastAsia" w:ascii="Times New Roman" w:hAnsi="Times New Roman" w:eastAsia="黑体"/>
          <w:sz w:val="32"/>
          <w:szCs w:val="32"/>
          <w:highlight w:val="none"/>
        </w:rPr>
        <w:t>第六章　　重大事项</w:t>
      </w:r>
      <w:bookmarkEnd w:id="25"/>
    </w:p>
    <w:p w14:paraId="70CA48E3">
      <w:pPr>
        <w:keepNext w:val="0"/>
        <w:keepLines w:val="0"/>
        <w:pageBreakBefore w:val="0"/>
        <w:widowControl/>
        <w:kinsoku/>
        <w:wordWrap/>
        <w:overflowPunct/>
        <w:autoSpaceDE/>
        <w:autoSpaceDN/>
        <w:bidi w:val="0"/>
        <w:adjustRightInd w:val="0"/>
        <w:snapToGrid w:val="0"/>
        <w:spacing w:line="560" w:lineRule="exact"/>
        <w:ind w:firstLine="640" w:firstLineChars="200"/>
        <w:jc w:val="left"/>
        <w:outlineLvl w:val="1"/>
        <w:rPr>
          <w:rFonts w:hint="eastAsia" w:ascii="Times New Roman" w:hAnsi="Times New Roman" w:eastAsia="黑体"/>
          <w:sz w:val="32"/>
          <w:szCs w:val="32"/>
          <w:highlight w:val="none"/>
          <w:lang w:eastAsia="zh-CN"/>
        </w:rPr>
      </w:pPr>
      <w:bookmarkStart w:id="26" w:name="_Toc16390"/>
      <w:r>
        <w:rPr>
          <w:rFonts w:hint="eastAsia" w:ascii="Times New Roman" w:hAnsi="Times New Roman" w:eastAsia="黑体"/>
          <w:sz w:val="32"/>
          <w:szCs w:val="32"/>
          <w:highlight w:val="none"/>
          <w:lang w:eastAsia="zh-CN"/>
        </w:rPr>
        <w:t>一、最大十户股东持股情况</w:t>
      </w:r>
      <w:bookmarkEnd w:id="26"/>
    </w:p>
    <w:p w14:paraId="09119E6D">
      <w:pPr>
        <w:keepNext w:val="0"/>
        <w:keepLines w:val="0"/>
        <w:pageBreakBefore w:val="0"/>
        <w:kinsoku/>
        <w:wordWrap/>
        <w:overflowPunct/>
        <w:autoSpaceDE/>
        <w:autoSpaceDN/>
        <w:bidi w:val="0"/>
        <w:adjustRightInd w:val="0"/>
        <w:snapToGrid w:val="0"/>
        <w:spacing w:line="560" w:lineRule="exact"/>
        <w:ind w:firstLine="640" w:firstLineChars="200"/>
        <w:jc w:val="left"/>
        <w:rPr>
          <w:rFonts w:hint="default" w:ascii="Times New Roman" w:hAnsi="Times New Roman" w:eastAsia="仿宋_GB2312"/>
          <w:sz w:val="32"/>
          <w:szCs w:val="32"/>
          <w:highlight w:val="none"/>
          <w:lang w:val="en-US" w:eastAsia="zh-CN"/>
        </w:rPr>
      </w:pPr>
      <w:bookmarkStart w:id="27" w:name="_Toc5467"/>
      <w:r>
        <w:rPr>
          <w:rFonts w:hint="eastAsia" w:ascii="Times New Roman" w:hAnsi="Times New Roman" w:eastAsia="仿宋_GB2312"/>
          <w:sz w:val="32"/>
          <w:szCs w:val="32"/>
          <w:highlight w:val="none"/>
          <w:lang w:val="en-US" w:eastAsia="zh-CN"/>
        </w:rPr>
        <w:t>2024年度前十大股东持股变更2户。</w:t>
      </w:r>
    </w:p>
    <w:p w14:paraId="46840ADD">
      <w:pPr>
        <w:keepNext w:val="0"/>
        <w:keepLines w:val="0"/>
        <w:pageBreakBefore w:val="0"/>
        <w:widowControl/>
        <w:kinsoku/>
        <w:wordWrap/>
        <w:overflowPunct/>
        <w:autoSpaceDE/>
        <w:autoSpaceDN/>
        <w:bidi w:val="0"/>
        <w:adjustRightInd w:val="0"/>
        <w:snapToGrid w:val="0"/>
        <w:spacing w:line="560" w:lineRule="exact"/>
        <w:ind w:firstLine="640" w:firstLineChars="200"/>
        <w:jc w:val="left"/>
        <w:outlineLvl w:val="1"/>
        <w:rPr>
          <w:rFonts w:ascii="Times New Roman" w:hAnsi="Times New Roman" w:eastAsia="黑体"/>
          <w:sz w:val="32"/>
          <w:szCs w:val="32"/>
          <w:highlight w:val="none"/>
        </w:rPr>
      </w:pPr>
      <w:r>
        <w:rPr>
          <w:rFonts w:hint="eastAsia" w:ascii="Times New Roman" w:hAnsi="Times New Roman" w:eastAsia="黑体"/>
          <w:sz w:val="32"/>
          <w:szCs w:val="32"/>
          <w:highlight w:val="none"/>
        </w:rPr>
        <w:t>二、增加或减少注册资本、分立合并事项</w:t>
      </w:r>
      <w:bookmarkEnd w:id="27"/>
    </w:p>
    <w:p w14:paraId="48CA2F79">
      <w:pPr>
        <w:keepNext w:val="0"/>
        <w:keepLines w:val="0"/>
        <w:pageBreakBefore w:val="0"/>
        <w:kinsoku/>
        <w:wordWrap/>
        <w:overflowPunct/>
        <w:autoSpaceDE/>
        <w:autoSpaceDN/>
        <w:bidi w:val="0"/>
        <w:adjustRightInd w:val="0"/>
        <w:snapToGrid w:val="0"/>
        <w:spacing w:line="560" w:lineRule="exact"/>
        <w:ind w:firstLine="640" w:firstLineChars="200"/>
        <w:jc w:val="left"/>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无增加或减少注册资本及分立合并事项。</w:t>
      </w:r>
    </w:p>
    <w:p w14:paraId="0D60CBB9">
      <w:pPr>
        <w:keepNext w:val="0"/>
        <w:keepLines w:val="0"/>
        <w:pageBreakBefore w:val="0"/>
        <w:kinsoku/>
        <w:wordWrap/>
        <w:overflowPunct/>
        <w:autoSpaceDE/>
        <w:autoSpaceDN/>
        <w:bidi w:val="0"/>
        <w:adjustRightInd w:val="0"/>
        <w:snapToGrid w:val="0"/>
        <w:spacing w:line="560" w:lineRule="exact"/>
        <w:ind w:firstLine="640" w:firstLineChars="200"/>
        <w:outlineLvl w:val="1"/>
        <w:rPr>
          <w:rFonts w:ascii="Times New Roman" w:hAnsi="Times New Roman" w:eastAsia="黑体"/>
          <w:sz w:val="32"/>
          <w:szCs w:val="32"/>
          <w:highlight w:val="none"/>
        </w:rPr>
      </w:pPr>
      <w:bookmarkStart w:id="28" w:name="_Toc29128"/>
      <w:r>
        <w:rPr>
          <w:rFonts w:hint="eastAsia" w:ascii="Times New Roman" w:hAnsi="Times New Roman" w:eastAsia="黑体"/>
          <w:sz w:val="32"/>
          <w:szCs w:val="32"/>
          <w:highlight w:val="none"/>
        </w:rPr>
        <w:t>三、本行、本行董事会及董事接受处罚情况</w:t>
      </w:r>
      <w:bookmarkEnd w:id="28"/>
    </w:p>
    <w:p w14:paraId="232E6BEA">
      <w:pPr>
        <w:pStyle w:val="5"/>
        <w:keepNext w:val="0"/>
        <w:keepLines w:val="0"/>
        <w:pageBreakBefore w:val="0"/>
        <w:widowControl w:val="0"/>
        <w:kinsoku/>
        <w:wordWrap/>
        <w:overflowPunct/>
        <w:topLinePunct w:val="0"/>
        <w:autoSpaceDE/>
        <w:autoSpaceDN/>
        <w:bidi w:val="0"/>
        <w:adjustRightInd/>
        <w:snapToGrid/>
        <w:spacing w:line="560" w:lineRule="exact"/>
        <w:ind w:firstLine="601"/>
        <w:textAlignment w:val="auto"/>
        <w:rPr>
          <w:rFonts w:hint="eastAsia" w:ascii="仿宋_GB2312" w:hAnsi="仿宋_GB2312" w:cs="仿宋_GB2312"/>
          <w:b w:val="0"/>
          <w:kern w:val="2"/>
          <w:sz w:val="32"/>
          <w:szCs w:val="22"/>
          <w:highlight w:val="none"/>
          <w:lang w:val="en-US" w:eastAsia="zh-CN" w:bidi="ar-SA"/>
        </w:rPr>
      </w:pPr>
      <w:r>
        <w:rPr>
          <w:rFonts w:hint="eastAsia" w:ascii="仿宋_GB2312" w:hAnsi="仿宋_GB2312" w:cs="仿宋_GB2312"/>
          <w:b w:val="0"/>
          <w:kern w:val="2"/>
          <w:sz w:val="32"/>
          <w:szCs w:val="22"/>
          <w:highlight w:val="none"/>
          <w:lang w:val="en-US" w:eastAsia="zh-CN" w:bidi="ar-SA"/>
        </w:rPr>
        <w:t>无</w:t>
      </w:r>
    </w:p>
    <w:p w14:paraId="7B0E6E60">
      <w:pPr>
        <w:pStyle w:val="5"/>
        <w:keepNext w:val="0"/>
        <w:keepLines w:val="0"/>
        <w:pageBreakBefore w:val="0"/>
        <w:widowControl w:val="0"/>
        <w:kinsoku/>
        <w:wordWrap/>
        <w:overflowPunct/>
        <w:topLinePunct w:val="0"/>
        <w:autoSpaceDE/>
        <w:autoSpaceDN/>
        <w:bidi w:val="0"/>
        <w:adjustRightInd/>
        <w:snapToGrid/>
        <w:spacing w:line="560" w:lineRule="exact"/>
        <w:ind w:firstLine="601"/>
        <w:textAlignment w:val="auto"/>
        <w:rPr>
          <w:rFonts w:hint="eastAsia" w:ascii="仿宋_GB2312" w:hAnsi="仿宋_GB2312" w:cs="仿宋_GB2312"/>
          <w:b w:val="0"/>
          <w:kern w:val="2"/>
          <w:sz w:val="32"/>
          <w:szCs w:val="22"/>
          <w:highlight w:val="none"/>
          <w:lang w:val="en-US" w:eastAsia="zh-CN" w:bidi="ar-SA"/>
        </w:rPr>
      </w:pPr>
    </w:p>
    <w:p w14:paraId="7346980F">
      <w:pPr>
        <w:pStyle w:val="5"/>
        <w:keepNext w:val="0"/>
        <w:keepLines w:val="0"/>
        <w:pageBreakBefore w:val="0"/>
        <w:widowControl w:val="0"/>
        <w:kinsoku/>
        <w:wordWrap/>
        <w:overflowPunct/>
        <w:topLinePunct w:val="0"/>
        <w:autoSpaceDE/>
        <w:autoSpaceDN/>
        <w:bidi w:val="0"/>
        <w:adjustRightInd/>
        <w:snapToGrid/>
        <w:spacing w:line="560" w:lineRule="exact"/>
        <w:ind w:firstLine="601"/>
        <w:textAlignment w:val="auto"/>
        <w:rPr>
          <w:rFonts w:hint="eastAsia" w:ascii="仿宋_GB2312" w:hAnsi="仿宋_GB2312" w:eastAsia="仿宋_GB2312" w:cs="仿宋_GB2312"/>
          <w:b w:val="0"/>
          <w:kern w:val="2"/>
          <w:sz w:val="32"/>
          <w:szCs w:val="22"/>
          <w:highlight w:val="none"/>
          <w:lang w:val="en-US" w:eastAsia="zh-CN" w:bidi="ar-SA"/>
        </w:rPr>
      </w:pPr>
      <w:r>
        <w:rPr>
          <w:rFonts w:hint="eastAsia" w:ascii="仿宋_GB2312" w:hAnsi="仿宋_GB2312" w:cs="仿宋_GB2312"/>
          <w:b w:val="0"/>
          <w:kern w:val="2"/>
          <w:sz w:val="32"/>
          <w:szCs w:val="22"/>
          <w:highlight w:val="none"/>
          <w:lang w:val="en-US" w:eastAsia="zh-CN" w:bidi="ar-SA"/>
        </w:rPr>
        <w:t>附件：外部审计报告</w:t>
      </w:r>
    </w:p>
    <w:p w14:paraId="14D0A444">
      <w:pPr>
        <w:rPr>
          <w:highlight w:val="none"/>
        </w:rPr>
      </w:pPr>
    </w:p>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decorative"/>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等线">
    <w:altName w:val="微软雅黑"/>
    <w:panose1 w:val="02010600030101010101"/>
    <w:charset w:val="86"/>
    <w:family w:val="roman"/>
    <w:pitch w:val="default"/>
    <w:sig w:usb0="00000000" w:usb1="00000000" w:usb2="00000016" w:usb3="00000000" w:csb0="0004000F" w:csb1="0000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972F25">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B4C5D2">
                          <w:pPr>
                            <w:pStyle w:val="6"/>
                            <w:rPr>
                              <w:rFonts w:hint="eastAsia" w:eastAsia="等线"/>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BB4C5D2">
                    <w:pPr>
                      <w:pStyle w:val="6"/>
                      <w:rPr>
                        <w:rFonts w:hint="eastAsia" w:eastAsia="等线"/>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7AB294B"/>
    <w:multiLevelType w:val="singleLevel"/>
    <w:tmpl w:val="F7AB294B"/>
    <w:lvl w:ilvl="0" w:tentative="0">
      <w:start w:val="2"/>
      <w:numFmt w:val="chineseCounting"/>
      <w:suff w:val="space"/>
      <w:lvlText w:val="第%1章"/>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FhZTQ5ZTA5MzBiZTFmMGQ3NThkOWZjNDYyYjQzNjAifQ=="/>
  </w:docVars>
  <w:rsids>
    <w:rsidRoot w:val="0B2413CC"/>
    <w:rsid w:val="00002775"/>
    <w:rsid w:val="000678D2"/>
    <w:rsid w:val="00084A96"/>
    <w:rsid w:val="00093AA8"/>
    <w:rsid w:val="000A059F"/>
    <w:rsid w:val="0011221D"/>
    <w:rsid w:val="001150CA"/>
    <w:rsid w:val="00131540"/>
    <w:rsid w:val="00140D89"/>
    <w:rsid w:val="001525E9"/>
    <w:rsid w:val="001B476F"/>
    <w:rsid w:val="00221440"/>
    <w:rsid w:val="00273DBE"/>
    <w:rsid w:val="003147D7"/>
    <w:rsid w:val="00343092"/>
    <w:rsid w:val="003864DA"/>
    <w:rsid w:val="00397281"/>
    <w:rsid w:val="00406E5D"/>
    <w:rsid w:val="00497B49"/>
    <w:rsid w:val="004B2C98"/>
    <w:rsid w:val="004C7C51"/>
    <w:rsid w:val="00647C35"/>
    <w:rsid w:val="007E1D08"/>
    <w:rsid w:val="0092179D"/>
    <w:rsid w:val="00AC568E"/>
    <w:rsid w:val="00AF6486"/>
    <w:rsid w:val="00B81DC3"/>
    <w:rsid w:val="00D6516E"/>
    <w:rsid w:val="00E43ADA"/>
    <w:rsid w:val="00F11E3A"/>
    <w:rsid w:val="00F31CDB"/>
    <w:rsid w:val="00F5734F"/>
    <w:rsid w:val="00F7284B"/>
    <w:rsid w:val="00FE79B6"/>
    <w:rsid w:val="010D41FE"/>
    <w:rsid w:val="01127562"/>
    <w:rsid w:val="012A09F8"/>
    <w:rsid w:val="01321062"/>
    <w:rsid w:val="0135358D"/>
    <w:rsid w:val="013757F2"/>
    <w:rsid w:val="013C629F"/>
    <w:rsid w:val="014B17A1"/>
    <w:rsid w:val="01534C2F"/>
    <w:rsid w:val="01622869"/>
    <w:rsid w:val="01647800"/>
    <w:rsid w:val="017174F6"/>
    <w:rsid w:val="01866788"/>
    <w:rsid w:val="018E6778"/>
    <w:rsid w:val="019864D7"/>
    <w:rsid w:val="01A35196"/>
    <w:rsid w:val="01A80E9B"/>
    <w:rsid w:val="01AF2F24"/>
    <w:rsid w:val="01B34B83"/>
    <w:rsid w:val="01C011A9"/>
    <w:rsid w:val="01C0607E"/>
    <w:rsid w:val="01C548D6"/>
    <w:rsid w:val="01C8069B"/>
    <w:rsid w:val="01D40B37"/>
    <w:rsid w:val="01D6439E"/>
    <w:rsid w:val="01DA4FF6"/>
    <w:rsid w:val="01DC6259"/>
    <w:rsid w:val="01E62E22"/>
    <w:rsid w:val="01F70D27"/>
    <w:rsid w:val="01FD60EF"/>
    <w:rsid w:val="020B539C"/>
    <w:rsid w:val="0210031A"/>
    <w:rsid w:val="021B7D6A"/>
    <w:rsid w:val="02240CD6"/>
    <w:rsid w:val="02251D51"/>
    <w:rsid w:val="02351DFB"/>
    <w:rsid w:val="02543060"/>
    <w:rsid w:val="025F748C"/>
    <w:rsid w:val="02711004"/>
    <w:rsid w:val="027B18B9"/>
    <w:rsid w:val="028724F6"/>
    <w:rsid w:val="028A2E31"/>
    <w:rsid w:val="028C4CC2"/>
    <w:rsid w:val="028C7075"/>
    <w:rsid w:val="0290414A"/>
    <w:rsid w:val="02A56776"/>
    <w:rsid w:val="02B0298C"/>
    <w:rsid w:val="02B0463D"/>
    <w:rsid w:val="02B108D5"/>
    <w:rsid w:val="02B24819"/>
    <w:rsid w:val="02BA5677"/>
    <w:rsid w:val="02BC199E"/>
    <w:rsid w:val="02BE4677"/>
    <w:rsid w:val="02C30AB7"/>
    <w:rsid w:val="02C7735E"/>
    <w:rsid w:val="02CA099E"/>
    <w:rsid w:val="02DD60D4"/>
    <w:rsid w:val="02DE3DC3"/>
    <w:rsid w:val="02DE5B96"/>
    <w:rsid w:val="02F7521B"/>
    <w:rsid w:val="030637CE"/>
    <w:rsid w:val="030924F8"/>
    <w:rsid w:val="030A589E"/>
    <w:rsid w:val="030D7AD1"/>
    <w:rsid w:val="031A6B3E"/>
    <w:rsid w:val="031B1BF1"/>
    <w:rsid w:val="031B7551"/>
    <w:rsid w:val="03207F83"/>
    <w:rsid w:val="03274692"/>
    <w:rsid w:val="033F4C00"/>
    <w:rsid w:val="03480624"/>
    <w:rsid w:val="034D25B4"/>
    <w:rsid w:val="035A4761"/>
    <w:rsid w:val="03683EB1"/>
    <w:rsid w:val="036D0A37"/>
    <w:rsid w:val="037B28DE"/>
    <w:rsid w:val="038269F3"/>
    <w:rsid w:val="03853EC3"/>
    <w:rsid w:val="0388044E"/>
    <w:rsid w:val="038C42F6"/>
    <w:rsid w:val="03961803"/>
    <w:rsid w:val="039635DF"/>
    <w:rsid w:val="03AF1213"/>
    <w:rsid w:val="03B80744"/>
    <w:rsid w:val="03B90C9F"/>
    <w:rsid w:val="03B9405A"/>
    <w:rsid w:val="03C72347"/>
    <w:rsid w:val="03D70497"/>
    <w:rsid w:val="03D71744"/>
    <w:rsid w:val="03DF5C55"/>
    <w:rsid w:val="03E70E5B"/>
    <w:rsid w:val="03E854FC"/>
    <w:rsid w:val="03F62893"/>
    <w:rsid w:val="04023E35"/>
    <w:rsid w:val="040804D1"/>
    <w:rsid w:val="040E6D23"/>
    <w:rsid w:val="0415153D"/>
    <w:rsid w:val="041D1257"/>
    <w:rsid w:val="04215714"/>
    <w:rsid w:val="042223EB"/>
    <w:rsid w:val="042C58FF"/>
    <w:rsid w:val="043B4EAD"/>
    <w:rsid w:val="0441224E"/>
    <w:rsid w:val="04480A55"/>
    <w:rsid w:val="044B7483"/>
    <w:rsid w:val="045C2F9B"/>
    <w:rsid w:val="0462179A"/>
    <w:rsid w:val="046338FC"/>
    <w:rsid w:val="04750FEA"/>
    <w:rsid w:val="04892FB9"/>
    <w:rsid w:val="048B3821"/>
    <w:rsid w:val="048F586A"/>
    <w:rsid w:val="048F5F38"/>
    <w:rsid w:val="0492711B"/>
    <w:rsid w:val="049545E5"/>
    <w:rsid w:val="04A44115"/>
    <w:rsid w:val="04AA2E1A"/>
    <w:rsid w:val="04B47DED"/>
    <w:rsid w:val="04B859F4"/>
    <w:rsid w:val="04B92B46"/>
    <w:rsid w:val="04C45A6A"/>
    <w:rsid w:val="04C47B0E"/>
    <w:rsid w:val="04C5235E"/>
    <w:rsid w:val="04CB575C"/>
    <w:rsid w:val="04F51C45"/>
    <w:rsid w:val="04FE12DF"/>
    <w:rsid w:val="05071067"/>
    <w:rsid w:val="050C0F8D"/>
    <w:rsid w:val="05213A63"/>
    <w:rsid w:val="05244102"/>
    <w:rsid w:val="0527026C"/>
    <w:rsid w:val="053466EF"/>
    <w:rsid w:val="05394095"/>
    <w:rsid w:val="053D00AD"/>
    <w:rsid w:val="05484CA4"/>
    <w:rsid w:val="054B14AC"/>
    <w:rsid w:val="05506839"/>
    <w:rsid w:val="05532370"/>
    <w:rsid w:val="055D5928"/>
    <w:rsid w:val="056E59D1"/>
    <w:rsid w:val="056E6416"/>
    <w:rsid w:val="05701E8D"/>
    <w:rsid w:val="057049BD"/>
    <w:rsid w:val="05724051"/>
    <w:rsid w:val="05783618"/>
    <w:rsid w:val="057A4A7A"/>
    <w:rsid w:val="05825E5C"/>
    <w:rsid w:val="05942953"/>
    <w:rsid w:val="05982E1A"/>
    <w:rsid w:val="05AD3C9A"/>
    <w:rsid w:val="05B77B74"/>
    <w:rsid w:val="05BC7788"/>
    <w:rsid w:val="05BD1F45"/>
    <w:rsid w:val="05C1245C"/>
    <w:rsid w:val="05C5748B"/>
    <w:rsid w:val="05CC4396"/>
    <w:rsid w:val="05D269ED"/>
    <w:rsid w:val="05D84306"/>
    <w:rsid w:val="05D8687B"/>
    <w:rsid w:val="05DB0380"/>
    <w:rsid w:val="05ED2341"/>
    <w:rsid w:val="05F74169"/>
    <w:rsid w:val="060020E1"/>
    <w:rsid w:val="060A03EF"/>
    <w:rsid w:val="060B6428"/>
    <w:rsid w:val="061942E0"/>
    <w:rsid w:val="06202F39"/>
    <w:rsid w:val="06237464"/>
    <w:rsid w:val="062C2103"/>
    <w:rsid w:val="06463243"/>
    <w:rsid w:val="064C027C"/>
    <w:rsid w:val="064F18C6"/>
    <w:rsid w:val="06562179"/>
    <w:rsid w:val="06676575"/>
    <w:rsid w:val="0672600B"/>
    <w:rsid w:val="06760EED"/>
    <w:rsid w:val="067663E0"/>
    <w:rsid w:val="06860210"/>
    <w:rsid w:val="068648A0"/>
    <w:rsid w:val="06876292"/>
    <w:rsid w:val="06895CEA"/>
    <w:rsid w:val="06906B87"/>
    <w:rsid w:val="06BA5236"/>
    <w:rsid w:val="06BC2A0D"/>
    <w:rsid w:val="06C415F3"/>
    <w:rsid w:val="06C5008F"/>
    <w:rsid w:val="06C53678"/>
    <w:rsid w:val="06CA1D06"/>
    <w:rsid w:val="06CC2D66"/>
    <w:rsid w:val="06CD0970"/>
    <w:rsid w:val="06DD6C12"/>
    <w:rsid w:val="06DE6F87"/>
    <w:rsid w:val="06EC4872"/>
    <w:rsid w:val="06F20C95"/>
    <w:rsid w:val="06F30869"/>
    <w:rsid w:val="06FF6563"/>
    <w:rsid w:val="0701158F"/>
    <w:rsid w:val="07012DE0"/>
    <w:rsid w:val="071002F4"/>
    <w:rsid w:val="071704A9"/>
    <w:rsid w:val="072F3ADA"/>
    <w:rsid w:val="073717AC"/>
    <w:rsid w:val="0737783F"/>
    <w:rsid w:val="07416600"/>
    <w:rsid w:val="074F7FBC"/>
    <w:rsid w:val="075C3029"/>
    <w:rsid w:val="07631173"/>
    <w:rsid w:val="07634DED"/>
    <w:rsid w:val="076950B6"/>
    <w:rsid w:val="07866606"/>
    <w:rsid w:val="078E529D"/>
    <w:rsid w:val="079D1352"/>
    <w:rsid w:val="079D2254"/>
    <w:rsid w:val="07AF0AEE"/>
    <w:rsid w:val="07B22087"/>
    <w:rsid w:val="07C5612C"/>
    <w:rsid w:val="07CB085C"/>
    <w:rsid w:val="07E26F58"/>
    <w:rsid w:val="07E30A12"/>
    <w:rsid w:val="07E524A3"/>
    <w:rsid w:val="07E87263"/>
    <w:rsid w:val="07EE5C72"/>
    <w:rsid w:val="07F1777F"/>
    <w:rsid w:val="07FB5B2E"/>
    <w:rsid w:val="07FC7AA3"/>
    <w:rsid w:val="07FE588D"/>
    <w:rsid w:val="08053BBA"/>
    <w:rsid w:val="08146D8C"/>
    <w:rsid w:val="08325AC9"/>
    <w:rsid w:val="08343CFD"/>
    <w:rsid w:val="084A00FF"/>
    <w:rsid w:val="08533E11"/>
    <w:rsid w:val="08575008"/>
    <w:rsid w:val="085A7AA3"/>
    <w:rsid w:val="085D5B76"/>
    <w:rsid w:val="08603093"/>
    <w:rsid w:val="08645CB6"/>
    <w:rsid w:val="0867106B"/>
    <w:rsid w:val="08696535"/>
    <w:rsid w:val="08707BEE"/>
    <w:rsid w:val="088A5D96"/>
    <w:rsid w:val="089C2301"/>
    <w:rsid w:val="089F061D"/>
    <w:rsid w:val="08A97F4B"/>
    <w:rsid w:val="08AC149D"/>
    <w:rsid w:val="08B15F54"/>
    <w:rsid w:val="08B226BA"/>
    <w:rsid w:val="08B5256A"/>
    <w:rsid w:val="08BD5478"/>
    <w:rsid w:val="08C06472"/>
    <w:rsid w:val="08C1790C"/>
    <w:rsid w:val="08C65B32"/>
    <w:rsid w:val="08C748B3"/>
    <w:rsid w:val="08CE193B"/>
    <w:rsid w:val="08D25946"/>
    <w:rsid w:val="08DC019A"/>
    <w:rsid w:val="08F25A5C"/>
    <w:rsid w:val="09021EEC"/>
    <w:rsid w:val="09057A8D"/>
    <w:rsid w:val="09103135"/>
    <w:rsid w:val="09195BAB"/>
    <w:rsid w:val="091A2E82"/>
    <w:rsid w:val="091E2273"/>
    <w:rsid w:val="0920184A"/>
    <w:rsid w:val="0921799E"/>
    <w:rsid w:val="092211DF"/>
    <w:rsid w:val="0928775A"/>
    <w:rsid w:val="09331668"/>
    <w:rsid w:val="093A2F85"/>
    <w:rsid w:val="093C73A4"/>
    <w:rsid w:val="09541373"/>
    <w:rsid w:val="09552B72"/>
    <w:rsid w:val="095841EC"/>
    <w:rsid w:val="09666F34"/>
    <w:rsid w:val="096C2E40"/>
    <w:rsid w:val="096D421D"/>
    <w:rsid w:val="0970024D"/>
    <w:rsid w:val="097A3BB9"/>
    <w:rsid w:val="09800E06"/>
    <w:rsid w:val="098114EC"/>
    <w:rsid w:val="098733B8"/>
    <w:rsid w:val="099F3C4C"/>
    <w:rsid w:val="09A324C8"/>
    <w:rsid w:val="09A61D39"/>
    <w:rsid w:val="09AF5B23"/>
    <w:rsid w:val="09B370B8"/>
    <w:rsid w:val="09C51616"/>
    <w:rsid w:val="09C9025A"/>
    <w:rsid w:val="09C92DD0"/>
    <w:rsid w:val="09D06CD7"/>
    <w:rsid w:val="09D309CA"/>
    <w:rsid w:val="09E4061A"/>
    <w:rsid w:val="09EA3528"/>
    <w:rsid w:val="09EC3DE4"/>
    <w:rsid w:val="09F51916"/>
    <w:rsid w:val="0A007747"/>
    <w:rsid w:val="0A031B9A"/>
    <w:rsid w:val="0A125B00"/>
    <w:rsid w:val="0A150B5B"/>
    <w:rsid w:val="0A1922BA"/>
    <w:rsid w:val="0A237C06"/>
    <w:rsid w:val="0A24220A"/>
    <w:rsid w:val="0A2E7FE2"/>
    <w:rsid w:val="0A301781"/>
    <w:rsid w:val="0A3516A6"/>
    <w:rsid w:val="0A3565DE"/>
    <w:rsid w:val="0A404341"/>
    <w:rsid w:val="0A460C0E"/>
    <w:rsid w:val="0A5A7C92"/>
    <w:rsid w:val="0A5D7471"/>
    <w:rsid w:val="0A5E3F49"/>
    <w:rsid w:val="0A5F6D18"/>
    <w:rsid w:val="0A6368FB"/>
    <w:rsid w:val="0A6603B6"/>
    <w:rsid w:val="0A70507D"/>
    <w:rsid w:val="0A73594F"/>
    <w:rsid w:val="0A7B4229"/>
    <w:rsid w:val="0A81706E"/>
    <w:rsid w:val="0A8402A7"/>
    <w:rsid w:val="0A886679"/>
    <w:rsid w:val="0A89384C"/>
    <w:rsid w:val="0A8E4F59"/>
    <w:rsid w:val="0A8E7462"/>
    <w:rsid w:val="0A904122"/>
    <w:rsid w:val="0A9E5A32"/>
    <w:rsid w:val="0AA57C9D"/>
    <w:rsid w:val="0AAA1C5A"/>
    <w:rsid w:val="0AAE281B"/>
    <w:rsid w:val="0AAE7EEF"/>
    <w:rsid w:val="0AB06DE8"/>
    <w:rsid w:val="0ACC0E2C"/>
    <w:rsid w:val="0AD07754"/>
    <w:rsid w:val="0AD434DA"/>
    <w:rsid w:val="0AE83670"/>
    <w:rsid w:val="0AE920FF"/>
    <w:rsid w:val="0AEE2056"/>
    <w:rsid w:val="0AF03A0A"/>
    <w:rsid w:val="0AF12329"/>
    <w:rsid w:val="0AF63051"/>
    <w:rsid w:val="0AFE78EA"/>
    <w:rsid w:val="0B002AE9"/>
    <w:rsid w:val="0B071B63"/>
    <w:rsid w:val="0B0E41EC"/>
    <w:rsid w:val="0B2413CC"/>
    <w:rsid w:val="0B253686"/>
    <w:rsid w:val="0B422D74"/>
    <w:rsid w:val="0B45496F"/>
    <w:rsid w:val="0B471DB3"/>
    <w:rsid w:val="0B4B568E"/>
    <w:rsid w:val="0B565C58"/>
    <w:rsid w:val="0B5E5EFA"/>
    <w:rsid w:val="0B5F3EFE"/>
    <w:rsid w:val="0B61149C"/>
    <w:rsid w:val="0B613FA8"/>
    <w:rsid w:val="0B63153D"/>
    <w:rsid w:val="0B750E0D"/>
    <w:rsid w:val="0B790A7A"/>
    <w:rsid w:val="0B7E579A"/>
    <w:rsid w:val="0B8B7D82"/>
    <w:rsid w:val="0B9D4071"/>
    <w:rsid w:val="0BA87E4C"/>
    <w:rsid w:val="0BD16306"/>
    <w:rsid w:val="0BD23A2A"/>
    <w:rsid w:val="0BE6547F"/>
    <w:rsid w:val="0C1E231B"/>
    <w:rsid w:val="0C210006"/>
    <w:rsid w:val="0C222CA5"/>
    <w:rsid w:val="0C236B60"/>
    <w:rsid w:val="0C240CFB"/>
    <w:rsid w:val="0C252505"/>
    <w:rsid w:val="0C284D0A"/>
    <w:rsid w:val="0C2C4867"/>
    <w:rsid w:val="0C3E2B4F"/>
    <w:rsid w:val="0C4215F3"/>
    <w:rsid w:val="0C4D3AB2"/>
    <w:rsid w:val="0C4D5C83"/>
    <w:rsid w:val="0C511B10"/>
    <w:rsid w:val="0C5D1710"/>
    <w:rsid w:val="0C630D8D"/>
    <w:rsid w:val="0C640542"/>
    <w:rsid w:val="0C682A01"/>
    <w:rsid w:val="0C6934EC"/>
    <w:rsid w:val="0C782FF7"/>
    <w:rsid w:val="0C820930"/>
    <w:rsid w:val="0C830567"/>
    <w:rsid w:val="0C877A79"/>
    <w:rsid w:val="0C8B41E2"/>
    <w:rsid w:val="0C985B04"/>
    <w:rsid w:val="0CA33610"/>
    <w:rsid w:val="0CA93D0C"/>
    <w:rsid w:val="0CAC5B1B"/>
    <w:rsid w:val="0CB21570"/>
    <w:rsid w:val="0CB55111"/>
    <w:rsid w:val="0CBB6DCB"/>
    <w:rsid w:val="0CC23447"/>
    <w:rsid w:val="0CC44FB7"/>
    <w:rsid w:val="0CC9603D"/>
    <w:rsid w:val="0CCE4220"/>
    <w:rsid w:val="0CDB7BD2"/>
    <w:rsid w:val="0CE43DAD"/>
    <w:rsid w:val="0CF44C56"/>
    <w:rsid w:val="0D00773C"/>
    <w:rsid w:val="0D060B13"/>
    <w:rsid w:val="0D0D6AD2"/>
    <w:rsid w:val="0D101234"/>
    <w:rsid w:val="0D162BE9"/>
    <w:rsid w:val="0D1D1034"/>
    <w:rsid w:val="0D2452B1"/>
    <w:rsid w:val="0D2632CC"/>
    <w:rsid w:val="0D293464"/>
    <w:rsid w:val="0D2D5E80"/>
    <w:rsid w:val="0D3722B1"/>
    <w:rsid w:val="0D421522"/>
    <w:rsid w:val="0D467A67"/>
    <w:rsid w:val="0D483841"/>
    <w:rsid w:val="0D4E77E3"/>
    <w:rsid w:val="0D5545EB"/>
    <w:rsid w:val="0D567579"/>
    <w:rsid w:val="0D690933"/>
    <w:rsid w:val="0D6A5594"/>
    <w:rsid w:val="0D6E0A4D"/>
    <w:rsid w:val="0D6E2DD9"/>
    <w:rsid w:val="0D706857"/>
    <w:rsid w:val="0D7438FC"/>
    <w:rsid w:val="0D743E9D"/>
    <w:rsid w:val="0D810C58"/>
    <w:rsid w:val="0D8B5744"/>
    <w:rsid w:val="0D8D2097"/>
    <w:rsid w:val="0D9E0877"/>
    <w:rsid w:val="0DA256ED"/>
    <w:rsid w:val="0DA5540A"/>
    <w:rsid w:val="0DA5791A"/>
    <w:rsid w:val="0DA82F27"/>
    <w:rsid w:val="0DB63786"/>
    <w:rsid w:val="0DBB77AB"/>
    <w:rsid w:val="0DD24F59"/>
    <w:rsid w:val="0DD55D2E"/>
    <w:rsid w:val="0DD623FE"/>
    <w:rsid w:val="0DE065D4"/>
    <w:rsid w:val="0DE66BF9"/>
    <w:rsid w:val="0DE7533C"/>
    <w:rsid w:val="0E0C1537"/>
    <w:rsid w:val="0E114DED"/>
    <w:rsid w:val="0E234B91"/>
    <w:rsid w:val="0E2F6F4A"/>
    <w:rsid w:val="0E302D66"/>
    <w:rsid w:val="0E3626C6"/>
    <w:rsid w:val="0E392B7E"/>
    <w:rsid w:val="0E3A6E45"/>
    <w:rsid w:val="0E426FF4"/>
    <w:rsid w:val="0E4A1AD3"/>
    <w:rsid w:val="0E4A29A2"/>
    <w:rsid w:val="0E4B4412"/>
    <w:rsid w:val="0E4E14C7"/>
    <w:rsid w:val="0E4E1926"/>
    <w:rsid w:val="0E536FCB"/>
    <w:rsid w:val="0E857600"/>
    <w:rsid w:val="0E8805E5"/>
    <w:rsid w:val="0E8F07C5"/>
    <w:rsid w:val="0E95012C"/>
    <w:rsid w:val="0E984EBC"/>
    <w:rsid w:val="0E9E22C5"/>
    <w:rsid w:val="0E9E52BE"/>
    <w:rsid w:val="0EA13073"/>
    <w:rsid w:val="0EA41831"/>
    <w:rsid w:val="0EA57448"/>
    <w:rsid w:val="0EA60A08"/>
    <w:rsid w:val="0EA70BB4"/>
    <w:rsid w:val="0EA72F3E"/>
    <w:rsid w:val="0EAA3571"/>
    <w:rsid w:val="0EAC7115"/>
    <w:rsid w:val="0EAD7412"/>
    <w:rsid w:val="0EB21547"/>
    <w:rsid w:val="0EC27D0D"/>
    <w:rsid w:val="0ECD61E4"/>
    <w:rsid w:val="0ECD6CD2"/>
    <w:rsid w:val="0ED8666E"/>
    <w:rsid w:val="0EE5631F"/>
    <w:rsid w:val="0EF93BCE"/>
    <w:rsid w:val="0EFA338A"/>
    <w:rsid w:val="0F13144A"/>
    <w:rsid w:val="0F16162D"/>
    <w:rsid w:val="0F410270"/>
    <w:rsid w:val="0F485F5C"/>
    <w:rsid w:val="0F4A624D"/>
    <w:rsid w:val="0F4D7E44"/>
    <w:rsid w:val="0F651764"/>
    <w:rsid w:val="0F664494"/>
    <w:rsid w:val="0F66723B"/>
    <w:rsid w:val="0F6B658B"/>
    <w:rsid w:val="0F6E0D04"/>
    <w:rsid w:val="0F7111FC"/>
    <w:rsid w:val="0F776B49"/>
    <w:rsid w:val="0F7F56FC"/>
    <w:rsid w:val="0F85709B"/>
    <w:rsid w:val="0F8C5949"/>
    <w:rsid w:val="0F8D7CF3"/>
    <w:rsid w:val="0F996976"/>
    <w:rsid w:val="0F9C1D06"/>
    <w:rsid w:val="0FA373B4"/>
    <w:rsid w:val="0FA4500D"/>
    <w:rsid w:val="0FA740B3"/>
    <w:rsid w:val="0FAD5049"/>
    <w:rsid w:val="0FB0421E"/>
    <w:rsid w:val="0FB06B20"/>
    <w:rsid w:val="0FB41A40"/>
    <w:rsid w:val="0FB83DB7"/>
    <w:rsid w:val="0FCA2C51"/>
    <w:rsid w:val="0FD03469"/>
    <w:rsid w:val="0FF2311E"/>
    <w:rsid w:val="10071A9C"/>
    <w:rsid w:val="101260F5"/>
    <w:rsid w:val="101753E6"/>
    <w:rsid w:val="10175DBD"/>
    <w:rsid w:val="101E02C3"/>
    <w:rsid w:val="101E5B82"/>
    <w:rsid w:val="101F6136"/>
    <w:rsid w:val="103134A4"/>
    <w:rsid w:val="10351FB8"/>
    <w:rsid w:val="1041149F"/>
    <w:rsid w:val="10417EDB"/>
    <w:rsid w:val="1044121B"/>
    <w:rsid w:val="10467BF6"/>
    <w:rsid w:val="104C7C6A"/>
    <w:rsid w:val="105C36BA"/>
    <w:rsid w:val="106E0C3C"/>
    <w:rsid w:val="107319E4"/>
    <w:rsid w:val="10780C26"/>
    <w:rsid w:val="10787567"/>
    <w:rsid w:val="107F6046"/>
    <w:rsid w:val="108941D1"/>
    <w:rsid w:val="10952116"/>
    <w:rsid w:val="109B4F96"/>
    <w:rsid w:val="109F7E65"/>
    <w:rsid w:val="10A458E8"/>
    <w:rsid w:val="10A82929"/>
    <w:rsid w:val="10A86096"/>
    <w:rsid w:val="10BC7A71"/>
    <w:rsid w:val="10BF6B22"/>
    <w:rsid w:val="10C63286"/>
    <w:rsid w:val="10CD318F"/>
    <w:rsid w:val="10D40902"/>
    <w:rsid w:val="10D82051"/>
    <w:rsid w:val="10DA7F9A"/>
    <w:rsid w:val="10E06F9D"/>
    <w:rsid w:val="10E25499"/>
    <w:rsid w:val="10E5517D"/>
    <w:rsid w:val="10E91163"/>
    <w:rsid w:val="10F83C11"/>
    <w:rsid w:val="10FA161C"/>
    <w:rsid w:val="11026938"/>
    <w:rsid w:val="11077E0D"/>
    <w:rsid w:val="11203120"/>
    <w:rsid w:val="1129563C"/>
    <w:rsid w:val="112B7388"/>
    <w:rsid w:val="11381045"/>
    <w:rsid w:val="113A552F"/>
    <w:rsid w:val="113D0CA3"/>
    <w:rsid w:val="11471C55"/>
    <w:rsid w:val="114B72A6"/>
    <w:rsid w:val="11580F8E"/>
    <w:rsid w:val="11622ED8"/>
    <w:rsid w:val="11635D53"/>
    <w:rsid w:val="116E6657"/>
    <w:rsid w:val="11787608"/>
    <w:rsid w:val="117B02DE"/>
    <w:rsid w:val="117C5186"/>
    <w:rsid w:val="117E6449"/>
    <w:rsid w:val="11916D34"/>
    <w:rsid w:val="119414B8"/>
    <w:rsid w:val="119D0B2F"/>
    <w:rsid w:val="11A20394"/>
    <w:rsid w:val="11A53CFF"/>
    <w:rsid w:val="11A6276E"/>
    <w:rsid w:val="11A852B0"/>
    <w:rsid w:val="11AD376C"/>
    <w:rsid w:val="11AF50D2"/>
    <w:rsid w:val="11AF626D"/>
    <w:rsid w:val="11B57274"/>
    <w:rsid w:val="11B94260"/>
    <w:rsid w:val="11BD6C52"/>
    <w:rsid w:val="11CC4A41"/>
    <w:rsid w:val="11E3075E"/>
    <w:rsid w:val="11E66A1B"/>
    <w:rsid w:val="11F20D39"/>
    <w:rsid w:val="120009D8"/>
    <w:rsid w:val="120626E6"/>
    <w:rsid w:val="120A2D41"/>
    <w:rsid w:val="120D7F10"/>
    <w:rsid w:val="12197E51"/>
    <w:rsid w:val="12272C33"/>
    <w:rsid w:val="12313BAA"/>
    <w:rsid w:val="123B3402"/>
    <w:rsid w:val="12465F22"/>
    <w:rsid w:val="12484B6F"/>
    <w:rsid w:val="124E2C04"/>
    <w:rsid w:val="12555004"/>
    <w:rsid w:val="125B061F"/>
    <w:rsid w:val="125F79ED"/>
    <w:rsid w:val="1262638E"/>
    <w:rsid w:val="12664B2B"/>
    <w:rsid w:val="1269105A"/>
    <w:rsid w:val="12854CA0"/>
    <w:rsid w:val="12883BC6"/>
    <w:rsid w:val="12887BEB"/>
    <w:rsid w:val="12953837"/>
    <w:rsid w:val="12984A75"/>
    <w:rsid w:val="12A409F4"/>
    <w:rsid w:val="12A657FD"/>
    <w:rsid w:val="12A92C1E"/>
    <w:rsid w:val="12AB0AF5"/>
    <w:rsid w:val="12AC0CB4"/>
    <w:rsid w:val="12AD5092"/>
    <w:rsid w:val="12AF6FCF"/>
    <w:rsid w:val="12B77461"/>
    <w:rsid w:val="12D60D85"/>
    <w:rsid w:val="12DB4F3C"/>
    <w:rsid w:val="12E548A3"/>
    <w:rsid w:val="12F57C6F"/>
    <w:rsid w:val="12FD16E3"/>
    <w:rsid w:val="12FD7DC5"/>
    <w:rsid w:val="13016DC3"/>
    <w:rsid w:val="13090897"/>
    <w:rsid w:val="131116A6"/>
    <w:rsid w:val="131845C5"/>
    <w:rsid w:val="131F5C5D"/>
    <w:rsid w:val="13253F51"/>
    <w:rsid w:val="132574C2"/>
    <w:rsid w:val="132774C5"/>
    <w:rsid w:val="132C1B08"/>
    <w:rsid w:val="13392902"/>
    <w:rsid w:val="133A1F9C"/>
    <w:rsid w:val="133A7199"/>
    <w:rsid w:val="133B39ED"/>
    <w:rsid w:val="1340237C"/>
    <w:rsid w:val="134A6C83"/>
    <w:rsid w:val="135040CC"/>
    <w:rsid w:val="13540A2F"/>
    <w:rsid w:val="13586586"/>
    <w:rsid w:val="135876D6"/>
    <w:rsid w:val="135B6B30"/>
    <w:rsid w:val="135E7DA5"/>
    <w:rsid w:val="135F10B6"/>
    <w:rsid w:val="13643E47"/>
    <w:rsid w:val="136A3E02"/>
    <w:rsid w:val="137018BE"/>
    <w:rsid w:val="13717C56"/>
    <w:rsid w:val="13775223"/>
    <w:rsid w:val="137B3B28"/>
    <w:rsid w:val="13880FB9"/>
    <w:rsid w:val="13892BEA"/>
    <w:rsid w:val="1390572D"/>
    <w:rsid w:val="13950DD8"/>
    <w:rsid w:val="13A86E30"/>
    <w:rsid w:val="13AF4205"/>
    <w:rsid w:val="13B22104"/>
    <w:rsid w:val="13B22223"/>
    <w:rsid w:val="13BD6645"/>
    <w:rsid w:val="13BF2150"/>
    <w:rsid w:val="13C32443"/>
    <w:rsid w:val="13DD5CA3"/>
    <w:rsid w:val="13E01B11"/>
    <w:rsid w:val="13E1640A"/>
    <w:rsid w:val="13E5461E"/>
    <w:rsid w:val="13EE0268"/>
    <w:rsid w:val="13F40EF7"/>
    <w:rsid w:val="13FF3265"/>
    <w:rsid w:val="14042291"/>
    <w:rsid w:val="141359E6"/>
    <w:rsid w:val="141615DB"/>
    <w:rsid w:val="14240686"/>
    <w:rsid w:val="14285B0B"/>
    <w:rsid w:val="143606BA"/>
    <w:rsid w:val="14360C71"/>
    <w:rsid w:val="143B0754"/>
    <w:rsid w:val="144027AD"/>
    <w:rsid w:val="144B5650"/>
    <w:rsid w:val="144D57A0"/>
    <w:rsid w:val="144E154A"/>
    <w:rsid w:val="144F3DD7"/>
    <w:rsid w:val="14517C67"/>
    <w:rsid w:val="145A16D6"/>
    <w:rsid w:val="145C453B"/>
    <w:rsid w:val="14606F34"/>
    <w:rsid w:val="14637E8D"/>
    <w:rsid w:val="146A01B4"/>
    <w:rsid w:val="14717817"/>
    <w:rsid w:val="147345F5"/>
    <w:rsid w:val="147D134E"/>
    <w:rsid w:val="148017DE"/>
    <w:rsid w:val="14814864"/>
    <w:rsid w:val="14880FEE"/>
    <w:rsid w:val="148E0685"/>
    <w:rsid w:val="149703E8"/>
    <w:rsid w:val="149740D8"/>
    <w:rsid w:val="149D516B"/>
    <w:rsid w:val="14A23543"/>
    <w:rsid w:val="14A71BDD"/>
    <w:rsid w:val="14AE1D2F"/>
    <w:rsid w:val="14AF441A"/>
    <w:rsid w:val="14B35343"/>
    <w:rsid w:val="14BD7A7A"/>
    <w:rsid w:val="14BF7AE5"/>
    <w:rsid w:val="14CA7E17"/>
    <w:rsid w:val="14CE2D77"/>
    <w:rsid w:val="14D51689"/>
    <w:rsid w:val="14D651DA"/>
    <w:rsid w:val="14DD287E"/>
    <w:rsid w:val="14DD7583"/>
    <w:rsid w:val="14E104C1"/>
    <w:rsid w:val="14E77723"/>
    <w:rsid w:val="14F41EE0"/>
    <w:rsid w:val="150070F7"/>
    <w:rsid w:val="1501480A"/>
    <w:rsid w:val="15093B8C"/>
    <w:rsid w:val="150B2BFB"/>
    <w:rsid w:val="15135662"/>
    <w:rsid w:val="15166CA6"/>
    <w:rsid w:val="151F119A"/>
    <w:rsid w:val="151F1A40"/>
    <w:rsid w:val="152225FA"/>
    <w:rsid w:val="152B0480"/>
    <w:rsid w:val="153E1B0A"/>
    <w:rsid w:val="15404062"/>
    <w:rsid w:val="15441317"/>
    <w:rsid w:val="15477A26"/>
    <w:rsid w:val="15495365"/>
    <w:rsid w:val="154B161A"/>
    <w:rsid w:val="1557406D"/>
    <w:rsid w:val="155E15A0"/>
    <w:rsid w:val="15617B99"/>
    <w:rsid w:val="156C4AA0"/>
    <w:rsid w:val="156F2BC4"/>
    <w:rsid w:val="157121C6"/>
    <w:rsid w:val="157819CB"/>
    <w:rsid w:val="1578220D"/>
    <w:rsid w:val="15951202"/>
    <w:rsid w:val="15AA7DAD"/>
    <w:rsid w:val="15AF3985"/>
    <w:rsid w:val="15B333CD"/>
    <w:rsid w:val="15B413E9"/>
    <w:rsid w:val="15CE00E6"/>
    <w:rsid w:val="15DC08DE"/>
    <w:rsid w:val="15EF14DE"/>
    <w:rsid w:val="15EF2045"/>
    <w:rsid w:val="15F70B4E"/>
    <w:rsid w:val="15F83C6E"/>
    <w:rsid w:val="16012014"/>
    <w:rsid w:val="16023C27"/>
    <w:rsid w:val="16036F9B"/>
    <w:rsid w:val="16101C45"/>
    <w:rsid w:val="16132C86"/>
    <w:rsid w:val="16160CFB"/>
    <w:rsid w:val="161F0363"/>
    <w:rsid w:val="16250884"/>
    <w:rsid w:val="162568BB"/>
    <w:rsid w:val="162627F4"/>
    <w:rsid w:val="162C2E26"/>
    <w:rsid w:val="1644761D"/>
    <w:rsid w:val="16457B09"/>
    <w:rsid w:val="16581DD5"/>
    <w:rsid w:val="16665F44"/>
    <w:rsid w:val="16676047"/>
    <w:rsid w:val="16687CBF"/>
    <w:rsid w:val="166925DF"/>
    <w:rsid w:val="167A435D"/>
    <w:rsid w:val="167E2A1F"/>
    <w:rsid w:val="16801BE5"/>
    <w:rsid w:val="16811BCB"/>
    <w:rsid w:val="168207DE"/>
    <w:rsid w:val="1682467C"/>
    <w:rsid w:val="169F65D3"/>
    <w:rsid w:val="16AD5EF7"/>
    <w:rsid w:val="16B601ED"/>
    <w:rsid w:val="16CC2EEC"/>
    <w:rsid w:val="16D026C7"/>
    <w:rsid w:val="16D5030D"/>
    <w:rsid w:val="16D877FD"/>
    <w:rsid w:val="16DD65EF"/>
    <w:rsid w:val="16DF220D"/>
    <w:rsid w:val="16E00D8F"/>
    <w:rsid w:val="16E33624"/>
    <w:rsid w:val="16FD6AA5"/>
    <w:rsid w:val="16FE564D"/>
    <w:rsid w:val="1702128C"/>
    <w:rsid w:val="170251F4"/>
    <w:rsid w:val="170920AF"/>
    <w:rsid w:val="170C3519"/>
    <w:rsid w:val="1719766F"/>
    <w:rsid w:val="171A2651"/>
    <w:rsid w:val="17333C37"/>
    <w:rsid w:val="174006B1"/>
    <w:rsid w:val="17436633"/>
    <w:rsid w:val="17494707"/>
    <w:rsid w:val="17506BE5"/>
    <w:rsid w:val="175348AC"/>
    <w:rsid w:val="17602539"/>
    <w:rsid w:val="176271CE"/>
    <w:rsid w:val="176E1BB6"/>
    <w:rsid w:val="176E2C60"/>
    <w:rsid w:val="177312DE"/>
    <w:rsid w:val="177A379E"/>
    <w:rsid w:val="177B584D"/>
    <w:rsid w:val="17881C61"/>
    <w:rsid w:val="178F3F3F"/>
    <w:rsid w:val="17921256"/>
    <w:rsid w:val="17985D9B"/>
    <w:rsid w:val="179A2E9E"/>
    <w:rsid w:val="17A2678C"/>
    <w:rsid w:val="17B264FD"/>
    <w:rsid w:val="17BA405E"/>
    <w:rsid w:val="17C40872"/>
    <w:rsid w:val="17D13B70"/>
    <w:rsid w:val="17E05046"/>
    <w:rsid w:val="17E06D50"/>
    <w:rsid w:val="17E85DAC"/>
    <w:rsid w:val="17EB2D2D"/>
    <w:rsid w:val="17F76D3B"/>
    <w:rsid w:val="18080983"/>
    <w:rsid w:val="18133F9D"/>
    <w:rsid w:val="182159EB"/>
    <w:rsid w:val="1827066C"/>
    <w:rsid w:val="182B4BB6"/>
    <w:rsid w:val="182F03DA"/>
    <w:rsid w:val="1831357E"/>
    <w:rsid w:val="18354F69"/>
    <w:rsid w:val="183B5920"/>
    <w:rsid w:val="183C2A2C"/>
    <w:rsid w:val="184E3A3C"/>
    <w:rsid w:val="1853450D"/>
    <w:rsid w:val="18537112"/>
    <w:rsid w:val="18571809"/>
    <w:rsid w:val="185B7745"/>
    <w:rsid w:val="18627145"/>
    <w:rsid w:val="186816D4"/>
    <w:rsid w:val="18683FBF"/>
    <w:rsid w:val="186C54DA"/>
    <w:rsid w:val="187F3EDC"/>
    <w:rsid w:val="188B54FC"/>
    <w:rsid w:val="188D5607"/>
    <w:rsid w:val="189073D2"/>
    <w:rsid w:val="1892598B"/>
    <w:rsid w:val="189E335B"/>
    <w:rsid w:val="18A41AD7"/>
    <w:rsid w:val="18C01AE9"/>
    <w:rsid w:val="18C73543"/>
    <w:rsid w:val="18C85FF3"/>
    <w:rsid w:val="18C924EC"/>
    <w:rsid w:val="18CA252F"/>
    <w:rsid w:val="18D26C76"/>
    <w:rsid w:val="18D4424E"/>
    <w:rsid w:val="18DD3FAE"/>
    <w:rsid w:val="18DD636A"/>
    <w:rsid w:val="18E31D7D"/>
    <w:rsid w:val="18E41252"/>
    <w:rsid w:val="18EC6675"/>
    <w:rsid w:val="18F06BD2"/>
    <w:rsid w:val="18F35DE0"/>
    <w:rsid w:val="18FA4668"/>
    <w:rsid w:val="18FC6F3B"/>
    <w:rsid w:val="18FD43AD"/>
    <w:rsid w:val="1901502A"/>
    <w:rsid w:val="19037017"/>
    <w:rsid w:val="19072FDB"/>
    <w:rsid w:val="190F4A4B"/>
    <w:rsid w:val="19115186"/>
    <w:rsid w:val="191B1A99"/>
    <w:rsid w:val="191D5B4B"/>
    <w:rsid w:val="192528B0"/>
    <w:rsid w:val="192E443A"/>
    <w:rsid w:val="1932590D"/>
    <w:rsid w:val="193374BF"/>
    <w:rsid w:val="19386977"/>
    <w:rsid w:val="19475C0A"/>
    <w:rsid w:val="194D2D34"/>
    <w:rsid w:val="195350EB"/>
    <w:rsid w:val="196B12F4"/>
    <w:rsid w:val="196D53B9"/>
    <w:rsid w:val="196E6723"/>
    <w:rsid w:val="19721D4C"/>
    <w:rsid w:val="1974107A"/>
    <w:rsid w:val="19825539"/>
    <w:rsid w:val="19887A98"/>
    <w:rsid w:val="199D2B4A"/>
    <w:rsid w:val="199E10E5"/>
    <w:rsid w:val="19A834F3"/>
    <w:rsid w:val="19D32538"/>
    <w:rsid w:val="19D90CDF"/>
    <w:rsid w:val="19DF2529"/>
    <w:rsid w:val="19E87018"/>
    <w:rsid w:val="19F22C47"/>
    <w:rsid w:val="19F42B9C"/>
    <w:rsid w:val="19FB5E8F"/>
    <w:rsid w:val="1A032ABD"/>
    <w:rsid w:val="1A056787"/>
    <w:rsid w:val="1A332499"/>
    <w:rsid w:val="1A392A0D"/>
    <w:rsid w:val="1A3B67CE"/>
    <w:rsid w:val="1A3D4FA9"/>
    <w:rsid w:val="1A3D6924"/>
    <w:rsid w:val="1A4922E7"/>
    <w:rsid w:val="1A493949"/>
    <w:rsid w:val="1A4B4A74"/>
    <w:rsid w:val="1A4D7898"/>
    <w:rsid w:val="1A5042C5"/>
    <w:rsid w:val="1A513D17"/>
    <w:rsid w:val="1A6B72A8"/>
    <w:rsid w:val="1A70295F"/>
    <w:rsid w:val="1A733053"/>
    <w:rsid w:val="1A743ABB"/>
    <w:rsid w:val="1A8D74AD"/>
    <w:rsid w:val="1A986558"/>
    <w:rsid w:val="1A9875FF"/>
    <w:rsid w:val="1A9B5C08"/>
    <w:rsid w:val="1A9D20A9"/>
    <w:rsid w:val="1AA22409"/>
    <w:rsid w:val="1AA31536"/>
    <w:rsid w:val="1AA81BC3"/>
    <w:rsid w:val="1AAF72A6"/>
    <w:rsid w:val="1ABC357C"/>
    <w:rsid w:val="1ABE738D"/>
    <w:rsid w:val="1AC21881"/>
    <w:rsid w:val="1AD342C8"/>
    <w:rsid w:val="1AE030BE"/>
    <w:rsid w:val="1AE71E04"/>
    <w:rsid w:val="1AEC5331"/>
    <w:rsid w:val="1AF220BF"/>
    <w:rsid w:val="1B032D39"/>
    <w:rsid w:val="1B0B72F3"/>
    <w:rsid w:val="1B1067F1"/>
    <w:rsid w:val="1B1109BA"/>
    <w:rsid w:val="1B17257A"/>
    <w:rsid w:val="1B1A2882"/>
    <w:rsid w:val="1B24147E"/>
    <w:rsid w:val="1B245465"/>
    <w:rsid w:val="1B2D0964"/>
    <w:rsid w:val="1B2D1C9D"/>
    <w:rsid w:val="1B2D4CEC"/>
    <w:rsid w:val="1B385043"/>
    <w:rsid w:val="1B4B339E"/>
    <w:rsid w:val="1B5211BB"/>
    <w:rsid w:val="1B540200"/>
    <w:rsid w:val="1B540256"/>
    <w:rsid w:val="1B574B7A"/>
    <w:rsid w:val="1B735722"/>
    <w:rsid w:val="1B7B7983"/>
    <w:rsid w:val="1B837FDF"/>
    <w:rsid w:val="1B8B5309"/>
    <w:rsid w:val="1B94625D"/>
    <w:rsid w:val="1B9B3A64"/>
    <w:rsid w:val="1B9E1568"/>
    <w:rsid w:val="1BA86A4A"/>
    <w:rsid w:val="1BAA1089"/>
    <w:rsid w:val="1BB10A92"/>
    <w:rsid w:val="1BB22B8F"/>
    <w:rsid w:val="1BC95B46"/>
    <w:rsid w:val="1BD07331"/>
    <w:rsid w:val="1BD36BA8"/>
    <w:rsid w:val="1BD97DAE"/>
    <w:rsid w:val="1BE32F61"/>
    <w:rsid w:val="1BE74695"/>
    <w:rsid w:val="1BEB68B9"/>
    <w:rsid w:val="1BEE48FC"/>
    <w:rsid w:val="1BF65A02"/>
    <w:rsid w:val="1C053324"/>
    <w:rsid w:val="1C0538CC"/>
    <w:rsid w:val="1C070F55"/>
    <w:rsid w:val="1C0D3071"/>
    <w:rsid w:val="1C1018E7"/>
    <w:rsid w:val="1C215C75"/>
    <w:rsid w:val="1C251352"/>
    <w:rsid w:val="1C2E050B"/>
    <w:rsid w:val="1C444BE6"/>
    <w:rsid w:val="1C5273BF"/>
    <w:rsid w:val="1C6349C8"/>
    <w:rsid w:val="1C6B022D"/>
    <w:rsid w:val="1C6E3437"/>
    <w:rsid w:val="1C7563D9"/>
    <w:rsid w:val="1C8D2B95"/>
    <w:rsid w:val="1C984EF7"/>
    <w:rsid w:val="1CA94075"/>
    <w:rsid w:val="1CAA7587"/>
    <w:rsid w:val="1CAB1476"/>
    <w:rsid w:val="1CB217F6"/>
    <w:rsid w:val="1CB7712C"/>
    <w:rsid w:val="1CD71778"/>
    <w:rsid w:val="1CE70B82"/>
    <w:rsid w:val="1CE75965"/>
    <w:rsid w:val="1CF35210"/>
    <w:rsid w:val="1CF95FCD"/>
    <w:rsid w:val="1CFD2D38"/>
    <w:rsid w:val="1CFF35FF"/>
    <w:rsid w:val="1D06695F"/>
    <w:rsid w:val="1D085ACF"/>
    <w:rsid w:val="1D0F2082"/>
    <w:rsid w:val="1D123811"/>
    <w:rsid w:val="1D1442E2"/>
    <w:rsid w:val="1D1D7DAE"/>
    <w:rsid w:val="1D390F01"/>
    <w:rsid w:val="1D3C702F"/>
    <w:rsid w:val="1D405115"/>
    <w:rsid w:val="1D4D7590"/>
    <w:rsid w:val="1D516B6A"/>
    <w:rsid w:val="1D517418"/>
    <w:rsid w:val="1D517885"/>
    <w:rsid w:val="1D561E8E"/>
    <w:rsid w:val="1D567E90"/>
    <w:rsid w:val="1D5E66F9"/>
    <w:rsid w:val="1D5F529B"/>
    <w:rsid w:val="1D617172"/>
    <w:rsid w:val="1D65400D"/>
    <w:rsid w:val="1D7A3AB3"/>
    <w:rsid w:val="1D897467"/>
    <w:rsid w:val="1D8B5ADA"/>
    <w:rsid w:val="1D8F0117"/>
    <w:rsid w:val="1D8F03C1"/>
    <w:rsid w:val="1DA03C06"/>
    <w:rsid w:val="1DA11BEF"/>
    <w:rsid w:val="1DA423A6"/>
    <w:rsid w:val="1DA872AD"/>
    <w:rsid w:val="1DAA6060"/>
    <w:rsid w:val="1DB60A7D"/>
    <w:rsid w:val="1DB77DCD"/>
    <w:rsid w:val="1DC427B9"/>
    <w:rsid w:val="1DCE6F7C"/>
    <w:rsid w:val="1DD14B44"/>
    <w:rsid w:val="1DD37676"/>
    <w:rsid w:val="1DDD3DB7"/>
    <w:rsid w:val="1DE10290"/>
    <w:rsid w:val="1DEF3711"/>
    <w:rsid w:val="1DF3036F"/>
    <w:rsid w:val="1DF336B6"/>
    <w:rsid w:val="1DF47F1D"/>
    <w:rsid w:val="1DFE7506"/>
    <w:rsid w:val="1DFF4508"/>
    <w:rsid w:val="1E0417BC"/>
    <w:rsid w:val="1E0C6133"/>
    <w:rsid w:val="1E121384"/>
    <w:rsid w:val="1E14273D"/>
    <w:rsid w:val="1E151DA5"/>
    <w:rsid w:val="1E2153EB"/>
    <w:rsid w:val="1E2C06F8"/>
    <w:rsid w:val="1E310E0E"/>
    <w:rsid w:val="1E3B4AE1"/>
    <w:rsid w:val="1E4065FB"/>
    <w:rsid w:val="1E4308E5"/>
    <w:rsid w:val="1E4401B6"/>
    <w:rsid w:val="1E4401D9"/>
    <w:rsid w:val="1E4675A0"/>
    <w:rsid w:val="1E47263C"/>
    <w:rsid w:val="1E490DC5"/>
    <w:rsid w:val="1E492E0B"/>
    <w:rsid w:val="1E4A4717"/>
    <w:rsid w:val="1E4E171E"/>
    <w:rsid w:val="1E507151"/>
    <w:rsid w:val="1E55316D"/>
    <w:rsid w:val="1E557FCE"/>
    <w:rsid w:val="1E60798D"/>
    <w:rsid w:val="1E67416D"/>
    <w:rsid w:val="1E701DCA"/>
    <w:rsid w:val="1E706BB8"/>
    <w:rsid w:val="1E777D6D"/>
    <w:rsid w:val="1E7C359C"/>
    <w:rsid w:val="1E956B67"/>
    <w:rsid w:val="1E993AE7"/>
    <w:rsid w:val="1E9B5602"/>
    <w:rsid w:val="1EA00FCE"/>
    <w:rsid w:val="1EA402C3"/>
    <w:rsid w:val="1EA57221"/>
    <w:rsid w:val="1EA70DB1"/>
    <w:rsid w:val="1EB14A23"/>
    <w:rsid w:val="1EB94FA4"/>
    <w:rsid w:val="1EC50E7B"/>
    <w:rsid w:val="1EC80DEC"/>
    <w:rsid w:val="1EC83BE6"/>
    <w:rsid w:val="1ED4006F"/>
    <w:rsid w:val="1ED510D4"/>
    <w:rsid w:val="1EDA48DE"/>
    <w:rsid w:val="1EE40404"/>
    <w:rsid w:val="1EE731BC"/>
    <w:rsid w:val="1EEF6D28"/>
    <w:rsid w:val="1EF30FCB"/>
    <w:rsid w:val="1EF76245"/>
    <w:rsid w:val="1EFA2EFE"/>
    <w:rsid w:val="1EFC79F2"/>
    <w:rsid w:val="1F0D50D3"/>
    <w:rsid w:val="1F0E3DF4"/>
    <w:rsid w:val="1F1A39F1"/>
    <w:rsid w:val="1F1D7FAA"/>
    <w:rsid w:val="1F1F1E55"/>
    <w:rsid w:val="1F252B9F"/>
    <w:rsid w:val="1F2606D2"/>
    <w:rsid w:val="1F287944"/>
    <w:rsid w:val="1F5A2D66"/>
    <w:rsid w:val="1F5C03DD"/>
    <w:rsid w:val="1F604F4D"/>
    <w:rsid w:val="1F62729C"/>
    <w:rsid w:val="1F655540"/>
    <w:rsid w:val="1F6D1F27"/>
    <w:rsid w:val="1F7750BF"/>
    <w:rsid w:val="1F826DDC"/>
    <w:rsid w:val="1F8565F7"/>
    <w:rsid w:val="1F8D79F7"/>
    <w:rsid w:val="1F9D2084"/>
    <w:rsid w:val="1FA7655D"/>
    <w:rsid w:val="1FB143F6"/>
    <w:rsid w:val="1FBA247D"/>
    <w:rsid w:val="1FBC6AF4"/>
    <w:rsid w:val="1FBD452A"/>
    <w:rsid w:val="1FBE60BE"/>
    <w:rsid w:val="1FC66968"/>
    <w:rsid w:val="1FCA1AD0"/>
    <w:rsid w:val="1FCB7F4C"/>
    <w:rsid w:val="1FD102E5"/>
    <w:rsid w:val="1FD22E7C"/>
    <w:rsid w:val="1FD32765"/>
    <w:rsid w:val="1FE753FB"/>
    <w:rsid w:val="1FEA1D14"/>
    <w:rsid w:val="1FF146A6"/>
    <w:rsid w:val="20017A57"/>
    <w:rsid w:val="200836C6"/>
    <w:rsid w:val="20087535"/>
    <w:rsid w:val="201C3FC2"/>
    <w:rsid w:val="20274344"/>
    <w:rsid w:val="202A30CB"/>
    <w:rsid w:val="205022D1"/>
    <w:rsid w:val="206D06D1"/>
    <w:rsid w:val="207133F7"/>
    <w:rsid w:val="207F13E1"/>
    <w:rsid w:val="20854464"/>
    <w:rsid w:val="20864EBD"/>
    <w:rsid w:val="20904A18"/>
    <w:rsid w:val="209F5F36"/>
    <w:rsid w:val="20A8105B"/>
    <w:rsid w:val="20B26A23"/>
    <w:rsid w:val="20BC5D48"/>
    <w:rsid w:val="20BE2717"/>
    <w:rsid w:val="20D138AD"/>
    <w:rsid w:val="20D21C15"/>
    <w:rsid w:val="20D509FB"/>
    <w:rsid w:val="20D710AB"/>
    <w:rsid w:val="20DC29F9"/>
    <w:rsid w:val="20E34909"/>
    <w:rsid w:val="20EE3148"/>
    <w:rsid w:val="20F55D1B"/>
    <w:rsid w:val="20F76446"/>
    <w:rsid w:val="21052A6E"/>
    <w:rsid w:val="211251FD"/>
    <w:rsid w:val="211C56F5"/>
    <w:rsid w:val="21314B8F"/>
    <w:rsid w:val="213858FE"/>
    <w:rsid w:val="214903AE"/>
    <w:rsid w:val="2152386F"/>
    <w:rsid w:val="21672847"/>
    <w:rsid w:val="216B15B3"/>
    <w:rsid w:val="216E56C4"/>
    <w:rsid w:val="217768D6"/>
    <w:rsid w:val="217C7A90"/>
    <w:rsid w:val="218907D8"/>
    <w:rsid w:val="21982E22"/>
    <w:rsid w:val="21A93F11"/>
    <w:rsid w:val="21AB49EA"/>
    <w:rsid w:val="21AC5000"/>
    <w:rsid w:val="21B50C7B"/>
    <w:rsid w:val="21B77E80"/>
    <w:rsid w:val="21BD5C89"/>
    <w:rsid w:val="21C20C9B"/>
    <w:rsid w:val="21C26BE6"/>
    <w:rsid w:val="21C97DB0"/>
    <w:rsid w:val="21D3731F"/>
    <w:rsid w:val="21D47413"/>
    <w:rsid w:val="21D8579E"/>
    <w:rsid w:val="21EF46BC"/>
    <w:rsid w:val="21FD6ECF"/>
    <w:rsid w:val="21FF3AD1"/>
    <w:rsid w:val="22104394"/>
    <w:rsid w:val="221073AC"/>
    <w:rsid w:val="22232E6B"/>
    <w:rsid w:val="222E741A"/>
    <w:rsid w:val="22367D32"/>
    <w:rsid w:val="223A5AAF"/>
    <w:rsid w:val="223D092C"/>
    <w:rsid w:val="22531DC9"/>
    <w:rsid w:val="225920E6"/>
    <w:rsid w:val="225F0E38"/>
    <w:rsid w:val="22775D07"/>
    <w:rsid w:val="22795A1D"/>
    <w:rsid w:val="227F5720"/>
    <w:rsid w:val="2285366D"/>
    <w:rsid w:val="2292379C"/>
    <w:rsid w:val="229730B0"/>
    <w:rsid w:val="229831F9"/>
    <w:rsid w:val="229A4D94"/>
    <w:rsid w:val="229F0C88"/>
    <w:rsid w:val="22A159F0"/>
    <w:rsid w:val="22BA7F7B"/>
    <w:rsid w:val="22C053C3"/>
    <w:rsid w:val="22C33881"/>
    <w:rsid w:val="22E670E8"/>
    <w:rsid w:val="22E932AA"/>
    <w:rsid w:val="22F332C2"/>
    <w:rsid w:val="22F86FF5"/>
    <w:rsid w:val="22FA533D"/>
    <w:rsid w:val="22FE5382"/>
    <w:rsid w:val="23034110"/>
    <w:rsid w:val="23084549"/>
    <w:rsid w:val="230D4AAD"/>
    <w:rsid w:val="23107D6B"/>
    <w:rsid w:val="2316311C"/>
    <w:rsid w:val="231D1F41"/>
    <w:rsid w:val="23297438"/>
    <w:rsid w:val="23420E14"/>
    <w:rsid w:val="23424B9D"/>
    <w:rsid w:val="2362081B"/>
    <w:rsid w:val="236C5F5B"/>
    <w:rsid w:val="236D2A1A"/>
    <w:rsid w:val="237F42C0"/>
    <w:rsid w:val="2383325B"/>
    <w:rsid w:val="238759CA"/>
    <w:rsid w:val="238C48F7"/>
    <w:rsid w:val="23954473"/>
    <w:rsid w:val="23A33C4E"/>
    <w:rsid w:val="23A804AF"/>
    <w:rsid w:val="23AD24C3"/>
    <w:rsid w:val="23AD4B9A"/>
    <w:rsid w:val="23C24EBF"/>
    <w:rsid w:val="23D84D33"/>
    <w:rsid w:val="23D97986"/>
    <w:rsid w:val="23DF4DDA"/>
    <w:rsid w:val="23E5248B"/>
    <w:rsid w:val="23E616A2"/>
    <w:rsid w:val="23E72641"/>
    <w:rsid w:val="23E94356"/>
    <w:rsid w:val="23F055A7"/>
    <w:rsid w:val="23F0727A"/>
    <w:rsid w:val="23F174F3"/>
    <w:rsid w:val="23FA5C02"/>
    <w:rsid w:val="240918E2"/>
    <w:rsid w:val="240B3494"/>
    <w:rsid w:val="240D2A5D"/>
    <w:rsid w:val="241516FD"/>
    <w:rsid w:val="24162057"/>
    <w:rsid w:val="241B26ED"/>
    <w:rsid w:val="241E4AC8"/>
    <w:rsid w:val="241F0366"/>
    <w:rsid w:val="24227E1B"/>
    <w:rsid w:val="242456C6"/>
    <w:rsid w:val="243856BA"/>
    <w:rsid w:val="243B5F6B"/>
    <w:rsid w:val="243E43F6"/>
    <w:rsid w:val="244A08C6"/>
    <w:rsid w:val="244A30BC"/>
    <w:rsid w:val="244C4D70"/>
    <w:rsid w:val="245028D0"/>
    <w:rsid w:val="24547F38"/>
    <w:rsid w:val="245B2425"/>
    <w:rsid w:val="2462444F"/>
    <w:rsid w:val="246A0C72"/>
    <w:rsid w:val="246B328D"/>
    <w:rsid w:val="24754CF6"/>
    <w:rsid w:val="247A3E8F"/>
    <w:rsid w:val="247D73A9"/>
    <w:rsid w:val="24810C20"/>
    <w:rsid w:val="248968CE"/>
    <w:rsid w:val="248D0535"/>
    <w:rsid w:val="24936F03"/>
    <w:rsid w:val="24965D54"/>
    <w:rsid w:val="249807E9"/>
    <w:rsid w:val="24AD5D74"/>
    <w:rsid w:val="24AF5C4D"/>
    <w:rsid w:val="24B51C08"/>
    <w:rsid w:val="24B61BA0"/>
    <w:rsid w:val="24BE7499"/>
    <w:rsid w:val="24C63FA4"/>
    <w:rsid w:val="24D66FA8"/>
    <w:rsid w:val="24D90FAC"/>
    <w:rsid w:val="24DA6DA4"/>
    <w:rsid w:val="24DC1698"/>
    <w:rsid w:val="24E557FB"/>
    <w:rsid w:val="24E60740"/>
    <w:rsid w:val="24E62354"/>
    <w:rsid w:val="24F024ED"/>
    <w:rsid w:val="24F37C05"/>
    <w:rsid w:val="24FB581B"/>
    <w:rsid w:val="24FC477F"/>
    <w:rsid w:val="251379C8"/>
    <w:rsid w:val="25154771"/>
    <w:rsid w:val="25173BE8"/>
    <w:rsid w:val="25264362"/>
    <w:rsid w:val="25314653"/>
    <w:rsid w:val="253A0461"/>
    <w:rsid w:val="253A2909"/>
    <w:rsid w:val="253F7A2E"/>
    <w:rsid w:val="25420049"/>
    <w:rsid w:val="25431CBD"/>
    <w:rsid w:val="25453470"/>
    <w:rsid w:val="25476EA5"/>
    <w:rsid w:val="25495B22"/>
    <w:rsid w:val="25496106"/>
    <w:rsid w:val="255A33B1"/>
    <w:rsid w:val="25690006"/>
    <w:rsid w:val="25705C67"/>
    <w:rsid w:val="25751205"/>
    <w:rsid w:val="2577179D"/>
    <w:rsid w:val="257F1832"/>
    <w:rsid w:val="2581324F"/>
    <w:rsid w:val="25880690"/>
    <w:rsid w:val="2593217D"/>
    <w:rsid w:val="25943299"/>
    <w:rsid w:val="25AB0062"/>
    <w:rsid w:val="25AD2087"/>
    <w:rsid w:val="25B01669"/>
    <w:rsid w:val="25C511B8"/>
    <w:rsid w:val="25C67CCD"/>
    <w:rsid w:val="25DC47A1"/>
    <w:rsid w:val="25DE0D42"/>
    <w:rsid w:val="25DE6C8A"/>
    <w:rsid w:val="25E201A6"/>
    <w:rsid w:val="25F502F7"/>
    <w:rsid w:val="25FD61AE"/>
    <w:rsid w:val="25FD68EE"/>
    <w:rsid w:val="260041C8"/>
    <w:rsid w:val="26075578"/>
    <w:rsid w:val="260B0844"/>
    <w:rsid w:val="261160FA"/>
    <w:rsid w:val="26156110"/>
    <w:rsid w:val="26352F07"/>
    <w:rsid w:val="26355BB0"/>
    <w:rsid w:val="265576AF"/>
    <w:rsid w:val="26597902"/>
    <w:rsid w:val="26645179"/>
    <w:rsid w:val="26670C5E"/>
    <w:rsid w:val="26687CF0"/>
    <w:rsid w:val="266A36B0"/>
    <w:rsid w:val="267451DD"/>
    <w:rsid w:val="26805993"/>
    <w:rsid w:val="26855195"/>
    <w:rsid w:val="26905899"/>
    <w:rsid w:val="269F0053"/>
    <w:rsid w:val="26A07149"/>
    <w:rsid w:val="26A679B6"/>
    <w:rsid w:val="26A713AA"/>
    <w:rsid w:val="26B92E52"/>
    <w:rsid w:val="26C112CB"/>
    <w:rsid w:val="26CB7D66"/>
    <w:rsid w:val="26D039CD"/>
    <w:rsid w:val="26D707B7"/>
    <w:rsid w:val="26E53909"/>
    <w:rsid w:val="26EC4146"/>
    <w:rsid w:val="26F34372"/>
    <w:rsid w:val="2705192D"/>
    <w:rsid w:val="27072CFE"/>
    <w:rsid w:val="27074F4B"/>
    <w:rsid w:val="270A5AD7"/>
    <w:rsid w:val="271248C5"/>
    <w:rsid w:val="271A5FC2"/>
    <w:rsid w:val="271B34E9"/>
    <w:rsid w:val="27207EF1"/>
    <w:rsid w:val="272313C9"/>
    <w:rsid w:val="272670C5"/>
    <w:rsid w:val="2728474F"/>
    <w:rsid w:val="27296663"/>
    <w:rsid w:val="273D609C"/>
    <w:rsid w:val="27491C14"/>
    <w:rsid w:val="275244CE"/>
    <w:rsid w:val="275F5214"/>
    <w:rsid w:val="27637FE2"/>
    <w:rsid w:val="276A3C6C"/>
    <w:rsid w:val="276D7844"/>
    <w:rsid w:val="2775182E"/>
    <w:rsid w:val="2777525B"/>
    <w:rsid w:val="27846B73"/>
    <w:rsid w:val="278858B0"/>
    <w:rsid w:val="278F7161"/>
    <w:rsid w:val="27920F02"/>
    <w:rsid w:val="27A120BE"/>
    <w:rsid w:val="27A241A7"/>
    <w:rsid w:val="27AA5D25"/>
    <w:rsid w:val="27BF2B9C"/>
    <w:rsid w:val="27C76642"/>
    <w:rsid w:val="27CC14F7"/>
    <w:rsid w:val="27E53CEE"/>
    <w:rsid w:val="27F42EED"/>
    <w:rsid w:val="27F5249E"/>
    <w:rsid w:val="27F6406E"/>
    <w:rsid w:val="27FA3C84"/>
    <w:rsid w:val="27FE3A71"/>
    <w:rsid w:val="28007F75"/>
    <w:rsid w:val="28031415"/>
    <w:rsid w:val="281E5C4C"/>
    <w:rsid w:val="282B62E8"/>
    <w:rsid w:val="282E0FC0"/>
    <w:rsid w:val="282E66AA"/>
    <w:rsid w:val="28313DBE"/>
    <w:rsid w:val="2837094D"/>
    <w:rsid w:val="28413A21"/>
    <w:rsid w:val="28460C08"/>
    <w:rsid w:val="28473480"/>
    <w:rsid w:val="284806F4"/>
    <w:rsid w:val="284964C3"/>
    <w:rsid w:val="284A380D"/>
    <w:rsid w:val="284E0B4C"/>
    <w:rsid w:val="28541E37"/>
    <w:rsid w:val="28551971"/>
    <w:rsid w:val="28565872"/>
    <w:rsid w:val="28691F26"/>
    <w:rsid w:val="287B1B23"/>
    <w:rsid w:val="287F1CEF"/>
    <w:rsid w:val="28847A3F"/>
    <w:rsid w:val="288C7208"/>
    <w:rsid w:val="289333FF"/>
    <w:rsid w:val="28965658"/>
    <w:rsid w:val="289A198B"/>
    <w:rsid w:val="28A61325"/>
    <w:rsid w:val="28AE31A8"/>
    <w:rsid w:val="28C0195A"/>
    <w:rsid w:val="28C17739"/>
    <w:rsid w:val="28C72D76"/>
    <w:rsid w:val="28DD7BEF"/>
    <w:rsid w:val="28E107C5"/>
    <w:rsid w:val="28EA05D6"/>
    <w:rsid w:val="28EE76C1"/>
    <w:rsid w:val="28F12158"/>
    <w:rsid w:val="28F22118"/>
    <w:rsid w:val="28FD7643"/>
    <w:rsid w:val="2916404F"/>
    <w:rsid w:val="291857A5"/>
    <w:rsid w:val="29191296"/>
    <w:rsid w:val="291A0310"/>
    <w:rsid w:val="291B1E01"/>
    <w:rsid w:val="29225A93"/>
    <w:rsid w:val="292D44E3"/>
    <w:rsid w:val="29413BD2"/>
    <w:rsid w:val="29471FBA"/>
    <w:rsid w:val="294769A3"/>
    <w:rsid w:val="2949799B"/>
    <w:rsid w:val="294B404E"/>
    <w:rsid w:val="294D39DE"/>
    <w:rsid w:val="294F7CD3"/>
    <w:rsid w:val="2951133C"/>
    <w:rsid w:val="295A4599"/>
    <w:rsid w:val="296F0FB4"/>
    <w:rsid w:val="297E4ED3"/>
    <w:rsid w:val="298E39D9"/>
    <w:rsid w:val="299F6E1A"/>
    <w:rsid w:val="29A24926"/>
    <w:rsid w:val="29A7108C"/>
    <w:rsid w:val="29BD2B48"/>
    <w:rsid w:val="29C53D6B"/>
    <w:rsid w:val="29C76E17"/>
    <w:rsid w:val="29D4267F"/>
    <w:rsid w:val="29DD5019"/>
    <w:rsid w:val="29E17581"/>
    <w:rsid w:val="29EA6628"/>
    <w:rsid w:val="29EB683F"/>
    <w:rsid w:val="29F25C4D"/>
    <w:rsid w:val="29F4089F"/>
    <w:rsid w:val="29F6608D"/>
    <w:rsid w:val="2A0E3D62"/>
    <w:rsid w:val="2A1600CC"/>
    <w:rsid w:val="2A284D43"/>
    <w:rsid w:val="2A2B2B09"/>
    <w:rsid w:val="2A356F86"/>
    <w:rsid w:val="2A3D4206"/>
    <w:rsid w:val="2A3E4CCA"/>
    <w:rsid w:val="2A440E57"/>
    <w:rsid w:val="2A4777AE"/>
    <w:rsid w:val="2A4E6577"/>
    <w:rsid w:val="2A532955"/>
    <w:rsid w:val="2A534BA8"/>
    <w:rsid w:val="2A5779B8"/>
    <w:rsid w:val="2A600653"/>
    <w:rsid w:val="2A615016"/>
    <w:rsid w:val="2A693ADB"/>
    <w:rsid w:val="2A75054C"/>
    <w:rsid w:val="2A7D1EE9"/>
    <w:rsid w:val="2A8573E7"/>
    <w:rsid w:val="2A874414"/>
    <w:rsid w:val="2A8E4585"/>
    <w:rsid w:val="2A9673AF"/>
    <w:rsid w:val="2A983B90"/>
    <w:rsid w:val="2A9F4642"/>
    <w:rsid w:val="2AA46109"/>
    <w:rsid w:val="2AA51AD1"/>
    <w:rsid w:val="2AB55D0A"/>
    <w:rsid w:val="2AB573F1"/>
    <w:rsid w:val="2AB876CE"/>
    <w:rsid w:val="2ABA70AB"/>
    <w:rsid w:val="2AC25216"/>
    <w:rsid w:val="2AC52B66"/>
    <w:rsid w:val="2AEA72D0"/>
    <w:rsid w:val="2AEF11D9"/>
    <w:rsid w:val="2B030457"/>
    <w:rsid w:val="2B070957"/>
    <w:rsid w:val="2B0C5D03"/>
    <w:rsid w:val="2B194615"/>
    <w:rsid w:val="2B264C1C"/>
    <w:rsid w:val="2B271654"/>
    <w:rsid w:val="2B2F64DC"/>
    <w:rsid w:val="2B3D5A6E"/>
    <w:rsid w:val="2B5214C8"/>
    <w:rsid w:val="2B5626B8"/>
    <w:rsid w:val="2B586319"/>
    <w:rsid w:val="2B5B263E"/>
    <w:rsid w:val="2B5B3239"/>
    <w:rsid w:val="2B5D3E7E"/>
    <w:rsid w:val="2B6A1F25"/>
    <w:rsid w:val="2B6B63D4"/>
    <w:rsid w:val="2B94773E"/>
    <w:rsid w:val="2B9D390B"/>
    <w:rsid w:val="2B9D56D5"/>
    <w:rsid w:val="2BA254DE"/>
    <w:rsid w:val="2BA435BF"/>
    <w:rsid w:val="2BA6200A"/>
    <w:rsid w:val="2BA75A73"/>
    <w:rsid w:val="2BA9461C"/>
    <w:rsid w:val="2BAC4D37"/>
    <w:rsid w:val="2BB0455F"/>
    <w:rsid w:val="2BB20D00"/>
    <w:rsid w:val="2BC160E4"/>
    <w:rsid w:val="2BC50253"/>
    <w:rsid w:val="2BCA3B46"/>
    <w:rsid w:val="2BCA53E2"/>
    <w:rsid w:val="2BD1097D"/>
    <w:rsid w:val="2BD36928"/>
    <w:rsid w:val="2BD67FA7"/>
    <w:rsid w:val="2BE02C93"/>
    <w:rsid w:val="2BF153CD"/>
    <w:rsid w:val="2BF20BBD"/>
    <w:rsid w:val="2BF21183"/>
    <w:rsid w:val="2BF32CF7"/>
    <w:rsid w:val="2BF62416"/>
    <w:rsid w:val="2BF71E7E"/>
    <w:rsid w:val="2BF8087D"/>
    <w:rsid w:val="2BFB0E0D"/>
    <w:rsid w:val="2BFB2067"/>
    <w:rsid w:val="2BFE146F"/>
    <w:rsid w:val="2C040A98"/>
    <w:rsid w:val="2C134F2D"/>
    <w:rsid w:val="2C1415C2"/>
    <w:rsid w:val="2C17554F"/>
    <w:rsid w:val="2C1C0108"/>
    <w:rsid w:val="2C222E52"/>
    <w:rsid w:val="2C237631"/>
    <w:rsid w:val="2C2C04CF"/>
    <w:rsid w:val="2C32332A"/>
    <w:rsid w:val="2C336646"/>
    <w:rsid w:val="2C3A3178"/>
    <w:rsid w:val="2C467357"/>
    <w:rsid w:val="2C5A0FEE"/>
    <w:rsid w:val="2C630807"/>
    <w:rsid w:val="2C645274"/>
    <w:rsid w:val="2C6541AB"/>
    <w:rsid w:val="2C6D07EF"/>
    <w:rsid w:val="2C6D49EA"/>
    <w:rsid w:val="2C6D5AB2"/>
    <w:rsid w:val="2C915BDB"/>
    <w:rsid w:val="2C9B2497"/>
    <w:rsid w:val="2CB2626C"/>
    <w:rsid w:val="2CB52E03"/>
    <w:rsid w:val="2CBF317A"/>
    <w:rsid w:val="2CD25693"/>
    <w:rsid w:val="2CD97CB5"/>
    <w:rsid w:val="2CDF4F7F"/>
    <w:rsid w:val="2CE040FB"/>
    <w:rsid w:val="2CE151A6"/>
    <w:rsid w:val="2CE551EF"/>
    <w:rsid w:val="2CEA30D0"/>
    <w:rsid w:val="2CEF4337"/>
    <w:rsid w:val="2CEF4C1F"/>
    <w:rsid w:val="2CFF67A7"/>
    <w:rsid w:val="2D0B3966"/>
    <w:rsid w:val="2D150C82"/>
    <w:rsid w:val="2D1B4116"/>
    <w:rsid w:val="2D1F79A1"/>
    <w:rsid w:val="2D245A85"/>
    <w:rsid w:val="2D260763"/>
    <w:rsid w:val="2D321B0C"/>
    <w:rsid w:val="2D3B7A24"/>
    <w:rsid w:val="2D3F6623"/>
    <w:rsid w:val="2D447E1E"/>
    <w:rsid w:val="2D46005E"/>
    <w:rsid w:val="2D5101C4"/>
    <w:rsid w:val="2D5F52EE"/>
    <w:rsid w:val="2D5F63F0"/>
    <w:rsid w:val="2D6555F9"/>
    <w:rsid w:val="2D743803"/>
    <w:rsid w:val="2D756C26"/>
    <w:rsid w:val="2D76268D"/>
    <w:rsid w:val="2D7A3084"/>
    <w:rsid w:val="2D8075B4"/>
    <w:rsid w:val="2D8F15E5"/>
    <w:rsid w:val="2DA100BC"/>
    <w:rsid w:val="2DAA3289"/>
    <w:rsid w:val="2DC23406"/>
    <w:rsid w:val="2DCE7AB7"/>
    <w:rsid w:val="2DD87C99"/>
    <w:rsid w:val="2DDC6424"/>
    <w:rsid w:val="2DE83AF0"/>
    <w:rsid w:val="2DED2E8A"/>
    <w:rsid w:val="2E067810"/>
    <w:rsid w:val="2E070833"/>
    <w:rsid w:val="2E10249B"/>
    <w:rsid w:val="2E1D7BA8"/>
    <w:rsid w:val="2E21097B"/>
    <w:rsid w:val="2E2A6D63"/>
    <w:rsid w:val="2E3607F5"/>
    <w:rsid w:val="2E3C4E54"/>
    <w:rsid w:val="2E4005D7"/>
    <w:rsid w:val="2E45275F"/>
    <w:rsid w:val="2E510369"/>
    <w:rsid w:val="2E570A33"/>
    <w:rsid w:val="2E5B4244"/>
    <w:rsid w:val="2E5F2DC0"/>
    <w:rsid w:val="2E5F3D6C"/>
    <w:rsid w:val="2E612077"/>
    <w:rsid w:val="2E64462E"/>
    <w:rsid w:val="2E6F49FD"/>
    <w:rsid w:val="2E8C1859"/>
    <w:rsid w:val="2E932006"/>
    <w:rsid w:val="2E9B73EF"/>
    <w:rsid w:val="2EA11549"/>
    <w:rsid w:val="2EA149C4"/>
    <w:rsid w:val="2EA76095"/>
    <w:rsid w:val="2EB2610E"/>
    <w:rsid w:val="2EBB55B9"/>
    <w:rsid w:val="2EC42047"/>
    <w:rsid w:val="2EC50D12"/>
    <w:rsid w:val="2EC66A83"/>
    <w:rsid w:val="2EC91E51"/>
    <w:rsid w:val="2EC92A8E"/>
    <w:rsid w:val="2ED56581"/>
    <w:rsid w:val="2ED849EE"/>
    <w:rsid w:val="2EDA2AFE"/>
    <w:rsid w:val="2EDD2EA3"/>
    <w:rsid w:val="2EE8676D"/>
    <w:rsid w:val="2EF55CE0"/>
    <w:rsid w:val="2F025F01"/>
    <w:rsid w:val="2F04209F"/>
    <w:rsid w:val="2F0E1BBB"/>
    <w:rsid w:val="2F133E5C"/>
    <w:rsid w:val="2F1C6B6D"/>
    <w:rsid w:val="2F1E7DD8"/>
    <w:rsid w:val="2F3E1558"/>
    <w:rsid w:val="2F414E4F"/>
    <w:rsid w:val="2F475E86"/>
    <w:rsid w:val="2F5038F1"/>
    <w:rsid w:val="2F5F57B4"/>
    <w:rsid w:val="2F622FD5"/>
    <w:rsid w:val="2F6D7F27"/>
    <w:rsid w:val="2F7249E2"/>
    <w:rsid w:val="2F731F49"/>
    <w:rsid w:val="2F7806AF"/>
    <w:rsid w:val="2F7F1F59"/>
    <w:rsid w:val="2F8755F1"/>
    <w:rsid w:val="2FA6576B"/>
    <w:rsid w:val="2FB21D3A"/>
    <w:rsid w:val="2FB5021A"/>
    <w:rsid w:val="2FBB2C66"/>
    <w:rsid w:val="2FC02788"/>
    <w:rsid w:val="2FC861DB"/>
    <w:rsid w:val="2FC92AB8"/>
    <w:rsid w:val="2FCB5F9F"/>
    <w:rsid w:val="2FDF511D"/>
    <w:rsid w:val="2FDF6A78"/>
    <w:rsid w:val="2FE51865"/>
    <w:rsid w:val="2FE55A53"/>
    <w:rsid w:val="2FE660DB"/>
    <w:rsid w:val="2FE92A77"/>
    <w:rsid w:val="2FEC706C"/>
    <w:rsid w:val="300F533D"/>
    <w:rsid w:val="30194029"/>
    <w:rsid w:val="301C734E"/>
    <w:rsid w:val="3025134E"/>
    <w:rsid w:val="302A03AB"/>
    <w:rsid w:val="302B06C9"/>
    <w:rsid w:val="302E77CA"/>
    <w:rsid w:val="30300AE8"/>
    <w:rsid w:val="30300B82"/>
    <w:rsid w:val="303A0642"/>
    <w:rsid w:val="304765C2"/>
    <w:rsid w:val="30526878"/>
    <w:rsid w:val="30526B3D"/>
    <w:rsid w:val="30574062"/>
    <w:rsid w:val="305C3864"/>
    <w:rsid w:val="305F3B2D"/>
    <w:rsid w:val="30614CD5"/>
    <w:rsid w:val="30615967"/>
    <w:rsid w:val="307E1C17"/>
    <w:rsid w:val="30865E11"/>
    <w:rsid w:val="30881247"/>
    <w:rsid w:val="309F34F9"/>
    <w:rsid w:val="30A54AA0"/>
    <w:rsid w:val="30B02D54"/>
    <w:rsid w:val="30B03E6A"/>
    <w:rsid w:val="30B042ED"/>
    <w:rsid w:val="30C43371"/>
    <w:rsid w:val="30CB371F"/>
    <w:rsid w:val="30D03A55"/>
    <w:rsid w:val="30D40FD7"/>
    <w:rsid w:val="30DC13F4"/>
    <w:rsid w:val="30DE0E55"/>
    <w:rsid w:val="30DF72B1"/>
    <w:rsid w:val="30FE6257"/>
    <w:rsid w:val="310D0D46"/>
    <w:rsid w:val="311B03FC"/>
    <w:rsid w:val="311B0F28"/>
    <w:rsid w:val="313D1414"/>
    <w:rsid w:val="313F3EFB"/>
    <w:rsid w:val="314530D0"/>
    <w:rsid w:val="31512F23"/>
    <w:rsid w:val="31583ADF"/>
    <w:rsid w:val="315E66FF"/>
    <w:rsid w:val="31706C5C"/>
    <w:rsid w:val="31770A40"/>
    <w:rsid w:val="318A7F7C"/>
    <w:rsid w:val="31B16136"/>
    <w:rsid w:val="31B23F76"/>
    <w:rsid w:val="31B93533"/>
    <w:rsid w:val="31C60B69"/>
    <w:rsid w:val="31CD2762"/>
    <w:rsid w:val="31CE385B"/>
    <w:rsid w:val="31D15ECB"/>
    <w:rsid w:val="31D85080"/>
    <w:rsid w:val="31D97FDB"/>
    <w:rsid w:val="31E72881"/>
    <w:rsid w:val="31EA2E93"/>
    <w:rsid w:val="31EF0D00"/>
    <w:rsid w:val="31FB390D"/>
    <w:rsid w:val="31FB5FA7"/>
    <w:rsid w:val="31FF00EA"/>
    <w:rsid w:val="32025357"/>
    <w:rsid w:val="32101D25"/>
    <w:rsid w:val="32102619"/>
    <w:rsid w:val="3213028B"/>
    <w:rsid w:val="32131EF7"/>
    <w:rsid w:val="3227339A"/>
    <w:rsid w:val="322E2CDB"/>
    <w:rsid w:val="32330F0B"/>
    <w:rsid w:val="323D0450"/>
    <w:rsid w:val="3248073B"/>
    <w:rsid w:val="324C4F89"/>
    <w:rsid w:val="324F1BF5"/>
    <w:rsid w:val="324F50CF"/>
    <w:rsid w:val="32510B78"/>
    <w:rsid w:val="325A2C4B"/>
    <w:rsid w:val="32684025"/>
    <w:rsid w:val="326A41D2"/>
    <w:rsid w:val="326A65A0"/>
    <w:rsid w:val="327606BD"/>
    <w:rsid w:val="328E60AA"/>
    <w:rsid w:val="329F56F9"/>
    <w:rsid w:val="32A169DD"/>
    <w:rsid w:val="32A566F7"/>
    <w:rsid w:val="32AC2C6A"/>
    <w:rsid w:val="32B676E9"/>
    <w:rsid w:val="32BC210F"/>
    <w:rsid w:val="32C63BD5"/>
    <w:rsid w:val="32D306D0"/>
    <w:rsid w:val="32D34C6E"/>
    <w:rsid w:val="32D81622"/>
    <w:rsid w:val="32DA0B1D"/>
    <w:rsid w:val="32DA372C"/>
    <w:rsid w:val="32E642EC"/>
    <w:rsid w:val="32F1425D"/>
    <w:rsid w:val="32F5103D"/>
    <w:rsid w:val="32FC7BF7"/>
    <w:rsid w:val="32FE40FF"/>
    <w:rsid w:val="330B5872"/>
    <w:rsid w:val="330E4655"/>
    <w:rsid w:val="33116A6B"/>
    <w:rsid w:val="331376C1"/>
    <w:rsid w:val="33142A54"/>
    <w:rsid w:val="33144866"/>
    <w:rsid w:val="33150791"/>
    <w:rsid w:val="3323141E"/>
    <w:rsid w:val="33250D82"/>
    <w:rsid w:val="332C4563"/>
    <w:rsid w:val="33421B18"/>
    <w:rsid w:val="33486F40"/>
    <w:rsid w:val="3350000F"/>
    <w:rsid w:val="335258D1"/>
    <w:rsid w:val="3353589F"/>
    <w:rsid w:val="335A28C3"/>
    <w:rsid w:val="336079E0"/>
    <w:rsid w:val="336517E6"/>
    <w:rsid w:val="3366370D"/>
    <w:rsid w:val="33762F98"/>
    <w:rsid w:val="337B5D27"/>
    <w:rsid w:val="337C2B85"/>
    <w:rsid w:val="33812043"/>
    <w:rsid w:val="3383388F"/>
    <w:rsid w:val="3387560A"/>
    <w:rsid w:val="338E675E"/>
    <w:rsid w:val="33A179B0"/>
    <w:rsid w:val="33A60791"/>
    <w:rsid w:val="33BD4644"/>
    <w:rsid w:val="33BE063D"/>
    <w:rsid w:val="33C017A7"/>
    <w:rsid w:val="33CC625D"/>
    <w:rsid w:val="33CD3A7C"/>
    <w:rsid w:val="33D42F0A"/>
    <w:rsid w:val="33D43957"/>
    <w:rsid w:val="33DB4C2B"/>
    <w:rsid w:val="33EF234A"/>
    <w:rsid w:val="33F037C3"/>
    <w:rsid w:val="340C3647"/>
    <w:rsid w:val="3413176E"/>
    <w:rsid w:val="34175277"/>
    <w:rsid w:val="341912E0"/>
    <w:rsid w:val="341D63D2"/>
    <w:rsid w:val="341F6FEB"/>
    <w:rsid w:val="3422606B"/>
    <w:rsid w:val="342F30F8"/>
    <w:rsid w:val="34342872"/>
    <w:rsid w:val="343645EE"/>
    <w:rsid w:val="343C2DD8"/>
    <w:rsid w:val="343E3E6F"/>
    <w:rsid w:val="344015CD"/>
    <w:rsid w:val="3450562C"/>
    <w:rsid w:val="34513A71"/>
    <w:rsid w:val="345823FB"/>
    <w:rsid w:val="34635D7B"/>
    <w:rsid w:val="346675EE"/>
    <w:rsid w:val="34674196"/>
    <w:rsid w:val="34764DFF"/>
    <w:rsid w:val="347A2381"/>
    <w:rsid w:val="347B0D57"/>
    <w:rsid w:val="34863915"/>
    <w:rsid w:val="348971A4"/>
    <w:rsid w:val="348A1B01"/>
    <w:rsid w:val="3496481A"/>
    <w:rsid w:val="349B355F"/>
    <w:rsid w:val="349E1977"/>
    <w:rsid w:val="349F3B1B"/>
    <w:rsid w:val="34A3717C"/>
    <w:rsid w:val="34B20306"/>
    <w:rsid w:val="34B42D12"/>
    <w:rsid w:val="34B923A4"/>
    <w:rsid w:val="34C975F3"/>
    <w:rsid w:val="34CF4853"/>
    <w:rsid w:val="34F267BD"/>
    <w:rsid w:val="35012551"/>
    <w:rsid w:val="35021FE5"/>
    <w:rsid w:val="35100668"/>
    <w:rsid w:val="35112C85"/>
    <w:rsid w:val="3518374D"/>
    <w:rsid w:val="3519702D"/>
    <w:rsid w:val="3519736E"/>
    <w:rsid w:val="351C3D48"/>
    <w:rsid w:val="352D7A74"/>
    <w:rsid w:val="35407C0E"/>
    <w:rsid w:val="35433B90"/>
    <w:rsid w:val="3546683F"/>
    <w:rsid w:val="35547A5B"/>
    <w:rsid w:val="35555673"/>
    <w:rsid w:val="35592A24"/>
    <w:rsid w:val="356217AA"/>
    <w:rsid w:val="356D5668"/>
    <w:rsid w:val="357258D8"/>
    <w:rsid w:val="357C2589"/>
    <w:rsid w:val="35871BFF"/>
    <w:rsid w:val="358B4256"/>
    <w:rsid w:val="358F3DD5"/>
    <w:rsid w:val="35901219"/>
    <w:rsid w:val="359514F7"/>
    <w:rsid w:val="359707EA"/>
    <w:rsid w:val="35A14C67"/>
    <w:rsid w:val="35A30CF4"/>
    <w:rsid w:val="35A500CD"/>
    <w:rsid w:val="35AC1691"/>
    <w:rsid w:val="35AE0F12"/>
    <w:rsid w:val="35B008C8"/>
    <w:rsid w:val="35BE0B5B"/>
    <w:rsid w:val="35C156A2"/>
    <w:rsid w:val="35C71B14"/>
    <w:rsid w:val="35C965C8"/>
    <w:rsid w:val="35D25B97"/>
    <w:rsid w:val="35DA18A1"/>
    <w:rsid w:val="35DE0734"/>
    <w:rsid w:val="35E01376"/>
    <w:rsid w:val="35FE6CBE"/>
    <w:rsid w:val="36045A4E"/>
    <w:rsid w:val="360D2D32"/>
    <w:rsid w:val="360F122A"/>
    <w:rsid w:val="360F3B63"/>
    <w:rsid w:val="361E3E22"/>
    <w:rsid w:val="362B6D4F"/>
    <w:rsid w:val="363076D7"/>
    <w:rsid w:val="363A4B9C"/>
    <w:rsid w:val="364C2C7B"/>
    <w:rsid w:val="365660D1"/>
    <w:rsid w:val="36633C07"/>
    <w:rsid w:val="366566B4"/>
    <w:rsid w:val="36665A48"/>
    <w:rsid w:val="366C6B38"/>
    <w:rsid w:val="366F5F44"/>
    <w:rsid w:val="36700FFF"/>
    <w:rsid w:val="367C64A3"/>
    <w:rsid w:val="36824646"/>
    <w:rsid w:val="368C4219"/>
    <w:rsid w:val="3697487B"/>
    <w:rsid w:val="36A05F27"/>
    <w:rsid w:val="36A32041"/>
    <w:rsid w:val="36A922D5"/>
    <w:rsid w:val="36AB35EF"/>
    <w:rsid w:val="36B86714"/>
    <w:rsid w:val="36C54401"/>
    <w:rsid w:val="36CE0AC8"/>
    <w:rsid w:val="36CE2292"/>
    <w:rsid w:val="36D0367C"/>
    <w:rsid w:val="36D45D63"/>
    <w:rsid w:val="36D6341E"/>
    <w:rsid w:val="36DD2ED1"/>
    <w:rsid w:val="36E25A8D"/>
    <w:rsid w:val="36E3668F"/>
    <w:rsid w:val="36F8190F"/>
    <w:rsid w:val="36FA58F1"/>
    <w:rsid w:val="37075A40"/>
    <w:rsid w:val="370C3296"/>
    <w:rsid w:val="370F1648"/>
    <w:rsid w:val="37135666"/>
    <w:rsid w:val="371A0C45"/>
    <w:rsid w:val="372900F8"/>
    <w:rsid w:val="372B4039"/>
    <w:rsid w:val="373101EC"/>
    <w:rsid w:val="37353500"/>
    <w:rsid w:val="37357B02"/>
    <w:rsid w:val="3739097B"/>
    <w:rsid w:val="37455421"/>
    <w:rsid w:val="37481B63"/>
    <w:rsid w:val="374D0BD2"/>
    <w:rsid w:val="37507512"/>
    <w:rsid w:val="375E48A0"/>
    <w:rsid w:val="3760290D"/>
    <w:rsid w:val="376832CC"/>
    <w:rsid w:val="376A6DF4"/>
    <w:rsid w:val="376E70D3"/>
    <w:rsid w:val="37775EC1"/>
    <w:rsid w:val="37842B36"/>
    <w:rsid w:val="3785695C"/>
    <w:rsid w:val="37905BC2"/>
    <w:rsid w:val="37AF1A40"/>
    <w:rsid w:val="37BA1D38"/>
    <w:rsid w:val="37BC06F2"/>
    <w:rsid w:val="37C612F0"/>
    <w:rsid w:val="37C63AF7"/>
    <w:rsid w:val="37C96AD9"/>
    <w:rsid w:val="37D06F6A"/>
    <w:rsid w:val="37D57481"/>
    <w:rsid w:val="37D71A21"/>
    <w:rsid w:val="37DB4B1B"/>
    <w:rsid w:val="37DD0E80"/>
    <w:rsid w:val="37E75965"/>
    <w:rsid w:val="37F559A6"/>
    <w:rsid w:val="3805674E"/>
    <w:rsid w:val="380A7633"/>
    <w:rsid w:val="380C379C"/>
    <w:rsid w:val="380F75A8"/>
    <w:rsid w:val="38116F39"/>
    <w:rsid w:val="38150283"/>
    <w:rsid w:val="38235155"/>
    <w:rsid w:val="382F03AB"/>
    <w:rsid w:val="38342548"/>
    <w:rsid w:val="38394B02"/>
    <w:rsid w:val="38453AF0"/>
    <w:rsid w:val="384B17BB"/>
    <w:rsid w:val="385F3E9C"/>
    <w:rsid w:val="386F3673"/>
    <w:rsid w:val="387D1195"/>
    <w:rsid w:val="3884521F"/>
    <w:rsid w:val="38866029"/>
    <w:rsid w:val="38931349"/>
    <w:rsid w:val="38A7784B"/>
    <w:rsid w:val="38B433E0"/>
    <w:rsid w:val="38B841E1"/>
    <w:rsid w:val="38B97E62"/>
    <w:rsid w:val="38BB1AB5"/>
    <w:rsid w:val="38BE4FE0"/>
    <w:rsid w:val="38CF7597"/>
    <w:rsid w:val="38D32F6F"/>
    <w:rsid w:val="38D67F23"/>
    <w:rsid w:val="38DB0F62"/>
    <w:rsid w:val="38E65DFA"/>
    <w:rsid w:val="38ED5172"/>
    <w:rsid w:val="38F20E89"/>
    <w:rsid w:val="38F927A6"/>
    <w:rsid w:val="38F979D0"/>
    <w:rsid w:val="38FC5FEA"/>
    <w:rsid w:val="39073F5B"/>
    <w:rsid w:val="390A651F"/>
    <w:rsid w:val="390C0E7A"/>
    <w:rsid w:val="390C2177"/>
    <w:rsid w:val="3910410C"/>
    <w:rsid w:val="3919029E"/>
    <w:rsid w:val="391C549E"/>
    <w:rsid w:val="39205227"/>
    <w:rsid w:val="3927575B"/>
    <w:rsid w:val="392A5AB6"/>
    <w:rsid w:val="392A74BF"/>
    <w:rsid w:val="392C3D96"/>
    <w:rsid w:val="39315ADA"/>
    <w:rsid w:val="393439A4"/>
    <w:rsid w:val="393A1681"/>
    <w:rsid w:val="395A1B5C"/>
    <w:rsid w:val="3960102A"/>
    <w:rsid w:val="39614ED3"/>
    <w:rsid w:val="396326E7"/>
    <w:rsid w:val="3965482A"/>
    <w:rsid w:val="39685FA9"/>
    <w:rsid w:val="396A3EDD"/>
    <w:rsid w:val="396A6003"/>
    <w:rsid w:val="396B7FBF"/>
    <w:rsid w:val="397664A7"/>
    <w:rsid w:val="397A1146"/>
    <w:rsid w:val="397B2BA2"/>
    <w:rsid w:val="399A2DCE"/>
    <w:rsid w:val="399F7F57"/>
    <w:rsid w:val="39AB6E11"/>
    <w:rsid w:val="39AC3649"/>
    <w:rsid w:val="39AE2771"/>
    <w:rsid w:val="39DC4608"/>
    <w:rsid w:val="39E532F5"/>
    <w:rsid w:val="39FE14D5"/>
    <w:rsid w:val="3A066F76"/>
    <w:rsid w:val="3A072FC5"/>
    <w:rsid w:val="3A0E1E66"/>
    <w:rsid w:val="3A0F0F94"/>
    <w:rsid w:val="3A167AB8"/>
    <w:rsid w:val="3A1B00BB"/>
    <w:rsid w:val="3A263222"/>
    <w:rsid w:val="3A2A5A29"/>
    <w:rsid w:val="3A2C349D"/>
    <w:rsid w:val="3A381463"/>
    <w:rsid w:val="3A3F1B6D"/>
    <w:rsid w:val="3A404981"/>
    <w:rsid w:val="3A456687"/>
    <w:rsid w:val="3A4B3272"/>
    <w:rsid w:val="3A4F575B"/>
    <w:rsid w:val="3A5001EC"/>
    <w:rsid w:val="3A500D38"/>
    <w:rsid w:val="3A570404"/>
    <w:rsid w:val="3A651AA2"/>
    <w:rsid w:val="3A700FD5"/>
    <w:rsid w:val="3A705084"/>
    <w:rsid w:val="3A7101B8"/>
    <w:rsid w:val="3A7720E4"/>
    <w:rsid w:val="3A7B05B5"/>
    <w:rsid w:val="3A7D4C16"/>
    <w:rsid w:val="3A801CAB"/>
    <w:rsid w:val="3A913611"/>
    <w:rsid w:val="3A9267A5"/>
    <w:rsid w:val="3A9421C5"/>
    <w:rsid w:val="3A987FDE"/>
    <w:rsid w:val="3A9D057C"/>
    <w:rsid w:val="3A9D74DD"/>
    <w:rsid w:val="3A9F6737"/>
    <w:rsid w:val="3AA956A7"/>
    <w:rsid w:val="3AAB52C4"/>
    <w:rsid w:val="3AB36197"/>
    <w:rsid w:val="3AC15673"/>
    <w:rsid w:val="3AC41622"/>
    <w:rsid w:val="3ACD63EF"/>
    <w:rsid w:val="3ACF48FE"/>
    <w:rsid w:val="3AE04477"/>
    <w:rsid w:val="3AE54D45"/>
    <w:rsid w:val="3AE7037C"/>
    <w:rsid w:val="3AF1405A"/>
    <w:rsid w:val="3AF44902"/>
    <w:rsid w:val="3AF64CE5"/>
    <w:rsid w:val="3AFD6732"/>
    <w:rsid w:val="3B00428D"/>
    <w:rsid w:val="3B0113D0"/>
    <w:rsid w:val="3B052E61"/>
    <w:rsid w:val="3B057BB8"/>
    <w:rsid w:val="3B0B34A6"/>
    <w:rsid w:val="3B0C4D28"/>
    <w:rsid w:val="3B1058AD"/>
    <w:rsid w:val="3B155B71"/>
    <w:rsid w:val="3B1E77C6"/>
    <w:rsid w:val="3B247CC0"/>
    <w:rsid w:val="3B276E7E"/>
    <w:rsid w:val="3B277F2A"/>
    <w:rsid w:val="3B2F4F9E"/>
    <w:rsid w:val="3B313220"/>
    <w:rsid w:val="3B3277D5"/>
    <w:rsid w:val="3B385412"/>
    <w:rsid w:val="3B393DC2"/>
    <w:rsid w:val="3B40516F"/>
    <w:rsid w:val="3B467CB3"/>
    <w:rsid w:val="3B493F53"/>
    <w:rsid w:val="3B4A5C00"/>
    <w:rsid w:val="3B4E12C0"/>
    <w:rsid w:val="3B5026BC"/>
    <w:rsid w:val="3B545E56"/>
    <w:rsid w:val="3B5D64E4"/>
    <w:rsid w:val="3B657D9D"/>
    <w:rsid w:val="3B6B5215"/>
    <w:rsid w:val="3B7258A4"/>
    <w:rsid w:val="3B7E36F0"/>
    <w:rsid w:val="3B825BF9"/>
    <w:rsid w:val="3B8357D7"/>
    <w:rsid w:val="3B876BEE"/>
    <w:rsid w:val="3B905E03"/>
    <w:rsid w:val="3B911881"/>
    <w:rsid w:val="3B97721B"/>
    <w:rsid w:val="3B9847FA"/>
    <w:rsid w:val="3BA710BA"/>
    <w:rsid w:val="3BAF5E97"/>
    <w:rsid w:val="3BB876AE"/>
    <w:rsid w:val="3BC1610F"/>
    <w:rsid w:val="3BC2703D"/>
    <w:rsid w:val="3BC5193D"/>
    <w:rsid w:val="3BC64917"/>
    <w:rsid w:val="3BCB4E43"/>
    <w:rsid w:val="3BCC2D63"/>
    <w:rsid w:val="3BD24C90"/>
    <w:rsid w:val="3BDD3D5A"/>
    <w:rsid w:val="3BDD74B7"/>
    <w:rsid w:val="3BF2423C"/>
    <w:rsid w:val="3BF47E15"/>
    <w:rsid w:val="3BF52ED4"/>
    <w:rsid w:val="3BFC3B97"/>
    <w:rsid w:val="3C0233CF"/>
    <w:rsid w:val="3C0A302B"/>
    <w:rsid w:val="3C1C6F14"/>
    <w:rsid w:val="3C1F1BF2"/>
    <w:rsid w:val="3C273DD6"/>
    <w:rsid w:val="3C275D2E"/>
    <w:rsid w:val="3C2B4ADC"/>
    <w:rsid w:val="3C385A43"/>
    <w:rsid w:val="3C3D4F75"/>
    <w:rsid w:val="3C421037"/>
    <w:rsid w:val="3C423F6B"/>
    <w:rsid w:val="3C4474F7"/>
    <w:rsid w:val="3C457983"/>
    <w:rsid w:val="3C52201F"/>
    <w:rsid w:val="3C5616C6"/>
    <w:rsid w:val="3C5C4F55"/>
    <w:rsid w:val="3C5F5F6F"/>
    <w:rsid w:val="3C6272F5"/>
    <w:rsid w:val="3C717518"/>
    <w:rsid w:val="3C750612"/>
    <w:rsid w:val="3C7F73D3"/>
    <w:rsid w:val="3C895115"/>
    <w:rsid w:val="3C8958AC"/>
    <w:rsid w:val="3C8D24CD"/>
    <w:rsid w:val="3C905BE4"/>
    <w:rsid w:val="3C99793A"/>
    <w:rsid w:val="3C9C5775"/>
    <w:rsid w:val="3CA770AD"/>
    <w:rsid w:val="3CAE1631"/>
    <w:rsid w:val="3CAE2C3F"/>
    <w:rsid w:val="3CB01B96"/>
    <w:rsid w:val="3CB33B17"/>
    <w:rsid w:val="3CB6640E"/>
    <w:rsid w:val="3CBC339A"/>
    <w:rsid w:val="3CBD568B"/>
    <w:rsid w:val="3CC01032"/>
    <w:rsid w:val="3CD03F56"/>
    <w:rsid w:val="3CDC2A3D"/>
    <w:rsid w:val="3CDE75B6"/>
    <w:rsid w:val="3CF30754"/>
    <w:rsid w:val="3D036296"/>
    <w:rsid w:val="3D064CE6"/>
    <w:rsid w:val="3D136882"/>
    <w:rsid w:val="3D18379F"/>
    <w:rsid w:val="3D1D019E"/>
    <w:rsid w:val="3D1F686C"/>
    <w:rsid w:val="3D264453"/>
    <w:rsid w:val="3D344C20"/>
    <w:rsid w:val="3D3A3592"/>
    <w:rsid w:val="3D400924"/>
    <w:rsid w:val="3D543BE9"/>
    <w:rsid w:val="3D5A3DD6"/>
    <w:rsid w:val="3D623C84"/>
    <w:rsid w:val="3D6807A6"/>
    <w:rsid w:val="3D7B778B"/>
    <w:rsid w:val="3D7E68E9"/>
    <w:rsid w:val="3D8C082D"/>
    <w:rsid w:val="3D9640C4"/>
    <w:rsid w:val="3D9943E5"/>
    <w:rsid w:val="3D9B6C3D"/>
    <w:rsid w:val="3DA01785"/>
    <w:rsid w:val="3DA20FBB"/>
    <w:rsid w:val="3DA242EB"/>
    <w:rsid w:val="3DB20931"/>
    <w:rsid w:val="3DB21664"/>
    <w:rsid w:val="3DB35CAB"/>
    <w:rsid w:val="3DB871CC"/>
    <w:rsid w:val="3DBD115A"/>
    <w:rsid w:val="3DC06A21"/>
    <w:rsid w:val="3DC13CFF"/>
    <w:rsid w:val="3DC4696F"/>
    <w:rsid w:val="3DC87F1F"/>
    <w:rsid w:val="3DCB5BEE"/>
    <w:rsid w:val="3DCB716C"/>
    <w:rsid w:val="3DD44A98"/>
    <w:rsid w:val="3DD902DF"/>
    <w:rsid w:val="3DDD2612"/>
    <w:rsid w:val="3DEA4325"/>
    <w:rsid w:val="3DF027E2"/>
    <w:rsid w:val="3DFC0FD5"/>
    <w:rsid w:val="3E014CF5"/>
    <w:rsid w:val="3E0E5A82"/>
    <w:rsid w:val="3E191BC0"/>
    <w:rsid w:val="3E1B1026"/>
    <w:rsid w:val="3E1C5CF2"/>
    <w:rsid w:val="3E1E752D"/>
    <w:rsid w:val="3E1F2A4A"/>
    <w:rsid w:val="3E2126F1"/>
    <w:rsid w:val="3E225ADC"/>
    <w:rsid w:val="3E240A52"/>
    <w:rsid w:val="3E2454F4"/>
    <w:rsid w:val="3E3446C6"/>
    <w:rsid w:val="3E51532C"/>
    <w:rsid w:val="3E515B10"/>
    <w:rsid w:val="3E8935ED"/>
    <w:rsid w:val="3E8B5B88"/>
    <w:rsid w:val="3E8E4F94"/>
    <w:rsid w:val="3E8F49A3"/>
    <w:rsid w:val="3E907D54"/>
    <w:rsid w:val="3EA60089"/>
    <w:rsid w:val="3EA94997"/>
    <w:rsid w:val="3EAA10EC"/>
    <w:rsid w:val="3EB048C5"/>
    <w:rsid w:val="3EB62A98"/>
    <w:rsid w:val="3EB926A9"/>
    <w:rsid w:val="3EBC3678"/>
    <w:rsid w:val="3ECA2B5D"/>
    <w:rsid w:val="3ECF0603"/>
    <w:rsid w:val="3EE56B11"/>
    <w:rsid w:val="3EE703CA"/>
    <w:rsid w:val="3EF10C88"/>
    <w:rsid w:val="3EF26959"/>
    <w:rsid w:val="3EFB1410"/>
    <w:rsid w:val="3F035FC9"/>
    <w:rsid w:val="3F044162"/>
    <w:rsid w:val="3F0C08E2"/>
    <w:rsid w:val="3F0C1EC2"/>
    <w:rsid w:val="3F1010D8"/>
    <w:rsid w:val="3F1721FA"/>
    <w:rsid w:val="3F1C0F10"/>
    <w:rsid w:val="3F1E386F"/>
    <w:rsid w:val="3F202455"/>
    <w:rsid w:val="3F3022F2"/>
    <w:rsid w:val="3F3C0989"/>
    <w:rsid w:val="3F4074AD"/>
    <w:rsid w:val="3F5D38C0"/>
    <w:rsid w:val="3F687974"/>
    <w:rsid w:val="3F6C237F"/>
    <w:rsid w:val="3F774D30"/>
    <w:rsid w:val="3F8F1210"/>
    <w:rsid w:val="3F8F3BA7"/>
    <w:rsid w:val="3F950DEC"/>
    <w:rsid w:val="3F9A2C84"/>
    <w:rsid w:val="3FA54708"/>
    <w:rsid w:val="3FA61D7C"/>
    <w:rsid w:val="3FB2330C"/>
    <w:rsid w:val="3FC17427"/>
    <w:rsid w:val="3FC27063"/>
    <w:rsid w:val="3FC92AC7"/>
    <w:rsid w:val="3FD2574D"/>
    <w:rsid w:val="3FD72254"/>
    <w:rsid w:val="3FE54D0C"/>
    <w:rsid w:val="3FE828E6"/>
    <w:rsid w:val="3FE92046"/>
    <w:rsid w:val="3FEC2814"/>
    <w:rsid w:val="3FF503B3"/>
    <w:rsid w:val="4005376A"/>
    <w:rsid w:val="40071AA3"/>
    <w:rsid w:val="4009778A"/>
    <w:rsid w:val="40101D96"/>
    <w:rsid w:val="40130506"/>
    <w:rsid w:val="40145134"/>
    <w:rsid w:val="402E1D38"/>
    <w:rsid w:val="403B576B"/>
    <w:rsid w:val="403C77ED"/>
    <w:rsid w:val="40416067"/>
    <w:rsid w:val="40426E63"/>
    <w:rsid w:val="404C1A06"/>
    <w:rsid w:val="40560252"/>
    <w:rsid w:val="405A52E6"/>
    <w:rsid w:val="405D1D70"/>
    <w:rsid w:val="406C17DB"/>
    <w:rsid w:val="406E0539"/>
    <w:rsid w:val="407A2072"/>
    <w:rsid w:val="40820A00"/>
    <w:rsid w:val="40821099"/>
    <w:rsid w:val="40884CF3"/>
    <w:rsid w:val="408D2FAC"/>
    <w:rsid w:val="408F221B"/>
    <w:rsid w:val="40A026AB"/>
    <w:rsid w:val="40B5139E"/>
    <w:rsid w:val="40BB78BB"/>
    <w:rsid w:val="40BC0484"/>
    <w:rsid w:val="40C111AC"/>
    <w:rsid w:val="40D34902"/>
    <w:rsid w:val="40D52F0A"/>
    <w:rsid w:val="40D63792"/>
    <w:rsid w:val="40DA1947"/>
    <w:rsid w:val="40DD19D6"/>
    <w:rsid w:val="40E9444A"/>
    <w:rsid w:val="40ED022F"/>
    <w:rsid w:val="40FB286F"/>
    <w:rsid w:val="410D678F"/>
    <w:rsid w:val="411379D1"/>
    <w:rsid w:val="41153A00"/>
    <w:rsid w:val="411B1732"/>
    <w:rsid w:val="412535C3"/>
    <w:rsid w:val="412603CD"/>
    <w:rsid w:val="41294736"/>
    <w:rsid w:val="413238BE"/>
    <w:rsid w:val="413C5920"/>
    <w:rsid w:val="413F1C76"/>
    <w:rsid w:val="414B1389"/>
    <w:rsid w:val="41502C7A"/>
    <w:rsid w:val="415E7C80"/>
    <w:rsid w:val="416640F6"/>
    <w:rsid w:val="41675198"/>
    <w:rsid w:val="416B0505"/>
    <w:rsid w:val="416B6F06"/>
    <w:rsid w:val="416D6215"/>
    <w:rsid w:val="41735ED5"/>
    <w:rsid w:val="41770053"/>
    <w:rsid w:val="418D6655"/>
    <w:rsid w:val="418E0A77"/>
    <w:rsid w:val="419317A3"/>
    <w:rsid w:val="419A12AC"/>
    <w:rsid w:val="41BA34AE"/>
    <w:rsid w:val="41BE6329"/>
    <w:rsid w:val="41C439BA"/>
    <w:rsid w:val="41C46627"/>
    <w:rsid w:val="41C73FCE"/>
    <w:rsid w:val="41C85841"/>
    <w:rsid w:val="41CB31BB"/>
    <w:rsid w:val="41DC3CD7"/>
    <w:rsid w:val="41E12BC6"/>
    <w:rsid w:val="41E84249"/>
    <w:rsid w:val="41EC69AB"/>
    <w:rsid w:val="41EF6DF6"/>
    <w:rsid w:val="41F6111C"/>
    <w:rsid w:val="41F8372F"/>
    <w:rsid w:val="41F93C0A"/>
    <w:rsid w:val="41FD37CB"/>
    <w:rsid w:val="420D5538"/>
    <w:rsid w:val="420F3232"/>
    <w:rsid w:val="4215006E"/>
    <w:rsid w:val="422B66CB"/>
    <w:rsid w:val="422D59CE"/>
    <w:rsid w:val="4245422C"/>
    <w:rsid w:val="4246623F"/>
    <w:rsid w:val="424A77E1"/>
    <w:rsid w:val="424F7174"/>
    <w:rsid w:val="42520C8F"/>
    <w:rsid w:val="4253350E"/>
    <w:rsid w:val="425E6230"/>
    <w:rsid w:val="427A24FE"/>
    <w:rsid w:val="428F531A"/>
    <w:rsid w:val="429A6A8B"/>
    <w:rsid w:val="429B1F48"/>
    <w:rsid w:val="42A2138A"/>
    <w:rsid w:val="42A261B0"/>
    <w:rsid w:val="42AB7AD9"/>
    <w:rsid w:val="42AE51E5"/>
    <w:rsid w:val="42D053E8"/>
    <w:rsid w:val="42D31F78"/>
    <w:rsid w:val="42DB4C5C"/>
    <w:rsid w:val="42E47920"/>
    <w:rsid w:val="42ED73A1"/>
    <w:rsid w:val="42EF25E7"/>
    <w:rsid w:val="430B3010"/>
    <w:rsid w:val="430C1947"/>
    <w:rsid w:val="43123B53"/>
    <w:rsid w:val="43140463"/>
    <w:rsid w:val="431E0698"/>
    <w:rsid w:val="431E78E6"/>
    <w:rsid w:val="432342E8"/>
    <w:rsid w:val="43286AC9"/>
    <w:rsid w:val="43311FFF"/>
    <w:rsid w:val="43363645"/>
    <w:rsid w:val="43406405"/>
    <w:rsid w:val="43431CE9"/>
    <w:rsid w:val="434461D2"/>
    <w:rsid w:val="435A3562"/>
    <w:rsid w:val="435B2648"/>
    <w:rsid w:val="435E65E3"/>
    <w:rsid w:val="4365171F"/>
    <w:rsid w:val="436A7FA3"/>
    <w:rsid w:val="4371561A"/>
    <w:rsid w:val="43772C31"/>
    <w:rsid w:val="437A2C90"/>
    <w:rsid w:val="437A70C9"/>
    <w:rsid w:val="43834584"/>
    <w:rsid w:val="438C03BD"/>
    <w:rsid w:val="439337BF"/>
    <w:rsid w:val="43965A98"/>
    <w:rsid w:val="439B4422"/>
    <w:rsid w:val="439E465C"/>
    <w:rsid w:val="43B11716"/>
    <w:rsid w:val="43B75145"/>
    <w:rsid w:val="43BA27B5"/>
    <w:rsid w:val="43BB0E88"/>
    <w:rsid w:val="43C52964"/>
    <w:rsid w:val="43CD19AD"/>
    <w:rsid w:val="43D118DB"/>
    <w:rsid w:val="43D90C75"/>
    <w:rsid w:val="43E049ED"/>
    <w:rsid w:val="43EA1C9A"/>
    <w:rsid w:val="43EA586C"/>
    <w:rsid w:val="43ED6B24"/>
    <w:rsid w:val="43F03C63"/>
    <w:rsid w:val="43F12E67"/>
    <w:rsid w:val="43FF4CFC"/>
    <w:rsid w:val="44006984"/>
    <w:rsid w:val="440B6CF8"/>
    <w:rsid w:val="440D1580"/>
    <w:rsid w:val="44152F71"/>
    <w:rsid w:val="44194EED"/>
    <w:rsid w:val="441A4C0B"/>
    <w:rsid w:val="441D19A0"/>
    <w:rsid w:val="442079B5"/>
    <w:rsid w:val="44222A36"/>
    <w:rsid w:val="442B380B"/>
    <w:rsid w:val="445B667D"/>
    <w:rsid w:val="44890D00"/>
    <w:rsid w:val="448A275B"/>
    <w:rsid w:val="448F63C5"/>
    <w:rsid w:val="4494028B"/>
    <w:rsid w:val="449455C7"/>
    <w:rsid w:val="44AA6475"/>
    <w:rsid w:val="44B82AA6"/>
    <w:rsid w:val="44BA29B8"/>
    <w:rsid w:val="44C440E7"/>
    <w:rsid w:val="44C44B14"/>
    <w:rsid w:val="44EB306A"/>
    <w:rsid w:val="44F03014"/>
    <w:rsid w:val="44F05A66"/>
    <w:rsid w:val="44F12817"/>
    <w:rsid w:val="44F94B08"/>
    <w:rsid w:val="450242EA"/>
    <w:rsid w:val="450614A4"/>
    <w:rsid w:val="45072842"/>
    <w:rsid w:val="450D2590"/>
    <w:rsid w:val="45102FE7"/>
    <w:rsid w:val="45135F5E"/>
    <w:rsid w:val="452D3BC7"/>
    <w:rsid w:val="452E0769"/>
    <w:rsid w:val="45321E8C"/>
    <w:rsid w:val="45373D61"/>
    <w:rsid w:val="45387296"/>
    <w:rsid w:val="453D25C2"/>
    <w:rsid w:val="453D6097"/>
    <w:rsid w:val="4542091E"/>
    <w:rsid w:val="454D6B65"/>
    <w:rsid w:val="4552257D"/>
    <w:rsid w:val="45557E38"/>
    <w:rsid w:val="45575043"/>
    <w:rsid w:val="455B04D5"/>
    <w:rsid w:val="455D40E0"/>
    <w:rsid w:val="456F3B4D"/>
    <w:rsid w:val="4572336D"/>
    <w:rsid w:val="4575540B"/>
    <w:rsid w:val="45913B1F"/>
    <w:rsid w:val="459D7F6B"/>
    <w:rsid w:val="45A60012"/>
    <w:rsid w:val="45AE5931"/>
    <w:rsid w:val="45B8738A"/>
    <w:rsid w:val="45C15FA0"/>
    <w:rsid w:val="45C95D7D"/>
    <w:rsid w:val="45CD0374"/>
    <w:rsid w:val="45D508BD"/>
    <w:rsid w:val="45DA39B5"/>
    <w:rsid w:val="45DD2AF5"/>
    <w:rsid w:val="45F049EE"/>
    <w:rsid w:val="45FE4148"/>
    <w:rsid w:val="45FF36D8"/>
    <w:rsid w:val="460175AC"/>
    <w:rsid w:val="460C2017"/>
    <w:rsid w:val="460E3D54"/>
    <w:rsid w:val="46103980"/>
    <w:rsid w:val="461C70A3"/>
    <w:rsid w:val="46204A88"/>
    <w:rsid w:val="4624656F"/>
    <w:rsid w:val="46264073"/>
    <w:rsid w:val="463248E5"/>
    <w:rsid w:val="463E6753"/>
    <w:rsid w:val="46562FF8"/>
    <w:rsid w:val="46630A6B"/>
    <w:rsid w:val="4667088B"/>
    <w:rsid w:val="466F3C52"/>
    <w:rsid w:val="46721069"/>
    <w:rsid w:val="4680624C"/>
    <w:rsid w:val="46841CB9"/>
    <w:rsid w:val="46867E5F"/>
    <w:rsid w:val="46875E3F"/>
    <w:rsid w:val="46881AE1"/>
    <w:rsid w:val="468E77B4"/>
    <w:rsid w:val="46916F91"/>
    <w:rsid w:val="46A64250"/>
    <w:rsid w:val="46A718B8"/>
    <w:rsid w:val="46AD0F96"/>
    <w:rsid w:val="46B02EE5"/>
    <w:rsid w:val="46B3762C"/>
    <w:rsid w:val="46BE2CFC"/>
    <w:rsid w:val="46BF4F72"/>
    <w:rsid w:val="46C63D75"/>
    <w:rsid w:val="46CB400E"/>
    <w:rsid w:val="46CC31DA"/>
    <w:rsid w:val="46CC73D1"/>
    <w:rsid w:val="46CD0BB8"/>
    <w:rsid w:val="46DB65FB"/>
    <w:rsid w:val="46DC3FA7"/>
    <w:rsid w:val="46DE3981"/>
    <w:rsid w:val="46E251E2"/>
    <w:rsid w:val="46EB37FA"/>
    <w:rsid w:val="46EC5079"/>
    <w:rsid w:val="46EF1D59"/>
    <w:rsid w:val="47031DA9"/>
    <w:rsid w:val="47053800"/>
    <w:rsid w:val="470B70C3"/>
    <w:rsid w:val="471229A0"/>
    <w:rsid w:val="4727370B"/>
    <w:rsid w:val="47327BCA"/>
    <w:rsid w:val="47346B8B"/>
    <w:rsid w:val="475F32A1"/>
    <w:rsid w:val="475F3472"/>
    <w:rsid w:val="475F7A4F"/>
    <w:rsid w:val="476033C1"/>
    <w:rsid w:val="47645AAE"/>
    <w:rsid w:val="47763995"/>
    <w:rsid w:val="477A0C90"/>
    <w:rsid w:val="477D504B"/>
    <w:rsid w:val="479D0382"/>
    <w:rsid w:val="47A620E5"/>
    <w:rsid w:val="47B873D8"/>
    <w:rsid w:val="47C148AF"/>
    <w:rsid w:val="47CC7AAD"/>
    <w:rsid w:val="47CF3A4D"/>
    <w:rsid w:val="47D63975"/>
    <w:rsid w:val="47E8416A"/>
    <w:rsid w:val="47E93497"/>
    <w:rsid w:val="47EB6EF5"/>
    <w:rsid w:val="47F2600B"/>
    <w:rsid w:val="48017C77"/>
    <w:rsid w:val="4803650A"/>
    <w:rsid w:val="48083860"/>
    <w:rsid w:val="48144B0E"/>
    <w:rsid w:val="481528A8"/>
    <w:rsid w:val="48215C79"/>
    <w:rsid w:val="482A711F"/>
    <w:rsid w:val="482D561F"/>
    <w:rsid w:val="48311A78"/>
    <w:rsid w:val="48511C05"/>
    <w:rsid w:val="486120C5"/>
    <w:rsid w:val="48614626"/>
    <w:rsid w:val="48664029"/>
    <w:rsid w:val="486931E0"/>
    <w:rsid w:val="486A3E93"/>
    <w:rsid w:val="48733D13"/>
    <w:rsid w:val="48752DB8"/>
    <w:rsid w:val="487B554D"/>
    <w:rsid w:val="4882583A"/>
    <w:rsid w:val="489A6742"/>
    <w:rsid w:val="489C2797"/>
    <w:rsid w:val="489F1249"/>
    <w:rsid w:val="48B0223D"/>
    <w:rsid w:val="48B72863"/>
    <w:rsid w:val="48C2688C"/>
    <w:rsid w:val="48C4588D"/>
    <w:rsid w:val="48C66D09"/>
    <w:rsid w:val="48D352DD"/>
    <w:rsid w:val="48D51CFA"/>
    <w:rsid w:val="48DF069B"/>
    <w:rsid w:val="48EA78DE"/>
    <w:rsid w:val="48EF5129"/>
    <w:rsid w:val="48FA66F3"/>
    <w:rsid w:val="48FF12B1"/>
    <w:rsid w:val="4903217E"/>
    <w:rsid w:val="49055F98"/>
    <w:rsid w:val="49214628"/>
    <w:rsid w:val="492809AC"/>
    <w:rsid w:val="49294BC6"/>
    <w:rsid w:val="492E17CB"/>
    <w:rsid w:val="49305650"/>
    <w:rsid w:val="49411818"/>
    <w:rsid w:val="494F3DB2"/>
    <w:rsid w:val="49525270"/>
    <w:rsid w:val="49633237"/>
    <w:rsid w:val="496E5DE4"/>
    <w:rsid w:val="49732891"/>
    <w:rsid w:val="49735DA3"/>
    <w:rsid w:val="49742314"/>
    <w:rsid w:val="497C0062"/>
    <w:rsid w:val="498335F3"/>
    <w:rsid w:val="49862675"/>
    <w:rsid w:val="498863FA"/>
    <w:rsid w:val="498C1E70"/>
    <w:rsid w:val="4995717A"/>
    <w:rsid w:val="49962929"/>
    <w:rsid w:val="49964F16"/>
    <w:rsid w:val="49A9505C"/>
    <w:rsid w:val="49AC3E52"/>
    <w:rsid w:val="49AE7A87"/>
    <w:rsid w:val="49B036E9"/>
    <w:rsid w:val="49B904DF"/>
    <w:rsid w:val="49BF1FB5"/>
    <w:rsid w:val="49C01EF5"/>
    <w:rsid w:val="49D24343"/>
    <w:rsid w:val="49D81128"/>
    <w:rsid w:val="49DB344C"/>
    <w:rsid w:val="49DC6BC4"/>
    <w:rsid w:val="49E65669"/>
    <w:rsid w:val="49F303FC"/>
    <w:rsid w:val="49FC4182"/>
    <w:rsid w:val="4A055F4A"/>
    <w:rsid w:val="4A0832D1"/>
    <w:rsid w:val="4A2C0FB2"/>
    <w:rsid w:val="4A3F186D"/>
    <w:rsid w:val="4A4113FF"/>
    <w:rsid w:val="4A4B5116"/>
    <w:rsid w:val="4A5320D7"/>
    <w:rsid w:val="4A5549B5"/>
    <w:rsid w:val="4A5937C7"/>
    <w:rsid w:val="4A5A36B4"/>
    <w:rsid w:val="4A5B4C28"/>
    <w:rsid w:val="4A61539F"/>
    <w:rsid w:val="4A622888"/>
    <w:rsid w:val="4A644B2B"/>
    <w:rsid w:val="4A891F6A"/>
    <w:rsid w:val="4A921756"/>
    <w:rsid w:val="4A9471C8"/>
    <w:rsid w:val="4AA25122"/>
    <w:rsid w:val="4AA55DE8"/>
    <w:rsid w:val="4AA86E9B"/>
    <w:rsid w:val="4AB74421"/>
    <w:rsid w:val="4AB772A5"/>
    <w:rsid w:val="4AB912D4"/>
    <w:rsid w:val="4AC15801"/>
    <w:rsid w:val="4ACC5E2A"/>
    <w:rsid w:val="4AD66808"/>
    <w:rsid w:val="4AE22625"/>
    <w:rsid w:val="4AE56339"/>
    <w:rsid w:val="4AF76389"/>
    <w:rsid w:val="4AFD186C"/>
    <w:rsid w:val="4B015798"/>
    <w:rsid w:val="4B0754E2"/>
    <w:rsid w:val="4B0E1436"/>
    <w:rsid w:val="4B0F4D91"/>
    <w:rsid w:val="4B1106DD"/>
    <w:rsid w:val="4B203640"/>
    <w:rsid w:val="4B221BB1"/>
    <w:rsid w:val="4B236327"/>
    <w:rsid w:val="4B2876D7"/>
    <w:rsid w:val="4B295E7F"/>
    <w:rsid w:val="4B41500C"/>
    <w:rsid w:val="4B4B78F3"/>
    <w:rsid w:val="4B4E121C"/>
    <w:rsid w:val="4B504154"/>
    <w:rsid w:val="4B5B047F"/>
    <w:rsid w:val="4B5E3457"/>
    <w:rsid w:val="4B61779A"/>
    <w:rsid w:val="4B645063"/>
    <w:rsid w:val="4B6C36FD"/>
    <w:rsid w:val="4B7940F6"/>
    <w:rsid w:val="4B844F39"/>
    <w:rsid w:val="4B9036D7"/>
    <w:rsid w:val="4B943A7C"/>
    <w:rsid w:val="4BB05273"/>
    <w:rsid w:val="4BC046D6"/>
    <w:rsid w:val="4BCC39B7"/>
    <w:rsid w:val="4BD42F71"/>
    <w:rsid w:val="4BDC448F"/>
    <w:rsid w:val="4BE4020C"/>
    <w:rsid w:val="4BE972B8"/>
    <w:rsid w:val="4BED1F48"/>
    <w:rsid w:val="4BF25728"/>
    <w:rsid w:val="4C112392"/>
    <w:rsid w:val="4C1F42AF"/>
    <w:rsid w:val="4C2355C9"/>
    <w:rsid w:val="4C243968"/>
    <w:rsid w:val="4C2E23E1"/>
    <w:rsid w:val="4C304E5C"/>
    <w:rsid w:val="4C334B64"/>
    <w:rsid w:val="4C3363FE"/>
    <w:rsid w:val="4C3A0DED"/>
    <w:rsid w:val="4C446419"/>
    <w:rsid w:val="4C503719"/>
    <w:rsid w:val="4C521764"/>
    <w:rsid w:val="4C56035C"/>
    <w:rsid w:val="4C58364C"/>
    <w:rsid w:val="4C5F21B4"/>
    <w:rsid w:val="4C751931"/>
    <w:rsid w:val="4C772D23"/>
    <w:rsid w:val="4C7B21D4"/>
    <w:rsid w:val="4C816362"/>
    <w:rsid w:val="4C89360D"/>
    <w:rsid w:val="4C8D74B9"/>
    <w:rsid w:val="4C9360E7"/>
    <w:rsid w:val="4C93633C"/>
    <w:rsid w:val="4C952AB6"/>
    <w:rsid w:val="4C95768A"/>
    <w:rsid w:val="4C9650E8"/>
    <w:rsid w:val="4CBF5E6C"/>
    <w:rsid w:val="4CBF605A"/>
    <w:rsid w:val="4CC978E6"/>
    <w:rsid w:val="4CCD4E4F"/>
    <w:rsid w:val="4CD309C0"/>
    <w:rsid w:val="4CD32145"/>
    <w:rsid w:val="4CD57862"/>
    <w:rsid w:val="4CDD4471"/>
    <w:rsid w:val="4CE22A8B"/>
    <w:rsid w:val="4CE256CC"/>
    <w:rsid w:val="4CE302CA"/>
    <w:rsid w:val="4CE60066"/>
    <w:rsid w:val="4CE75DCD"/>
    <w:rsid w:val="4CF8435E"/>
    <w:rsid w:val="4D071BF7"/>
    <w:rsid w:val="4D165F36"/>
    <w:rsid w:val="4D23594F"/>
    <w:rsid w:val="4D2A347E"/>
    <w:rsid w:val="4D314D6C"/>
    <w:rsid w:val="4D37508C"/>
    <w:rsid w:val="4D3A285F"/>
    <w:rsid w:val="4D4B146D"/>
    <w:rsid w:val="4D552CAB"/>
    <w:rsid w:val="4D6B7185"/>
    <w:rsid w:val="4D6C1FF5"/>
    <w:rsid w:val="4D72304F"/>
    <w:rsid w:val="4D7954B4"/>
    <w:rsid w:val="4D8978C0"/>
    <w:rsid w:val="4D9730CA"/>
    <w:rsid w:val="4DAA276C"/>
    <w:rsid w:val="4DAA2BBF"/>
    <w:rsid w:val="4DAB3F79"/>
    <w:rsid w:val="4DAB615D"/>
    <w:rsid w:val="4DAC7A6A"/>
    <w:rsid w:val="4DBE0623"/>
    <w:rsid w:val="4DC05E8F"/>
    <w:rsid w:val="4DC82BB3"/>
    <w:rsid w:val="4DCF28D0"/>
    <w:rsid w:val="4DD7110C"/>
    <w:rsid w:val="4DE60DBD"/>
    <w:rsid w:val="4DE6342A"/>
    <w:rsid w:val="4DE7715D"/>
    <w:rsid w:val="4DF8641D"/>
    <w:rsid w:val="4E070E2D"/>
    <w:rsid w:val="4E0B0FEF"/>
    <w:rsid w:val="4E0B7136"/>
    <w:rsid w:val="4E151B21"/>
    <w:rsid w:val="4E1946A4"/>
    <w:rsid w:val="4E4026EC"/>
    <w:rsid w:val="4E4240E8"/>
    <w:rsid w:val="4E491543"/>
    <w:rsid w:val="4E4E6B0A"/>
    <w:rsid w:val="4E4F76B3"/>
    <w:rsid w:val="4E560316"/>
    <w:rsid w:val="4E573CBF"/>
    <w:rsid w:val="4E596C05"/>
    <w:rsid w:val="4E733D35"/>
    <w:rsid w:val="4E734AF6"/>
    <w:rsid w:val="4E7F0708"/>
    <w:rsid w:val="4E856225"/>
    <w:rsid w:val="4E8D0725"/>
    <w:rsid w:val="4E973081"/>
    <w:rsid w:val="4E973A7D"/>
    <w:rsid w:val="4E9C1AD3"/>
    <w:rsid w:val="4E9C77C5"/>
    <w:rsid w:val="4E9D4F1F"/>
    <w:rsid w:val="4EA91FD9"/>
    <w:rsid w:val="4EBB0576"/>
    <w:rsid w:val="4ECA7784"/>
    <w:rsid w:val="4ECB1B03"/>
    <w:rsid w:val="4ED605CF"/>
    <w:rsid w:val="4ED61521"/>
    <w:rsid w:val="4ED858C2"/>
    <w:rsid w:val="4ED85A82"/>
    <w:rsid w:val="4EDD46A5"/>
    <w:rsid w:val="4EE16FAF"/>
    <w:rsid w:val="4EE77B1D"/>
    <w:rsid w:val="4EEC75A9"/>
    <w:rsid w:val="4EED7031"/>
    <w:rsid w:val="4EF217A5"/>
    <w:rsid w:val="4EFA1445"/>
    <w:rsid w:val="4EFC6664"/>
    <w:rsid w:val="4EFD142D"/>
    <w:rsid w:val="4EFE5F33"/>
    <w:rsid w:val="4F003BD4"/>
    <w:rsid w:val="4F037A2C"/>
    <w:rsid w:val="4F1A7E93"/>
    <w:rsid w:val="4F1B4086"/>
    <w:rsid w:val="4F1E75FB"/>
    <w:rsid w:val="4F295F47"/>
    <w:rsid w:val="4F396AC8"/>
    <w:rsid w:val="4F42634B"/>
    <w:rsid w:val="4F4329B0"/>
    <w:rsid w:val="4F440016"/>
    <w:rsid w:val="4F477154"/>
    <w:rsid w:val="4F4E6F09"/>
    <w:rsid w:val="4F587365"/>
    <w:rsid w:val="4F663926"/>
    <w:rsid w:val="4F73609E"/>
    <w:rsid w:val="4F795860"/>
    <w:rsid w:val="4F7A5AA9"/>
    <w:rsid w:val="4F92571F"/>
    <w:rsid w:val="4F93759C"/>
    <w:rsid w:val="4F9432C0"/>
    <w:rsid w:val="4F961B11"/>
    <w:rsid w:val="4F96748E"/>
    <w:rsid w:val="4F99037E"/>
    <w:rsid w:val="4F9D172E"/>
    <w:rsid w:val="4FA14805"/>
    <w:rsid w:val="4FAA292D"/>
    <w:rsid w:val="4FAB6F1E"/>
    <w:rsid w:val="4FB26D61"/>
    <w:rsid w:val="4FC47F49"/>
    <w:rsid w:val="4FCD2B79"/>
    <w:rsid w:val="4FD213F5"/>
    <w:rsid w:val="4FD95D31"/>
    <w:rsid w:val="4FF4271E"/>
    <w:rsid w:val="4FF5502D"/>
    <w:rsid w:val="4FF93E42"/>
    <w:rsid w:val="4FFA10CD"/>
    <w:rsid w:val="4FFB1085"/>
    <w:rsid w:val="5002022D"/>
    <w:rsid w:val="50065F5F"/>
    <w:rsid w:val="50093F9F"/>
    <w:rsid w:val="500C62BA"/>
    <w:rsid w:val="500D5F20"/>
    <w:rsid w:val="50172612"/>
    <w:rsid w:val="502139C3"/>
    <w:rsid w:val="50266D29"/>
    <w:rsid w:val="502C3728"/>
    <w:rsid w:val="503269DA"/>
    <w:rsid w:val="50386ED3"/>
    <w:rsid w:val="5048393B"/>
    <w:rsid w:val="504A30A0"/>
    <w:rsid w:val="50532F0A"/>
    <w:rsid w:val="505B6E5D"/>
    <w:rsid w:val="50627A88"/>
    <w:rsid w:val="506879E6"/>
    <w:rsid w:val="506A4783"/>
    <w:rsid w:val="506C4D74"/>
    <w:rsid w:val="507C3AE2"/>
    <w:rsid w:val="508912C7"/>
    <w:rsid w:val="5091187F"/>
    <w:rsid w:val="509473B9"/>
    <w:rsid w:val="509544C2"/>
    <w:rsid w:val="50AA1FE7"/>
    <w:rsid w:val="50AB0B18"/>
    <w:rsid w:val="50AD14D9"/>
    <w:rsid w:val="50B11450"/>
    <w:rsid w:val="50B726F3"/>
    <w:rsid w:val="50BC4C45"/>
    <w:rsid w:val="50C03A31"/>
    <w:rsid w:val="50C61290"/>
    <w:rsid w:val="50C85258"/>
    <w:rsid w:val="50CD3FB3"/>
    <w:rsid w:val="50D37296"/>
    <w:rsid w:val="50E56301"/>
    <w:rsid w:val="50FE7303"/>
    <w:rsid w:val="50FF27BD"/>
    <w:rsid w:val="510274E2"/>
    <w:rsid w:val="510A6A23"/>
    <w:rsid w:val="5112213D"/>
    <w:rsid w:val="51182B27"/>
    <w:rsid w:val="51183297"/>
    <w:rsid w:val="51196987"/>
    <w:rsid w:val="51211573"/>
    <w:rsid w:val="512418BF"/>
    <w:rsid w:val="512D0FB4"/>
    <w:rsid w:val="512E708F"/>
    <w:rsid w:val="512F627D"/>
    <w:rsid w:val="513654ED"/>
    <w:rsid w:val="51462AE4"/>
    <w:rsid w:val="51486912"/>
    <w:rsid w:val="51517A87"/>
    <w:rsid w:val="515279DE"/>
    <w:rsid w:val="515F087D"/>
    <w:rsid w:val="516658C2"/>
    <w:rsid w:val="51767A68"/>
    <w:rsid w:val="517701BE"/>
    <w:rsid w:val="51780A0E"/>
    <w:rsid w:val="51782209"/>
    <w:rsid w:val="518174EA"/>
    <w:rsid w:val="519B241E"/>
    <w:rsid w:val="51A41108"/>
    <w:rsid w:val="51A95FC7"/>
    <w:rsid w:val="51AD6112"/>
    <w:rsid w:val="51C63D78"/>
    <w:rsid w:val="51D02B90"/>
    <w:rsid w:val="51D312A7"/>
    <w:rsid w:val="51D375CA"/>
    <w:rsid w:val="51D773E0"/>
    <w:rsid w:val="51D90676"/>
    <w:rsid w:val="51D93F3B"/>
    <w:rsid w:val="51DA16F3"/>
    <w:rsid w:val="51E7242F"/>
    <w:rsid w:val="51EA191B"/>
    <w:rsid w:val="51ED36B1"/>
    <w:rsid w:val="51EE4140"/>
    <w:rsid w:val="51F57043"/>
    <w:rsid w:val="51F85C26"/>
    <w:rsid w:val="52085AB2"/>
    <w:rsid w:val="52087083"/>
    <w:rsid w:val="521342CF"/>
    <w:rsid w:val="52317158"/>
    <w:rsid w:val="523B76B5"/>
    <w:rsid w:val="523C05CA"/>
    <w:rsid w:val="523E6D6A"/>
    <w:rsid w:val="52400585"/>
    <w:rsid w:val="524549C5"/>
    <w:rsid w:val="524C68E7"/>
    <w:rsid w:val="5257296A"/>
    <w:rsid w:val="52780BC6"/>
    <w:rsid w:val="528734FA"/>
    <w:rsid w:val="52924C94"/>
    <w:rsid w:val="52937FDD"/>
    <w:rsid w:val="529D0EC3"/>
    <w:rsid w:val="52A00855"/>
    <w:rsid w:val="52A06F33"/>
    <w:rsid w:val="52A85A38"/>
    <w:rsid w:val="52A92284"/>
    <w:rsid w:val="52AA3EA0"/>
    <w:rsid w:val="52AD39FC"/>
    <w:rsid w:val="52B934A9"/>
    <w:rsid w:val="52BB625A"/>
    <w:rsid w:val="52BC1F59"/>
    <w:rsid w:val="52BC3CF8"/>
    <w:rsid w:val="52BC5756"/>
    <w:rsid w:val="52CC1831"/>
    <w:rsid w:val="52CF5999"/>
    <w:rsid w:val="52DE55A6"/>
    <w:rsid w:val="52E27C19"/>
    <w:rsid w:val="52F00693"/>
    <w:rsid w:val="52FC076F"/>
    <w:rsid w:val="530040C4"/>
    <w:rsid w:val="530D0396"/>
    <w:rsid w:val="5324380D"/>
    <w:rsid w:val="53334EF1"/>
    <w:rsid w:val="53396DB6"/>
    <w:rsid w:val="533D44E8"/>
    <w:rsid w:val="534071FA"/>
    <w:rsid w:val="53420E8E"/>
    <w:rsid w:val="5351296C"/>
    <w:rsid w:val="535F7525"/>
    <w:rsid w:val="53636569"/>
    <w:rsid w:val="537510CE"/>
    <w:rsid w:val="5378593B"/>
    <w:rsid w:val="53862F2F"/>
    <w:rsid w:val="53871DF8"/>
    <w:rsid w:val="538929ED"/>
    <w:rsid w:val="538D72A6"/>
    <w:rsid w:val="539B4C4D"/>
    <w:rsid w:val="539D141D"/>
    <w:rsid w:val="53A50718"/>
    <w:rsid w:val="53A81AFC"/>
    <w:rsid w:val="53B6414F"/>
    <w:rsid w:val="53C11960"/>
    <w:rsid w:val="53D24BB0"/>
    <w:rsid w:val="53D404A7"/>
    <w:rsid w:val="53DD1FC2"/>
    <w:rsid w:val="53DE7FE0"/>
    <w:rsid w:val="53E2122F"/>
    <w:rsid w:val="53E22A67"/>
    <w:rsid w:val="53F05AA0"/>
    <w:rsid w:val="53FC721A"/>
    <w:rsid w:val="54032734"/>
    <w:rsid w:val="541405F8"/>
    <w:rsid w:val="541442B9"/>
    <w:rsid w:val="541834A0"/>
    <w:rsid w:val="541C63FD"/>
    <w:rsid w:val="542B111B"/>
    <w:rsid w:val="5437395C"/>
    <w:rsid w:val="544943F5"/>
    <w:rsid w:val="54500B39"/>
    <w:rsid w:val="54586B92"/>
    <w:rsid w:val="545968AC"/>
    <w:rsid w:val="545D5AEA"/>
    <w:rsid w:val="545E3FB6"/>
    <w:rsid w:val="54717136"/>
    <w:rsid w:val="547619D9"/>
    <w:rsid w:val="547A36FD"/>
    <w:rsid w:val="548345F0"/>
    <w:rsid w:val="548B7FAF"/>
    <w:rsid w:val="548C7A62"/>
    <w:rsid w:val="549072DE"/>
    <w:rsid w:val="54A94E1D"/>
    <w:rsid w:val="54AB1E47"/>
    <w:rsid w:val="54AF14B3"/>
    <w:rsid w:val="54B503AF"/>
    <w:rsid w:val="54C93A11"/>
    <w:rsid w:val="54D0539B"/>
    <w:rsid w:val="54D61196"/>
    <w:rsid w:val="54E26853"/>
    <w:rsid w:val="54E76D8E"/>
    <w:rsid w:val="54F21613"/>
    <w:rsid w:val="550506DD"/>
    <w:rsid w:val="55182756"/>
    <w:rsid w:val="551C007E"/>
    <w:rsid w:val="55392885"/>
    <w:rsid w:val="553C5163"/>
    <w:rsid w:val="553E24A6"/>
    <w:rsid w:val="553E50E7"/>
    <w:rsid w:val="553E738C"/>
    <w:rsid w:val="5542273E"/>
    <w:rsid w:val="556A6FAB"/>
    <w:rsid w:val="556C4117"/>
    <w:rsid w:val="55707BE9"/>
    <w:rsid w:val="55770403"/>
    <w:rsid w:val="55790B40"/>
    <w:rsid w:val="557B6101"/>
    <w:rsid w:val="557D2D0A"/>
    <w:rsid w:val="557E38F3"/>
    <w:rsid w:val="558265D4"/>
    <w:rsid w:val="55880CD7"/>
    <w:rsid w:val="55A027C5"/>
    <w:rsid w:val="55A25BC5"/>
    <w:rsid w:val="55AA7E6F"/>
    <w:rsid w:val="55AE651D"/>
    <w:rsid w:val="55B243E1"/>
    <w:rsid w:val="55B85D67"/>
    <w:rsid w:val="55C76C80"/>
    <w:rsid w:val="55C80166"/>
    <w:rsid w:val="55CC28B5"/>
    <w:rsid w:val="55CC620F"/>
    <w:rsid w:val="55D2668A"/>
    <w:rsid w:val="55DC269C"/>
    <w:rsid w:val="55E0719B"/>
    <w:rsid w:val="55E23E2E"/>
    <w:rsid w:val="55EA0519"/>
    <w:rsid w:val="55F037CA"/>
    <w:rsid w:val="55F26EA6"/>
    <w:rsid w:val="55FD4C36"/>
    <w:rsid w:val="5600094F"/>
    <w:rsid w:val="5606036D"/>
    <w:rsid w:val="560E7746"/>
    <w:rsid w:val="5610701E"/>
    <w:rsid w:val="56164599"/>
    <w:rsid w:val="56196F37"/>
    <w:rsid w:val="561C6BD4"/>
    <w:rsid w:val="561E54D5"/>
    <w:rsid w:val="56247152"/>
    <w:rsid w:val="562B079E"/>
    <w:rsid w:val="56313003"/>
    <w:rsid w:val="563166EF"/>
    <w:rsid w:val="56320C9C"/>
    <w:rsid w:val="563640DC"/>
    <w:rsid w:val="56373C9F"/>
    <w:rsid w:val="5644121A"/>
    <w:rsid w:val="566F7303"/>
    <w:rsid w:val="56702448"/>
    <w:rsid w:val="56766B7D"/>
    <w:rsid w:val="567D59B5"/>
    <w:rsid w:val="56917A85"/>
    <w:rsid w:val="569366DC"/>
    <w:rsid w:val="56990BC0"/>
    <w:rsid w:val="56A8600C"/>
    <w:rsid w:val="56AE0228"/>
    <w:rsid w:val="56BC0B36"/>
    <w:rsid w:val="56BF3147"/>
    <w:rsid w:val="56C84210"/>
    <w:rsid w:val="56CB463D"/>
    <w:rsid w:val="56CC3FFA"/>
    <w:rsid w:val="56CF5541"/>
    <w:rsid w:val="56D4683B"/>
    <w:rsid w:val="56DD73D4"/>
    <w:rsid w:val="56E261C5"/>
    <w:rsid w:val="56E53ADD"/>
    <w:rsid w:val="56F42A27"/>
    <w:rsid w:val="56F812D0"/>
    <w:rsid w:val="56FA29F7"/>
    <w:rsid w:val="56FE12A8"/>
    <w:rsid w:val="56FF20C1"/>
    <w:rsid w:val="57074BBB"/>
    <w:rsid w:val="57126548"/>
    <w:rsid w:val="57226D83"/>
    <w:rsid w:val="572A60B5"/>
    <w:rsid w:val="572C62BD"/>
    <w:rsid w:val="572C65B2"/>
    <w:rsid w:val="573634D1"/>
    <w:rsid w:val="574201D6"/>
    <w:rsid w:val="57507D7F"/>
    <w:rsid w:val="575D609D"/>
    <w:rsid w:val="576710A5"/>
    <w:rsid w:val="57671982"/>
    <w:rsid w:val="57682376"/>
    <w:rsid w:val="57760202"/>
    <w:rsid w:val="57773EAC"/>
    <w:rsid w:val="57787E3F"/>
    <w:rsid w:val="57826ACE"/>
    <w:rsid w:val="57842E68"/>
    <w:rsid w:val="579B303D"/>
    <w:rsid w:val="579D4ECA"/>
    <w:rsid w:val="57A00758"/>
    <w:rsid w:val="57A54869"/>
    <w:rsid w:val="57A87F69"/>
    <w:rsid w:val="57AF7E7A"/>
    <w:rsid w:val="57B649B6"/>
    <w:rsid w:val="57B84423"/>
    <w:rsid w:val="57C530BB"/>
    <w:rsid w:val="57C92822"/>
    <w:rsid w:val="57CB365D"/>
    <w:rsid w:val="57CC237B"/>
    <w:rsid w:val="57DF2BD7"/>
    <w:rsid w:val="57EB392A"/>
    <w:rsid w:val="57F069C0"/>
    <w:rsid w:val="57F14CEC"/>
    <w:rsid w:val="57F379F8"/>
    <w:rsid w:val="5819046F"/>
    <w:rsid w:val="581D5110"/>
    <w:rsid w:val="582E3613"/>
    <w:rsid w:val="58346F0B"/>
    <w:rsid w:val="5839780A"/>
    <w:rsid w:val="5846242B"/>
    <w:rsid w:val="58485D82"/>
    <w:rsid w:val="58496887"/>
    <w:rsid w:val="58556EBD"/>
    <w:rsid w:val="5859624D"/>
    <w:rsid w:val="585B7828"/>
    <w:rsid w:val="58684CF0"/>
    <w:rsid w:val="586D5013"/>
    <w:rsid w:val="587C7467"/>
    <w:rsid w:val="58873313"/>
    <w:rsid w:val="588D0E7E"/>
    <w:rsid w:val="58994775"/>
    <w:rsid w:val="589F6E42"/>
    <w:rsid w:val="589F70B2"/>
    <w:rsid w:val="58AB0DA9"/>
    <w:rsid w:val="58B47EDA"/>
    <w:rsid w:val="58C55C5D"/>
    <w:rsid w:val="58CB2E6A"/>
    <w:rsid w:val="58CC341C"/>
    <w:rsid w:val="58CF5280"/>
    <w:rsid w:val="58DC08AA"/>
    <w:rsid w:val="58DD5F60"/>
    <w:rsid w:val="58E95697"/>
    <w:rsid w:val="58EB43B5"/>
    <w:rsid w:val="58F12C62"/>
    <w:rsid w:val="58F515B6"/>
    <w:rsid w:val="58F90512"/>
    <w:rsid w:val="59022451"/>
    <w:rsid w:val="59057985"/>
    <w:rsid w:val="590A0751"/>
    <w:rsid w:val="590F08E0"/>
    <w:rsid w:val="59197627"/>
    <w:rsid w:val="591C6B52"/>
    <w:rsid w:val="591D4164"/>
    <w:rsid w:val="59206A4A"/>
    <w:rsid w:val="592D1DD3"/>
    <w:rsid w:val="593A1692"/>
    <w:rsid w:val="593F4A88"/>
    <w:rsid w:val="59452B34"/>
    <w:rsid w:val="594E2824"/>
    <w:rsid w:val="595D1C9F"/>
    <w:rsid w:val="595D717C"/>
    <w:rsid w:val="59642394"/>
    <w:rsid w:val="59646F3E"/>
    <w:rsid w:val="596503D2"/>
    <w:rsid w:val="59677DB0"/>
    <w:rsid w:val="59715647"/>
    <w:rsid w:val="59721C12"/>
    <w:rsid w:val="597D5E0D"/>
    <w:rsid w:val="59884397"/>
    <w:rsid w:val="59940356"/>
    <w:rsid w:val="59A92638"/>
    <w:rsid w:val="59BF095C"/>
    <w:rsid w:val="59C63380"/>
    <w:rsid w:val="59CD62E5"/>
    <w:rsid w:val="59E735E1"/>
    <w:rsid w:val="59ED7AA2"/>
    <w:rsid w:val="59F1228D"/>
    <w:rsid w:val="59F8330C"/>
    <w:rsid w:val="59FA4EB3"/>
    <w:rsid w:val="5A142DFB"/>
    <w:rsid w:val="5A170848"/>
    <w:rsid w:val="5A1A7DA9"/>
    <w:rsid w:val="5A1E005E"/>
    <w:rsid w:val="5A1F5CD3"/>
    <w:rsid w:val="5A211CD9"/>
    <w:rsid w:val="5A321DEF"/>
    <w:rsid w:val="5A3805DA"/>
    <w:rsid w:val="5A3E79A1"/>
    <w:rsid w:val="5A3F472A"/>
    <w:rsid w:val="5A435F53"/>
    <w:rsid w:val="5A436E3A"/>
    <w:rsid w:val="5A465213"/>
    <w:rsid w:val="5A474FC8"/>
    <w:rsid w:val="5A5632E7"/>
    <w:rsid w:val="5A574288"/>
    <w:rsid w:val="5A59761F"/>
    <w:rsid w:val="5A656D11"/>
    <w:rsid w:val="5A6B6BE4"/>
    <w:rsid w:val="5A6F601C"/>
    <w:rsid w:val="5A70066B"/>
    <w:rsid w:val="5A71409C"/>
    <w:rsid w:val="5A7150CE"/>
    <w:rsid w:val="5A73446D"/>
    <w:rsid w:val="5A7641D8"/>
    <w:rsid w:val="5A771049"/>
    <w:rsid w:val="5A7D2825"/>
    <w:rsid w:val="5A7E5881"/>
    <w:rsid w:val="5A8666B9"/>
    <w:rsid w:val="5A8D5C24"/>
    <w:rsid w:val="5A92317B"/>
    <w:rsid w:val="5A987D39"/>
    <w:rsid w:val="5AA15369"/>
    <w:rsid w:val="5AAD1409"/>
    <w:rsid w:val="5AC61D7F"/>
    <w:rsid w:val="5ADF0F42"/>
    <w:rsid w:val="5AE30BC3"/>
    <w:rsid w:val="5AF16EA8"/>
    <w:rsid w:val="5AF711CF"/>
    <w:rsid w:val="5AFC3E4B"/>
    <w:rsid w:val="5B010355"/>
    <w:rsid w:val="5B04709E"/>
    <w:rsid w:val="5B0C506A"/>
    <w:rsid w:val="5B107DF0"/>
    <w:rsid w:val="5B1346D3"/>
    <w:rsid w:val="5B1B1C0A"/>
    <w:rsid w:val="5B1E7732"/>
    <w:rsid w:val="5B2A7DBF"/>
    <w:rsid w:val="5B314AD1"/>
    <w:rsid w:val="5B332559"/>
    <w:rsid w:val="5B337089"/>
    <w:rsid w:val="5B3709D3"/>
    <w:rsid w:val="5B3A35B1"/>
    <w:rsid w:val="5B3A678C"/>
    <w:rsid w:val="5B436E37"/>
    <w:rsid w:val="5B443238"/>
    <w:rsid w:val="5B45442D"/>
    <w:rsid w:val="5B491BF0"/>
    <w:rsid w:val="5B4C6FCF"/>
    <w:rsid w:val="5B5148BB"/>
    <w:rsid w:val="5B5455D4"/>
    <w:rsid w:val="5B575ABF"/>
    <w:rsid w:val="5B5C3305"/>
    <w:rsid w:val="5B5E0577"/>
    <w:rsid w:val="5B6148ED"/>
    <w:rsid w:val="5B711398"/>
    <w:rsid w:val="5B824533"/>
    <w:rsid w:val="5B9019B4"/>
    <w:rsid w:val="5B9C334D"/>
    <w:rsid w:val="5BAA11FA"/>
    <w:rsid w:val="5BC3574B"/>
    <w:rsid w:val="5BC67B3B"/>
    <w:rsid w:val="5BC93F38"/>
    <w:rsid w:val="5BCE082E"/>
    <w:rsid w:val="5BD859D2"/>
    <w:rsid w:val="5BDA38F4"/>
    <w:rsid w:val="5BDC4DC0"/>
    <w:rsid w:val="5BE4383C"/>
    <w:rsid w:val="5BED39E7"/>
    <w:rsid w:val="5BEF03FB"/>
    <w:rsid w:val="5BF4359C"/>
    <w:rsid w:val="5BF81C13"/>
    <w:rsid w:val="5BFA215F"/>
    <w:rsid w:val="5BFE16A2"/>
    <w:rsid w:val="5C152F54"/>
    <w:rsid w:val="5C1826BE"/>
    <w:rsid w:val="5C1F2089"/>
    <w:rsid w:val="5C233BA0"/>
    <w:rsid w:val="5C291E73"/>
    <w:rsid w:val="5C2A7B91"/>
    <w:rsid w:val="5C2E4EC8"/>
    <w:rsid w:val="5C3476A0"/>
    <w:rsid w:val="5C3F3303"/>
    <w:rsid w:val="5C485430"/>
    <w:rsid w:val="5C575430"/>
    <w:rsid w:val="5C5D1A81"/>
    <w:rsid w:val="5C630B64"/>
    <w:rsid w:val="5C6B4BD3"/>
    <w:rsid w:val="5C730E0B"/>
    <w:rsid w:val="5C7322D0"/>
    <w:rsid w:val="5C7851BF"/>
    <w:rsid w:val="5C8A312C"/>
    <w:rsid w:val="5C8E1E58"/>
    <w:rsid w:val="5C92178E"/>
    <w:rsid w:val="5C98548B"/>
    <w:rsid w:val="5C994C07"/>
    <w:rsid w:val="5C9D39E5"/>
    <w:rsid w:val="5C9D6635"/>
    <w:rsid w:val="5CA32729"/>
    <w:rsid w:val="5CAE5D92"/>
    <w:rsid w:val="5CAF61CA"/>
    <w:rsid w:val="5CB716AA"/>
    <w:rsid w:val="5CBB4E00"/>
    <w:rsid w:val="5CC1127A"/>
    <w:rsid w:val="5CD60D36"/>
    <w:rsid w:val="5CDA6200"/>
    <w:rsid w:val="5CDD3778"/>
    <w:rsid w:val="5CE16A1C"/>
    <w:rsid w:val="5CE274B2"/>
    <w:rsid w:val="5D0333E9"/>
    <w:rsid w:val="5D0C493D"/>
    <w:rsid w:val="5D102499"/>
    <w:rsid w:val="5D225069"/>
    <w:rsid w:val="5D245903"/>
    <w:rsid w:val="5D296D22"/>
    <w:rsid w:val="5D2F6915"/>
    <w:rsid w:val="5D4E4C37"/>
    <w:rsid w:val="5D562286"/>
    <w:rsid w:val="5D5A2884"/>
    <w:rsid w:val="5D5B7B5C"/>
    <w:rsid w:val="5D5F16C2"/>
    <w:rsid w:val="5D6D7162"/>
    <w:rsid w:val="5D711B34"/>
    <w:rsid w:val="5D886C29"/>
    <w:rsid w:val="5D8904C9"/>
    <w:rsid w:val="5D8A5CE4"/>
    <w:rsid w:val="5D9309B1"/>
    <w:rsid w:val="5D954F59"/>
    <w:rsid w:val="5D9779E4"/>
    <w:rsid w:val="5D9D4B8D"/>
    <w:rsid w:val="5D9E1B5A"/>
    <w:rsid w:val="5DAB6248"/>
    <w:rsid w:val="5DB52F1E"/>
    <w:rsid w:val="5DBC4DA3"/>
    <w:rsid w:val="5DC04123"/>
    <w:rsid w:val="5DC65A6E"/>
    <w:rsid w:val="5DC819B3"/>
    <w:rsid w:val="5DCD6010"/>
    <w:rsid w:val="5DD22A04"/>
    <w:rsid w:val="5DD56FFF"/>
    <w:rsid w:val="5DE556C1"/>
    <w:rsid w:val="5DE75B94"/>
    <w:rsid w:val="5DF01B29"/>
    <w:rsid w:val="5E0667F9"/>
    <w:rsid w:val="5E073A73"/>
    <w:rsid w:val="5E24370F"/>
    <w:rsid w:val="5E2D6F7C"/>
    <w:rsid w:val="5E3109B3"/>
    <w:rsid w:val="5E4A49D5"/>
    <w:rsid w:val="5E58130F"/>
    <w:rsid w:val="5E5E4CE1"/>
    <w:rsid w:val="5E667850"/>
    <w:rsid w:val="5E7132C4"/>
    <w:rsid w:val="5E72380D"/>
    <w:rsid w:val="5E734429"/>
    <w:rsid w:val="5E7E0CDA"/>
    <w:rsid w:val="5E84221D"/>
    <w:rsid w:val="5E873BCA"/>
    <w:rsid w:val="5E956D48"/>
    <w:rsid w:val="5EA45311"/>
    <w:rsid w:val="5EB02900"/>
    <w:rsid w:val="5EC87FB9"/>
    <w:rsid w:val="5EC93B04"/>
    <w:rsid w:val="5EC951F8"/>
    <w:rsid w:val="5ECD1C19"/>
    <w:rsid w:val="5ED074C0"/>
    <w:rsid w:val="5ED51852"/>
    <w:rsid w:val="5ED76634"/>
    <w:rsid w:val="5ED95250"/>
    <w:rsid w:val="5ED972FA"/>
    <w:rsid w:val="5EE00A79"/>
    <w:rsid w:val="5EE2415E"/>
    <w:rsid w:val="5EE51B4D"/>
    <w:rsid w:val="5EE62ECA"/>
    <w:rsid w:val="5EE65164"/>
    <w:rsid w:val="5EEC0795"/>
    <w:rsid w:val="5EEC3D66"/>
    <w:rsid w:val="5EF532CA"/>
    <w:rsid w:val="5EF629B4"/>
    <w:rsid w:val="5EF902EC"/>
    <w:rsid w:val="5EFB59BB"/>
    <w:rsid w:val="5F051E2C"/>
    <w:rsid w:val="5F09024A"/>
    <w:rsid w:val="5F104A51"/>
    <w:rsid w:val="5F114A1A"/>
    <w:rsid w:val="5F123535"/>
    <w:rsid w:val="5F1607A6"/>
    <w:rsid w:val="5F163C49"/>
    <w:rsid w:val="5F1A278E"/>
    <w:rsid w:val="5F254089"/>
    <w:rsid w:val="5F2A0EA9"/>
    <w:rsid w:val="5F330A32"/>
    <w:rsid w:val="5F3B63EF"/>
    <w:rsid w:val="5F5563B8"/>
    <w:rsid w:val="5F560534"/>
    <w:rsid w:val="5F564F6E"/>
    <w:rsid w:val="5F572682"/>
    <w:rsid w:val="5F573871"/>
    <w:rsid w:val="5F6D780C"/>
    <w:rsid w:val="5F773632"/>
    <w:rsid w:val="5F7B34DA"/>
    <w:rsid w:val="5F822D57"/>
    <w:rsid w:val="5F85275F"/>
    <w:rsid w:val="5FA47A49"/>
    <w:rsid w:val="5FA82207"/>
    <w:rsid w:val="5FAB068A"/>
    <w:rsid w:val="5FAF76EA"/>
    <w:rsid w:val="5FB3752F"/>
    <w:rsid w:val="5FBB4BD3"/>
    <w:rsid w:val="5FC70AC8"/>
    <w:rsid w:val="5FC81C6C"/>
    <w:rsid w:val="5FCA517F"/>
    <w:rsid w:val="5FCC1C22"/>
    <w:rsid w:val="5FCC72D2"/>
    <w:rsid w:val="5FD42713"/>
    <w:rsid w:val="5FDD2B2F"/>
    <w:rsid w:val="5FE44A8E"/>
    <w:rsid w:val="5FEA1EE9"/>
    <w:rsid w:val="5FEB0F56"/>
    <w:rsid w:val="5FED464D"/>
    <w:rsid w:val="5FEF619A"/>
    <w:rsid w:val="5FFB4E52"/>
    <w:rsid w:val="5FFB56E1"/>
    <w:rsid w:val="60055466"/>
    <w:rsid w:val="600F1C95"/>
    <w:rsid w:val="60264825"/>
    <w:rsid w:val="60276490"/>
    <w:rsid w:val="602C0093"/>
    <w:rsid w:val="604D281F"/>
    <w:rsid w:val="6058306D"/>
    <w:rsid w:val="605A381A"/>
    <w:rsid w:val="60614CF0"/>
    <w:rsid w:val="606273DB"/>
    <w:rsid w:val="60792D30"/>
    <w:rsid w:val="607B44C5"/>
    <w:rsid w:val="6085510D"/>
    <w:rsid w:val="6090583F"/>
    <w:rsid w:val="60937726"/>
    <w:rsid w:val="60995BC2"/>
    <w:rsid w:val="60A17EB7"/>
    <w:rsid w:val="60BB2AFE"/>
    <w:rsid w:val="60BD137B"/>
    <w:rsid w:val="60C047A0"/>
    <w:rsid w:val="60C4649A"/>
    <w:rsid w:val="60CA0A6F"/>
    <w:rsid w:val="60CF2578"/>
    <w:rsid w:val="60D32293"/>
    <w:rsid w:val="60D3789F"/>
    <w:rsid w:val="60DB5B33"/>
    <w:rsid w:val="60DD1945"/>
    <w:rsid w:val="60E6459C"/>
    <w:rsid w:val="60EF0307"/>
    <w:rsid w:val="60F33472"/>
    <w:rsid w:val="60FC24FC"/>
    <w:rsid w:val="60FC74EA"/>
    <w:rsid w:val="60FC77BF"/>
    <w:rsid w:val="6102581D"/>
    <w:rsid w:val="61087654"/>
    <w:rsid w:val="6109146B"/>
    <w:rsid w:val="61116712"/>
    <w:rsid w:val="61190772"/>
    <w:rsid w:val="61222377"/>
    <w:rsid w:val="61241197"/>
    <w:rsid w:val="61293B9E"/>
    <w:rsid w:val="612941BE"/>
    <w:rsid w:val="612A3037"/>
    <w:rsid w:val="612D0282"/>
    <w:rsid w:val="612E4453"/>
    <w:rsid w:val="61375DDD"/>
    <w:rsid w:val="613C6020"/>
    <w:rsid w:val="61416067"/>
    <w:rsid w:val="61465EDC"/>
    <w:rsid w:val="61542096"/>
    <w:rsid w:val="61571075"/>
    <w:rsid w:val="6161412E"/>
    <w:rsid w:val="61632A9C"/>
    <w:rsid w:val="616F160B"/>
    <w:rsid w:val="617234CA"/>
    <w:rsid w:val="61783E71"/>
    <w:rsid w:val="617B1CFC"/>
    <w:rsid w:val="61885E4C"/>
    <w:rsid w:val="61931220"/>
    <w:rsid w:val="61933001"/>
    <w:rsid w:val="619F001F"/>
    <w:rsid w:val="619F5E80"/>
    <w:rsid w:val="61B45FA6"/>
    <w:rsid w:val="61B75ACD"/>
    <w:rsid w:val="61BF65CE"/>
    <w:rsid w:val="61C178B2"/>
    <w:rsid w:val="61C310A4"/>
    <w:rsid w:val="61CC0056"/>
    <w:rsid w:val="61DC1750"/>
    <w:rsid w:val="61E35036"/>
    <w:rsid w:val="61E44D2B"/>
    <w:rsid w:val="61F14B55"/>
    <w:rsid w:val="61FD3A25"/>
    <w:rsid w:val="61FF4A32"/>
    <w:rsid w:val="6207630B"/>
    <w:rsid w:val="620B312D"/>
    <w:rsid w:val="620E02C8"/>
    <w:rsid w:val="621B3D6F"/>
    <w:rsid w:val="62242768"/>
    <w:rsid w:val="62281F67"/>
    <w:rsid w:val="62463DA4"/>
    <w:rsid w:val="62493FC4"/>
    <w:rsid w:val="6249733F"/>
    <w:rsid w:val="624C6E17"/>
    <w:rsid w:val="62590840"/>
    <w:rsid w:val="626B256C"/>
    <w:rsid w:val="626C705E"/>
    <w:rsid w:val="626D1D8F"/>
    <w:rsid w:val="626D719E"/>
    <w:rsid w:val="62700B3B"/>
    <w:rsid w:val="62796D3C"/>
    <w:rsid w:val="627A1372"/>
    <w:rsid w:val="62830C49"/>
    <w:rsid w:val="628673DF"/>
    <w:rsid w:val="628F6237"/>
    <w:rsid w:val="6294595C"/>
    <w:rsid w:val="62966B81"/>
    <w:rsid w:val="629868FA"/>
    <w:rsid w:val="629D13F4"/>
    <w:rsid w:val="629D3C77"/>
    <w:rsid w:val="62AB0B1B"/>
    <w:rsid w:val="62B14227"/>
    <w:rsid w:val="62B90269"/>
    <w:rsid w:val="62BD3611"/>
    <w:rsid w:val="62BD7406"/>
    <w:rsid w:val="62C34480"/>
    <w:rsid w:val="62C81238"/>
    <w:rsid w:val="62CC580E"/>
    <w:rsid w:val="62D018AA"/>
    <w:rsid w:val="62D159E8"/>
    <w:rsid w:val="62D57A37"/>
    <w:rsid w:val="62D95680"/>
    <w:rsid w:val="62E81B3C"/>
    <w:rsid w:val="62F02D00"/>
    <w:rsid w:val="62FB7142"/>
    <w:rsid w:val="62FC5650"/>
    <w:rsid w:val="630262E2"/>
    <w:rsid w:val="63054FCC"/>
    <w:rsid w:val="63057774"/>
    <w:rsid w:val="630E3198"/>
    <w:rsid w:val="63135E52"/>
    <w:rsid w:val="631E344E"/>
    <w:rsid w:val="631F1AB7"/>
    <w:rsid w:val="632A1C3B"/>
    <w:rsid w:val="632F76DA"/>
    <w:rsid w:val="63307D8D"/>
    <w:rsid w:val="63350785"/>
    <w:rsid w:val="63425BA1"/>
    <w:rsid w:val="63520205"/>
    <w:rsid w:val="63597EEB"/>
    <w:rsid w:val="636439C6"/>
    <w:rsid w:val="636A0038"/>
    <w:rsid w:val="636A25B2"/>
    <w:rsid w:val="636A394B"/>
    <w:rsid w:val="6370437A"/>
    <w:rsid w:val="637068AF"/>
    <w:rsid w:val="63710C9F"/>
    <w:rsid w:val="63766EC3"/>
    <w:rsid w:val="63836130"/>
    <w:rsid w:val="639009A3"/>
    <w:rsid w:val="639F700B"/>
    <w:rsid w:val="63A43394"/>
    <w:rsid w:val="63A445FE"/>
    <w:rsid w:val="63A7028E"/>
    <w:rsid w:val="63A806A1"/>
    <w:rsid w:val="63AA43B1"/>
    <w:rsid w:val="63BC4CC1"/>
    <w:rsid w:val="63BF19A4"/>
    <w:rsid w:val="63C0681D"/>
    <w:rsid w:val="63C66713"/>
    <w:rsid w:val="63CD1692"/>
    <w:rsid w:val="63D53FE8"/>
    <w:rsid w:val="63E20A0B"/>
    <w:rsid w:val="63E412CC"/>
    <w:rsid w:val="63ED26A1"/>
    <w:rsid w:val="63F85AF6"/>
    <w:rsid w:val="64050FE7"/>
    <w:rsid w:val="6408733A"/>
    <w:rsid w:val="640B4BB9"/>
    <w:rsid w:val="640C61F2"/>
    <w:rsid w:val="641865F7"/>
    <w:rsid w:val="64225C2B"/>
    <w:rsid w:val="642400F1"/>
    <w:rsid w:val="642B5861"/>
    <w:rsid w:val="645A0CFC"/>
    <w:rsid w:val="645E0F88"/>
    <w:rsid w:val="645E70CD"/>
    <w:rsid w:val="6470646F"/>
    <w:rsid w:val="64756CA1"/>
    <w:rsid w:val="647902B4"/>
    <w:rsid w:val="647F0C42"/>
    <w:rsid w:val="64820BD3"/>
    <w:rsid w:val="649412B1"/>
    <w:rsid w:val="64944CBE"/>
    <w:rsid w:val="64954072"/>
    <w:rsid w:val="649B43F2"/>
    <w:rsid w:val="649F3596"/>
    <w:rsid w:val="649F39E9"/>
    <w:rsid w:val="64A40A41"/>
    <w:rsid w:val="64A63F6C"/>
    <w:rsid w:val="64AA78DD"/>
    <w:rsid w:val="64AE1715"/>
    <w:rsid w:val="64C03BDB"/>
    <w:rsid w:val="64C2015F"/>
    <w:rsid w:val="64C83671"/>
    <w:rsid w:val="64EC4B15"/>
    <w:rsid w:val="64EF6A1C"/>
    <w:rsid w:val="64FA7E2B"/>
    <w:rsid w:val="650E2766"/>
    <w:rsid w:val="650E564F"/>
    <w:rsid w:val="650F3192"/>
    <w:rsid w:val="651428B4"/>
    <w:rsid w:val="65162A17"/>
    <w:rsid w:val="65257364"/>
    <w:rsid w:val="65262C1E"/>
    <w:rsid w:val="652873E4"/>
    <w:rsid w:val="652A7F1F"/>
    <w:rsid w:val="65383491"/>
    <w:rsid w:val="65802D70"/>
    <w:rsid w:val="658D6B50"/>
    <w:rsid w:val="65911571"/>
    <w:rsid w:val="65A04084"/>
    <w:rsid w:val="65A24E57"/>
    <w:rsid w:val="65A576EF"/>
    <w:rsid w:val="65A87A77"/>
    <w:rsid w:val="65AE191C"/>
    <w:rsid w:val="65B5182F"/>
    <w:rsid w:val="65B60D40"/>
    <w:rsid w:val="65C609A3"/>
    <w:rsid w:val="65CA1C2C"/>
    <w:rsid w:val="65D002E1"/>
    <w:rsid w:val="65D05C9D"/>
    <w:rsid w:val="65D925DE"/>
    <w:rsid w:val="65DC011C"/>
    <w:rsid w:val="65DE718E"/>
    <w:rsid w:val="65DF4B41"/>
    <w:rsid w:val="65E2138C"/>
    <w:rsid w:val="65E24F41"/>
    <w:rsid w:val="65E55AF2"/>
    <w:rsid w:val="65E57F12"/>
    <w:rsid w:val="65EB155E"/>
    <w:rsid w:val="65F16503"/>
    <w:rsid w:val="65F75899"/>
    <w:rsid w:val="65FD11D4"/>
    <w:rsid w:val="65FE434C"/>
    <w:rsid w:val="66053E73"/>
    <w:rsid w:val="660D4BBE"/>
    <w:rsid w:val="66113B73"/>
    <w:rsid w:val="66301728"/>
    <w:rsid w:val="66310526"/>
    <w:rsid w:val="66370584"/>
    <w:rsid w:val="663D280E"/>
    <w:rsid w:val="663F22C5"/>
    <w:rsid w:val="665418B6"/>
    <w:rsid w:val="6659589D"/>
    <w:rsid w:val="665F4478"/>
    <w:rsid w:val="66622C6F"/>
    <w:rsid w:val="666637B8"/>
    <w:rsid w:val="666B405E"/>
    <w:rsid w:val="667906A0"/>
    <w:rsid w:val="66817E3F"/>
    <w:rsid w:val="668332FD"/>
    <w:rsid w:val="66851585"/>
    <w:rsid w:val="668777EF"/>
    <w:rsid w:val="668A741B"/>
    <w:rsid w:val="668E6E08"/>
    <w:rsid w:val="668F3FE9"/>
    <w:rsid w:val="669A4683"/>
    <w:rsid w:val="669C1404"/>
    <w:rsid w:val="669D3C0E"/>
    <w:rsid w:val="66BD0C0B"/>
    <w:rsid w:val="66C07B0E"/>
    <w:rsid w:val="66CD14AA"/>
    <w:rsid w:val="66D113EE"/>
    <w:rsid w:val="66D6094F"/>
    <w:rsid w:val="66E65AF1"/>
    <w:rsid w:val="66E6795F"/>
    <w:rsid w:val="66EA7BE5"/>
    <w:rsid w:val="66EE0166"/>
    <w:rsid w:val="66F20AE0"/>
    <w:rsid w:val="670D5516"/>
    <w:rsid w:val="670F323C"/>
    <w:rsid w:val="67131ED7"/>
    <w:rsid w:val="671600A0"/>
    <w:rsid w:val="671D5451"/>
    <w:rsid w:val="672B48D4"/>
    <w:rsid w:val="67345852"/>
    <w:rsid w:val="67351E4E"/>
    <w:rsid w:val="67383656"/>
    <w:rsid w:val="673A7802"/>
    <w:rsid w:val="674E51A2"/>
    <w:rsid w:val="6756473D"/>
    <w:rsid w:val="676F51F1"/>
    <w:rsid w:val="678022EC"/>
    <w:rsid w:val="678500B2"/>
    <w:rsid w:val="678866B3"/>
    <w:rsid w:val="67886DAD"/>
    <w:rsid w:val="67934C67"/>
    <w:rsid w:val="67BB1A06"/>
    <w:rsid w:val="67C43F2B"/>
    <w:rsid w:val="67C66102"/>
    <w:rsid w:val="67C6630A"/>
    <w:rsid w:val="67C8188B"/>
    <w:rsid w:val="67CB2D4F"/>
    <w:rsid w:val="67EA0191"/>
    <w:rsid w:val="67FF3BA3"/>
    <w:rsid w:val="680066DE"/>
    <w:rsid w:val="68063CF7"/>
    <w:rsid w:val="680965A8"/>
    <w:rsid w:val="681740A3"/>
    <w:rsid w:val="681E7C5D"/>
    <w:rsid w:val="68220402"/>
    <w:rsid w:val="68274BA2"/>
    <w:rsid w:val="682B11E0"/>
    <w:rsid w:val="68445E0D"/>
    <w:rsid w:val="68451F57"/>
    <w:rsid w:val="68490F0E"/>
    <w:rsid w:val="684B56AE"/>
    <w:rsid w:val="684F421C"/>
    <w:rsid w:val="685279FD"/>
    <w:rsid w:val="68535A8A"/>
    <w:rsid w:val="686F327D"/>
    <w:rsid w:val="68727919"/>
    <w:rsid w:val="687611A7"/>
    <w:rsid w:val="687841F8"/>
    <w:rsid w:val="687E13CD"/>
    <w:rsid w:val="687F0360"/>
    <w:rsid w:val="687F6140"/>
    <w:rsid w:val="68812E18"/>
    <w:rsid w:val="688959BD"/>
    <w:rsid w:val="6891260E"/>
    <w:rsid w:val="6893639F"/>
    <w:rsid w:val="6897659E"/>
    <w:rsid w:val="689F588B"/>
    <w:rsid w:val="68A26451"/>
    <w:rsid w:val="68A40CC5"/>
    <w:rsid w:val="68B35FA0"/>
    <w:rsid w:val="68B45B60"/>
    <w:rsid w:val="68B51258"/>
    <w:rsid w:val="68D03A5F"/>
    <w:rsid w:val="68DE247D"/>
    <w:rsid w:val="68E02075"/>
    <w:rsid w:val="68E76B21"/>
    <w:rsid w:val="68EC1A36"/>
    <w:rsid w:val="690D54B6"/>
    <w:rsid w:val="690F3615"/>
    <w:rsid w:val="6913217E"/>
    <w:rsid w:val="691E20BA"/>
    <w:rsid w:val="691F020B"/>
    <w:rsid w:val="69211D85"/>
    <w:rsid w:val="69314CE0"/>
    <w:rsid w:val="69356EF6"/>
    <w:rsid w:val="693B2538"/>
    <w:rsid w:val="69476F8F"/>
    <w:rsid w:val="694B3E2A"/>
    <w:rsid w:val="696117D7"/>
    <w:rsid w:val="69621203"/>
    <w:rsid w:val="69692F8F"/>
    <w:rsid w:val="696C3B4C"/>
    <w:rsid w:val="696D6E31"/>
    <w:rsid w:val="697218D6"/>
    <w:rsid w:val="6977340D"/>
    <w:rsid w:val="6979131C"/>
    <w:rsid w:val="697A6EEC"/>
    <w:rsid w:val="69812BEC"/>
    <w:rsid w:val="69812C63"/>
    <w:rsid w:val="69AA146A"/>
    <w:rsid w:val="69AE4E70"/>
    <w:rsid w:val="69B32D92"/>
    <w:rsid w:val="69B35E8C"/>
    <w:rsid w:val="69C54119"/>
    <w:rsid w:val="69CA7DD7"/>
    <w:rsid w:val="69CB0D07"/>
    <w:rsid w:val="69CE64B4"/>
    <w:rsid w:val="69DD639C"/>
    <w:rsid w:val="69E61A91"/>
    <w:rsid w:val="69FA78E7"/>
    <w:rsid w:val="6A0A55A9"/>
    <w:rsid w:val="6A0D3ADE"/>
    <w:rsid w:val="6A11049F"/>
    <w:rsid w:val="6A152E14"/>
    <w:rsid w:val="6A1D3AC0"/>
    <w:rsid w:val="6A267F93"/>
    <w:rsid w:val="6A273C0C"/>
    <w:rsid w:val="6A2C20A6"/>
    <w:rsid w:val="6A356BD7"/>
    <w:rsid w:val="6A423EBF"/>
    <w:rsid w:val="6A49178A"/>
    <w:rsid w:val="6A506ACE"/>
    <w:rsid w:val="6A521EC8"/>
    <w:rsid w:val="6A52207E"/>
    <w:rsid w:val="6A552561"/>
    <w:rsid w:val="6A5677D1"/>
    <w:rsid w:val="6A572B5A"/>
    <w:rsid w:val="6A5827B1"/>
    <w:rsid w:val="6A5B61CD"/>
    <w:rsid w:val="6A6B2CEC"/>
    <w:rsid w:val="6A7933CB"/>
    <w:rsid w:val="6A816FC5"/>
    <w:rsid w:val="6A902771"/>
    <w:rsid w:val="6A93572E"/>
    <w:rsid w:val="6A9B751A"/>
    <w:rsid w:val="6AA0481A"/>
    <w:rsid w:val="6AA11B6A"/>
    <w:rsid w:val="6AA46EC2"/>
    <w:rsid w:val="6AB55E83"/>
    <w:rsid w:val="6ABE055C"/>
    <w:rsid w:val="6AC83D50"/>
    <w:rsid w:val="6ACB01E4"/>
    <w:rsid w:val="6AE865EA"/>
    <w:rsid w:val="6AEC5571"/>
    <w:rsid w:val="6AF14EDB"/>
    <w:rsid w:val="6B123EFE"/>
    <w:rsid w:val="6B216804"/>
    <w:rsid w:val="6B230D43"/>
    <w:rsid w:val="6B232042"/>
    <w:rsid w:val="6B277E96"/>
    <w:rsid w:val="6B2A1C7F"/>
    <w:rsid w:val="6B2B5C26"/>
    <w:rsid w:val="6B347F49"/>
    <w:rsid w:val="6B3E6AF3"/>
    <w:rsid w:val="6B49598B"/>
    <w:rsid w:val="6B4F517D"/>
    <w:rsid w:val="6B524165"/>
    <w:rsid w:val="6B54569F"/>
    <w:rsid w:val="6B5E2C17"/>
    <w:rsid w:val="6B6A6FEF"/>
    <w:rsid w:val="6B6D4219"/>
    <w:rsid w:val="6B6D7FF4"/>
    <w:rsid w:val="6B6E6B2A"/>
    <w:rsid w:val="6B7B1DA2"/>
    <w:rsid w:val="6B82440F"/>
    <w:rsid w:val="6B83268A"/>
    <w:rsid w:val="6B835DDC"/>
    <w:rsid w:val="6B8974DE"/>
    <w:rsid w:val="6B8B7B4B"/>
    <w:rsid w:val="6B9D2E22"/>
    <w:rsid w:val="6BB046B3"/>
    <w:rsid w:val="6BB71433"/>
    <w:rsid w:val="6BBA0517"/>
    <w:rsid w:val="6BBE269F"/>
    <w:rsid w:val="6BE35482"/>
    <w:rsid w:val="6BE440D7"/>
    <w:rsid w:val="6BEA36E9"/>
    <w:rsid w:val="6BEC2314"/>
    <w:rsid w:val="6BF10FE2"/>
    <w:rsid w:val="6BF57389"/>
    <w:rsid w:val="6BFD0536"/>
    <w:rsid w:val="6C064226"/>
    <w:rsid w:val="6C1107DA"/>
    <w:rsid w:val="6C155D48"/>
    <w:rsid w:val="6C1A7264"/>
    <w:rsid w:val="6C1B2FEF"/>
    <w:rsid w:val="6C1F067C"/>
    <w:rsid w:val="6C2165C3"/>
    <w:rsid w:val="6C260E7A"/>
    <w:rsid w:val="6C2936EB"/>
    <w:rsid w:val="6C2D0F65"/>
    <w:rsid w:val="6C30493E"/>
    <w:rsid w:val="6C314E22"/>
    <w:rsid w:val="6C3A5FBF"/>
    <w:rsid w:val="6C4403E8"/>
    <w:rsid w:val="6C525604"/>
    <w:rsid w:val="6C536A49"/>
    <w:rsid w:val="6C5F20D7"/>
    <w:rsid w:val="6C675AE0"/>
    <w:rsid w:val="6C7369F5"/>
    <w:rsid w:val="6C76078E"/>
    <w:rsid w:val="6C762909"/>
    <w:rsid w:val="6C8037A6"/>
    <w:rsid w:val="6C825018"/>
    <w:rsid w:val="6C8330AD"/>
    <w:rsid w:val="6C9136ED"/>
    <w:rsid w:val="6C9916E6"/>
    <w:rsid w:val="6C9D3F3D"/>
    <w:rsid w:val="6C9E15DD"/>
    <w:rsid w:val="6CB753B6"/>
    <w:rsid w:val="6CBA2687"/>
    <w:rsid w:val="6CBB010D"/>
    <w:rsid w:val="6CC41C1C"/>
    <w:rsid w:val="6CC81805"/>
    <w:rsid w:val="6CCD0DE4"/>
    <w:rsid w:val="6CCF6A90"/>
    <w:rsid w:val="6CD35AA2"/>
    <w:rsid w:val="6CD64A63"/>
    <w:rsid w:val="6CE356E3"/>
    <w:rsid w:val="6CE53FE1"/>
    <w:rsid w:val="6CF066FB"/>
    <w:rsid w:val="6CF2756C"/>
    <w:rsid w:val="6CF81C12"/>
    <w:rsid w:val="6D10616B"/>
    <w:rsid w:val="6D257071"/>
    <w:rsid w:val="6D290D67"/>
    <w:rsid w:val="6D2C1EAC"/>
    <w:rsid w:val="6D342825"/>
    <w:rsid w:val="6D3F3C12"/>
    <w:rsid w:val="6D4C4F14"/>
    <w:rsid w:val="6D4D74E7"/>
    <w:rsid w:val="6D593CC0"/>
    <w:rsid w:val="6D5B3979"/>
    <w:rsid w:val="6D5B52A6"/>
    <w:rsid w:val="6D63418D"/>
    <w:rsid w:val="6D682616"/>
    <w:rsid w:val="6D695E1A"/>
    <w:rsid w:val="6D6F33E1"/>
    <w:rsid w:val="6D6F48E1"/>
    <w:rsid w:val="6D7874ED"/>
    <w:rsid w:val="6D947798"/>
    <w:rsid w:val="6D991437"/>
    <w:rsid w:val="6D9E7C66"/>
    <w:rsid w:val="6DAF4183"/>
    <w:rsid w:val="6DBD747B"/>
    <w:rsid w:val="6DCB2A78"/>
    <w:rsid w:val="6DCF0CAD"/>
    <w:rsid w:val="6DD10C88"/>
    <w:rsid w:val="6DD73C42"/>
    <w:rsid w:val="6DEF5FE2"/>
    <w:rsid w:val="6DF47F88"/>
    <w:rsid w:val="6DF614C7"/>
    <w:rsid w:val="6E027D31"/>
    <w:rsid w:val="6E0B3ED9"/>
    <w:rsid w:val="6E2354F1"/>
    <w:rsid w:val="6E247D3A"/>
    <w:rsid w:val="6E346E82"/>
    <w:rsid w:val="6E3A1EEA"/>
    <w:rsid w:val="6E3A7261"/>
    <w:rsid w:val="6E3E7DD7"/>
    <w:rsid w:val="6E426A1E"/>
    <w:rsid w:val="6E4459AB"/>
    <w:rsid w:val="6E49458E"/>
    <w:rsid w:val="6E59299E"/>
    <w:rsid w:val="6E661F40"/>
    <w:rsid w:val="6E673D53"/>
    <w:rsid w:val="6E697AB0"/>
    <w:rsid w:val="6E7040CC"/>
    <w:rsid w:val="6E82615D"/>
    <w:rsid w:val="6E855D18"/>
    <w:rsid w:val="6E9B58A9"/>
    <w:rsid w:val="6E9C2C18"/>
    <w:rsid w:val="6EA6476D"/>
    <w:rsid w:val="6EB303D0"/>
    <w:rsid w:val="6EBC7546"/>
    <w:rsid w:val="6EC55E7E"/>
    <w:rsid w:val="6EC64E57"/>
    <w:rsid w:val="6EC936AB"/>
    <w:rsid w:val="6ECE1F87"/>
    <w:rsid w:val="6ECF0447"/>
    <w:rsid w:val="6ED450BE"/>
    <w:rsid w:val="6ED6310A"/>
    <w:rsid w:val="6ED700C7"/>
    <w:rsid w:val="6EDF1786"/>
    <w:rsid w:val="6EE21F5E"/>
    <w:rsid w:val="6EE707CF"/>
    <w:rsid w:val="6EF367CE"/>
    <w:rsid w:val="6EF55330"/>
    <w:rsid w:val="6EF63CCA"/>
    <w:rsid w:val="6EFC237B"/>
    <w:rsid w:val="6F067C81"/>
    <w:rsid w:val="6F0C000F"/>
    <w:rsid w:val="6F122894"/>
    <w:rsid w:val="6F154CC6"/>
    <w:rsid w:val="6F167FF2"/>
    <w:rsid w:val="6F196B04"/>
    <w:rsid w:val="6F1F6CAF"/>
    <w:rsid w:val="6F2175DA"/>
    <w:rsid w:val="6F2410D4"/>
    <w:rsid w:val="6F253A68"/>
    <w:rsid w:val="6F33052C"/>
    <w:rsid w:val="6F3616C7"/>
    <w:rsid w:val="6F3B662B"/>
    <w:rsid w:val="6F402C93"/>
    <w:rsid w:val="6F43397E"/>
    <w:rsid w:val="6F4445C0"/>
    <w:rsid w:val="6F4931C3"/>
    <w:rsid w:val="6F5A49E8"/>
    <w:rsid w:val="6F5C22E7"/>
    <w:rsid w:val="6F5D5140"/>
    <w:rsid w:val="6F682A48"/>
    <w:rsid w:val="6F6D758E"/>
    <w:rsid w:val="6F6E0D1F"/>
    <w:rsid w:val="6F734835"/>
    <w:rsid w:val="6F762B3C"/>
    <w:rsid w:val="6F973F8E"/>
    <w:rsid w:val="6FA40D62"/>
    <w:rsid w:val="6FB17351"/>
    <w:rsid w:val="6FB303A1"/>
    <w:rsid w:val="6FC1690E"/>
    <w:rsid w:val="6FC73FE4"/>
    <w:rsid w:val="6FC86A4B"/>
    <w:rsid w:val="6FCF6A86"/>
    <w:rsid w:val="6FD2606A"/>
    <w:rsid w:val="6FD97F25"/>
    <w:rsid w:val="6FE715D7"/>
    <w:rsid w:val="6FF2334A"/>
    <w:rsid w:val="700B356F"/>
    <w:rsid w:val="700F6BF0"/>
    <w:rsid w:val="70156F67"/>
    <w:rsid w:val="70324261"/>
    <w:rsid w:val="70420902"/>
    <w:rsid w:val="704B5DE0"/>
    <w:rsid w:val="70507D2E"/>
    <w:rsid w:val="7051209E"/>
    <w:rsid w:val="70612E3C"/>
    <w:rsid w:val="707A2C59"/>
    <w:rsid w:val="70805D7F"/>
    <w:rsid w:val="708F50CB"/>
    <w:rsid w:val="7091217F"/>
    <w:rsid w:val="7091357D"/>
    <w:rsid w:val="7095277C"/>
    <w:rsid w:val="709D1288"/>
    <w:rsid w:val="70B17C9B"/>
    <w:rsid w:val="70B24A42"/>
    <w:rsid w:val="70B36004"/>
    <w:rsid w:val="70B50A5A"/>
    <w:rsid w:val="70B61DB3"/>
    <w:rsid w:val="70B76332"/>
    <w:rsid w:val="70BC6C27"/>
    <w:rsid w:val="70C60F77"/>
    <w:rsid w:val="70D64B62"/>
    <w:rsid w:val="70DB28B7"/>
    <w:rsid w:val="70DE2004"/>
    <w:rsid w:val="70EB760D"/>
    <w:rsid w:val="70F10ED1"/>
    <w:rsid w:val="71062378"/>
    <w:rsid w:val="71076444"/>
    <w:rsid w:val="710D7B9F"/>
    <w:rsid w:val="710E242F"/>
    <w:rsid w:val="710F4DDA"/>
    <w:rsid w:val="711004D2"/>
    <w:rsid w:val="71144CA6"/>
    <w:rsid w:val="71161F7B"/>
    <w:rsid w:val="71237CDE"/>
    <w:rsid w:val="712843CC"/>
    <w:rsid w:val="712A2B9F"/>
    <w:rsid w:val="712E7310"/>
    <w:rsid w:val="71387375"/>
    <w:rsid w:val="714B61EB"/>
    <w:rsid w:val="714E0174"/>
    <w:rsid w:val="715D3884"/>
    <w:rsid w:val="715E1529"/>
    <w:rsid w:val="71611513"/>
    <w:rsid w:val="716E12A1"/>
    <w:rsid w:val="71700EBA"/>
    <w:rsid w:val="71770666"/>
    <w:rsid w:val="7188480F"/>
    <w:rsid w:val="71943030"/>
    <w:rsid w:val="71972CB4"/>
    <w:rsid w:val="71983EDE"/>
    <w:rsid w:val="71A1299E"/>
    <w:rsid w:val="71AD7457"/>
    <w:rsid w:val="71B111CF"/>
    <w:rsid w:val="71B14E68"/>
    <w:rsid w:val="71B34377"/>
    <w:rsid w:val="71B80474"/>
    <w:rsid w:val="71BA5D0F"/>
    <w:rsid w:val="71CB353F"/>
    <w:rsid w:val="71DF04DF"/>
    <w:rsid w:val="71DF5AFE"/>
    <w:rsid w:val="71E133FA"/>
    <w:rsid w:val="71E17CD1"/>
    <w:rsid w:val="71F76E71"/>
    <w:rsid w:val="71FF0C77"/>
    <w:rsid w:val="72147368"/>
    <w:rsid w:val="72153D40"/>
    <w:rsid w:val="72164F27"/>
    <w:rsid w:val="721942FA"/>
    <w:rsid w:val="7224636A"/>
    <w:rsid w:val="722F7751"/>
    <w:rsid w:val="72466CE3"/>
    <w:rsid w:val="72481F6C"/>
    <w:rsid w:val="72491E3C"/>
    <w:rsid w:val="724B1EB6"/>
    <w:rsid w:val="724C5A79"/>
    <w:rsid w:val="72517832"/>
    <w:rsid w:val="72574FD2"/>
    <w:rsid w:val="72597D53"/>
    <w:rsid w:val="725B223A"/>
    <w:rsid w:val="725E74E4"/>
    <w:rsid w:val="72622408"/>
    <w:rsid w:val="726814A6"/>
    <w:rsid w:val="726C27A7"/>
    <w:rsid w:val="727070F0"/>
    <w:rsid w:val="72766B15"/>
    <w:rsid w:val="72963888"/>
    <w:rsid w:val="729969F8"/>
    <w:rsid w:val="729E07DC"/>
    <w:rsid w:val="72AC7748"/>
    <w:rsid w:val="72B5203F"/>
    <w:rsid w:val="72CA406F"/>
    <w:rsid w:val="72CB46A2"/>
    <w:rsid w:val="72CE73EA"/>
    <w:rsid w:val="72D07053"/>
    <w:rsid w:val="72D103D1"/>
    <w:rsid w:val="72D454B6"/>
    <w:rsid w:val="72DD2C30"/>
    <w:rsid w:val="72E000FF"/>
    <w:rsid w:val="72E245E6"/>
    <w:rsid w:val="72FE04B0"/>
    <w:rsid w:val="73003BC1"/>
    <w:rsid w:val="730071DA"/>
    <w:rsid w:val="73087E86"/>
    <w:rsid w:val="730B66F9"/>
    <w:rsid w:val="7319035F"/>
    <w:rsid w:val="732107B7"/>
    <w:rsid w:val="732825AD"/>
    <w:rsid w:val="732D0F77"/>
    <w:rsid w:val="733621FC"/>
    <w:rsid w:val="73376BFD"/>
    <w:rsid w:val="73400335"/>
    <w:rsid w:val="73457AC9"/>
    <w:rsid w:val="7356178D"/>
    <w:rsid w:val="73620109"/>
    <w:rsid w:val="736A1119"/>
    <w:rsid w:val="73707BEA"/>
    <w:rsid w:val="73772350"/>
    <w:rsid w:val="737D01FB"/>
    <w:rsid w:val="738827C3"/>
    <w:rsid w:val="738D756E"/>
    <w:rsid w:val="7392105C"/>
    <w:rsid w:val="7392751E"/>
    <w:rsid w:val="739319B2"/>
    <w:rsid w:val="73957EE4"/>
    <w:rsid w:val="739C4CBE"/>
    <w:rsid w:val="739E707B"/>
    <w:rsid w:val="73A9257D"/>
    <w:rsid w:val="73D40F52"/>
    <w:rsid w:val="73D82E88"/>
    <w:rsid w:val="73DC3912"/>
    <w:rsid w:val="73E0009B"/>
    <w:rsid w:val="73E14495"/>
    <w:rsid w:val="74000232"/>
    <w:rsid w:val="740B7E65"/>
    <w:rsid w:val="740E3A06"/>
    <w:rsid w:val="741121C4"/>
    <w:rsid w:val="74186E4F"/>
    <w:rsid w:val="74201CE5"/>
    <w:rsid w:val="74212559"/>
    <w:rsid w:val="74240B8F"/>
    <w:rsid w:val="7426628E"/>
    <w:rsid w:val="742918CF"/>
    <w:rsid w:val="742D35D8"/>
    <w:rsid w:val="743E03B7"/>
    <w:rsid w:val="744A18B8"/>
    <w:rsid w:val="74503A1A"/>
    <w:rsid w:val="7452774F"/>
    <w:rsid w:val="74531BBF"/>
    <w:rsid w:val="74545A4B"/>
    <w:rsid w:val="74614DCC"/>
    <w:rsid w:val="74721982"/>
    <w:rsid w:val="7475217C"/>
    <w:rsid w:val="747B2ECF"/>
    <w:rsid w:val="747F2783"/>
    <w:rsid w:val="748D486D"/>
    <w:rsid w:val="748D55E6"/>
    <w:rsid w:val="74AB429B"/>
    <w:rsid w:val="74C153CB"/>
    <w:rsid w:val="74C53028"/>
    <w:rsid w:val="74C744EB"/>
    <w:rsid w:val="74CF43DA"/>
    <w:rsid w:val="74D057E0"/>
    <w:rsid w:val="74DC6F2C"/>
    <w:rsid w:val="74EA7C4C"/>
    <w:rsid w:val="74F44598"/>
    <w:rsid w:val="74F90C1F"/>
    <w:rsid w:val="74F94343"/>
    <w:rsid w:val="74FD1C21"/>
    <w:rsid w:val="74FE5E01"/>
    <w:rsid w:val="74FE7E58"/>
    <w:rsid w:val="75150D9D"/>
    <w:rsid w:val="751B6757"/>
    <w:rsid w:val="751C1B79"/>
    <w:rsid w:val="751E3A1E"/>
    <w:rsid w:val="75224794"/>
    <w:rsid w:val="75324725"/>
    <w:rsid w:val="75345006"/>
    <w:rsid w:val="75380F92"/>
    <w:rsid w:val="75392183"/>
    <w:rsid w:val="754B7BF9"/>
    <w:rsid w:val="754D6A55"/>
    <w:rsid w:val="755613D0"/>
    <w:rsid w:val="75571E79"/>
    <w:rsid w:val="75625974"/>
    <w:rsid w:val="75646984"/>
    <w:rsid w:val="75681F0B"/>
    <w:rsid w:val="757E7540"/>
    <w:rsid w:val="758137A9"/>
    <w:rsid w:val="75815850"/>
    <w:rsid w:val="7589134B"/>
    <w:rsid w:val="758D304D"/>
    <w:rsid w:val="75AB46C7"/>
    <w:rsid w:val="75AD66DF"/>
    <w:rsid w:val="75B16831"/>
    <w:rsid w:val="75B17348"/>
    <w:rsid w:val="75B63E18"/>
    <w:rsid w:val="75B85BAC"/>
    <w:rsid w:val="75B93C4E"/>
    <w:rsid w:val="75BA61C4"/>
    <w:rsid w:val="75BC76DC"/>
    <w:rsid w:val="75C224DE"/>
    <w:rsid w:val="75D24AF4"/>
    <w:rsid w:val="75E95622"/>
    <w:rsid w:val="75ED63F9"/>
    <w:rsid w:val="75F0244F"/>
    <w:rsid w:val="75F0310B"/>
    <w:rsid w:val="75F12B76"/>
    <w:rsid w:val="75F17A35"/>
    <w:rsid w:val="75F31560"/>
    <w:rsid w:val="7603769D"/>
    <w:rsid w:val="76080055"/>
    <w:rsid w:val="760902D6"/>
    <w:rsid w:val="761576A8"/>
    <w:rsid w:val="761651D5"/>
    <w:rsid w:val="761B34E5"/>
    <w:rsid w:val="761F53D4"/>
    <w:rsid w:val="762359CE"/>
    <w:rsid w:val="762B108D"/>
    <w:rsid w:val="762B4720"/>
    <w:rsid w:val="762C5886"/>
    <w:rsid w:val="76361723"/>
    <w:rsid w:val="763D457B"/>
    <w:rsid w:val="764A6525"/>
    <w:rsid w:val="76550B40"/>
    <w:rsid w:val="765C0732"/>
    <w:rsid w:val="765E5133"/>
    <w:rsid w:val="7664629B"/>
    <w:rsid w:val="76670390"/>
    <w:rsid w:val="766767EA"/>
    <w:rsid w:val="766B4D58"/>
    <w:rsid w:val="766E4EA3"/>
    <w:rsid w:val="766E7317"/>
    <w:rsid w:val="766F4202"/>
    <w:rsid w:val="766F4F87"/>
    <w:rsid w:val="76745D8D"/>
    <w:rsid w:val="76787C77"/>
    <w:rsid w:val="76800574"/>
    <w:rsid w:val="76803DA2"/>
    <w:rsid w:val="76812A23"/>
    <w:rsid w:val="768D587A"/>
    <w:rsid w:val="76905D5F"/>
    <w:rsid w:val="769C7E12"/>
    <w:rsid w:val="76AC121C"/>
    <w:rsid w:val="76AE0076"/>
    <w:rsid w:val="76B10DA4"/>
    <w:rsid w:val="76B475DA"/>
    <w:rsid w:val="76BC77E1"/>
    <w:rsid w:val="76C16BD9"/>
    <w:rsid w:val="76CA4FDF"/>
    <w:rsid w:val="76D374D2"/>
    <w:rsid w:val="76D85246"/>
    <w:rsid w:val="76DA6FAF"/>
    <w:rsid w:val="76DC5C7C"/>
    <w:rsid w:val="76DF7125"/>
    <w:rsid w:val="76E41FA1"/>
    <w:rsid w:val="76EA301D"/>
    <w:rsid w:val="76EF4C9B"/>
    <w:rsid w:val="770345C2"/>
    <w:rsid w:val="77043438"/>
    <w:rsid w:val="771954E0"/>
    <w:rsid w:val="771D507F"/>
    <w:rsid w:val="77225256"/>
    <w:rsid w:val="772C4284"/>
    <w:rsid w:val="77304E54"/>
    <w:rsid w:val="773827A0"/>
    <w:rsid w:val="77480170"/>
    <w:rsid w:val="77484B29"/>
    <w:rsid w:val="77521FE8"/>
    <w:rsid w:val="77532617"/>
    <w:rsid w:val="775554D2"/>
    <w:rsid w:val="77583AFD"/>
    <w:rsid w:val="77584DFB"/>
    <w:rsid w:val="775B5A90"/>
    <w:rsid w:val="775C2EF0"/>
    <w:rsid w:val="775D5BE0"/>
    <w:rsid w:val="775E5AF6"/>
    <w:rsid w:val="77645280"/>
    <w:rsid w:val="776D429F"/>
    <w:rsid w:val="77715DB5"/>
    <w:rsid w:val="7772774C"/>
    <w:rsid w:val="777A5C21"/>
    <w:rsid w:val="777E65BB"/>
    <w:rsid w:val="77834917"/>
    <w:rsid w:val="778727F7"/>
    <w:rsid w:val="77881FA5"/>
    <w:rsid w:val="778C7324"/>
    <w:rsid w:val="77947786"/>
    <w:rsid w:val="77955C80"/>
    <w:rsid w:val="7795611D"/>
    <w:rsid w:val="77A14440"/>
    <w:rsid w:val="77AB01FC"/>
    <w:rsid w:val="77AB2108"/>
    <w:rsid w:val="77B85E3D"/>
    <w:rsid w:val="77C13C9E"/>
    <w:rsid w:val="77C36B6E"/>
    <w:rsid w:val="77CA3353"/>
    <w:rsid w:val="77D67607"/>
    <w:rsid w:val="77DD5A57"/>
    <w:rsid w:val="780112E5"/>
    <w:rsid w:val="78065562"/>
    <w:rsid w:val="7807157A"/>
    <w:rsid w:val="7808756A"/>
    <w:rsid w:val="780D7DB7"/>
    <w:rsid w:val="78145CB5"/>
    <w:rsid w:val="781A04B6"/>
    <w:rsid w:val="781A6FCC"/>
    <w:rsid w:val="781B0B00"/>
    <w:rsid w:val="78232876"/>
    <w:rsid w:val="7825462C"/>
    <w:rsid w:val="78274F42"/>
    <w:rsid w:val="782D4AB6"/>
    <w:rsid w:val="78387918"/>
    <w:rsid w:val="78401951"/>
    <w:rsid w:val="784502D6"/>
    <w:rsid w:val="78523391"/>
    <w:rsid w:val="78523ED3"/>
    <w:rsid w:val="785655DD"/>
    <w:rsid w:val="785A45FE"/>
    <w:rsid w:val="785F627B"/>
    <w:rsid w:val="786075F7"/>
    <w:rsid w:val="78653063"/>
    <w:rsid w:val="78730FEB"/>
    <w:rsid w:val="787A05EA"/>
    <w:rsid w:val="787D2F47"/>
    <w:rsid w:val="788F4907"/>
    <w:rsid w:val="78954B35"/>
    <w:rsid w:val="78977C2B"/>
    <w:rsid w:val="78A22234"/>
    <w:rsid w:val="78A330C8"/>
    <w:rsid w:val="78A70FFB"/>
    <w:rsid w:val="78AD0B6E"/>
    <w:rsid w:val="78C47021"/>
    <w:rsid w:val="78CA17B8"/>
    <w:rsid w:val="78D06C68"/>
    <w:rsid w:val="78DC1DB4"/>
    <w:rsid w:val="78DC7A5C"/>
    <w:rsid w:val="78E9212C"/>
    <w:rsid w:val="78ED215C"/>
    <w:rsid w:val="78F05EAF"/>
    <w:rsid w:val="78F36B31"/>
    <w:rsid w:val="78FD1177"/>
    <w:rsid w:val="78FE45CC"/>
    <w:rsid w:val="78FE5B69"/>
    <w:rsid w:val="78FF6133"/>
    <w:rsid w:val="79117E60"/>
    <w:rsid w:val="791408E0"/>
    <w:rsid w:val="7916504A"/>
    <w:rsid w:val="791D593C"/>
    <w:rsid w:val="79280276"/>
    <w:rsid w:val="79365850"/>
    <w:rsid w:val="793B4491"/>
    <w:rsid w:val="795202DC"/>
    <w:rsid w:val="795F0153"/>
    <w:rsid w:val="796B32E9"/>
    <w:rsid w:val="7977053E"/>
    <w:rsid w:val="79775D44"/>
    <w:rsid w:val="797A3EA8"/>
    <w:rsid w:val="797F3859"/>
    <w:rsid w:val="79805609"/>
    <w:rsid w:val="79886C3D"/>
    <w:rsid w:val="798B04CF"/>
    <w:rsid w:val="79910918"/>
    <w:rsid w:val="799534AA"/>
    <w:rsid w:val="799F0290"/>
    <w:rsid w:val="79A1066B"/>
    <w:rsid w:val="79AF39D7"/>
    <w:rsid w:val="79B216F9"/>
    <w:rsid w:val="79C63C8C"/>
    <w:rsid w:val="79C87F5A"/>
    <w:rsid w:val="79D30842"/>
    <w:rsid w:val="79D409B5"/>
    <w:rsid w:val="79DA622C"/>
    <w:rsid w:val="79E04270"/>
    <w:rsid w:val="79FB4B54"/>
    <w:rsid w:val="7A004027"/>
    <w:rsid w:val="7A0E11CC"/>
    <w:rsid w:val="7A0E1D93"/>
    <w:rsid w:val="7A1363E5"/>
    <w:rsid w:val="7A1E1D8A"/>
    <w:rsid w:val="7A23407F"/>
    <w:rsid w:val="7A274043"/>
    <w:rsid w:val="7A2F367A"/>
    <w:rsid w:val="7A36707C"/>
    <w:rsid w:val="7A3E75FB"/>
    <w:rsid w:val="7A412B53"/>
    <w:rsid w:val="7A4952DF"/>
    <w:rsid w:val="7A4D172D"/>
    <w:rsid w:val="7A526EB9"/>
    <w:rsid w:val="7A543F0E"/>
    <w:rsid w:val="7A5F7A38"/>
    <w:rsid w:val="7A6D0F34"/>
    <w:rsid w:val="7A6F2D9B"/>
    <w:rsid w:val="7A7276C7"/>
    <w:rsid w:val="7A7326F0"/>
    <w:rsid w:val="7A862AE8"/>
    <w:rsid w:val="7A900F24"/>
    <w:rsid w:val="7A921FDC"/>
    <w:rsid w:val="7A97605D"/>
    <w:rsid w:val="7A977EAD"/>
    <w:rsid w:val="7AA22E12"/>
    <w:rsid w:val="7AA4168A"/>
    <w:rsid w:val="7AA62D5F"/>
    <w:rsid w:val="7AB23821"/>
    <w:rsid w:val="7AB94A7F"/>
    <w:rsid w:val="7AC451B4"/>
    <w:rsid w:val="7AD02FD1"/>
    <w:rsid w:val="7AD239C3"/>
    <w:rsid w:val="7AF00E5A"/>
    <w:rsid w:val="7AFD660B"/>
    <w:rsid w:val="7B0409A6"/>
    <w:rsid w:val="7B051335"/>
    <w:rsid w:val="7B0D4044"/>
    <w:rsid w:val="7B16573D"/>
    <w:rsid w:val="7B19764F"/>
    <w:rsid w:val="7B2312CF"/>
    <w:rsid w:val="7B280B13"/>
    <w:rsid w:val="7B293AF6"/>
    <w:rsid w:val="7B2A6CFF"/>
    <w:rsid w:val="7B3944E9"/>
    <w:rsid w:val="7B3C15E9"/>
    <w:rsid w:val="7B3D1285"/>
    <w:rsid w:val="7B467C5C"/>
    <w:rsid w:val="7B4B5E15"/>
    <w:rsid w:val="7B515A7D"/>
    <w:rsid w:val="7B527833"/>
    <w:rsid w:val="7B5E5B87"/>
    <w:rsid w:val="7B6869A2"/>
    <w:rsid w:val="7B7055B8"/>
    <w:rsid w:val="7B7C7734"/>
    <w:rsid w:val="7B861317"/>
    <w:rsid w:val="7BB54987"/>
    <w:rsid w:val="7BC923D0"/>
    <w:rsid w:val="7BD7695C"/>
    <w:rsid w:val="7BE24F43"/>
    <w:rsid w:val="7BF04A2E"/>
    <w:rsid w:val="7BF54A08"/>
    <w:rsid w:val="7BF77650"/>
    <w:rsid w:val="7BFD44E4"/>
    <w:rsid w:val="7C116D8E"/>
    <w:rsid w:val="7C137B01"/>
    <w:rsid w:val="7C16406F"/>
    <w:rsid w:val="7C25737E"/>
    <w:rsid w:val="7C2B252F"/>
    <w:rsid w:val="7C2D1170"/>
    <w:rsid w:val="7C393B13"/>
    <w:rsid w:val="7C3A6299"/>
    <w:rsid w:val="7C4073ED"/>
    <w:rsid w:val="7C457508"/>
    <w:rsid w:val="7C4F7FED"/>
    <w:rsid w:val="7C5A3914"/>
    <w:rsid w:val="7C6C1F9D"/>
    <w:rsid w:val="7C795990"/>
    <w:rsid w:val="7C800C2E"/>
    <w:rsid w:val="7C8B128D"/>
    <w:rsid w:val="7C902C64"/>
    <w:rsid w:val="7C9A6328"/>
    <w:rsid w:val="7C9B3B56"/>
    <w:rsid w:val="7CA03B25"/>
    <w:rsid w:val="7CA77D2D"/>
    <w:rsid w:val="7CAC2863"/>
    <w:rsid w:val="7CB37B91"/>
    <w:rsid w:val="7CB53C9C"/>
    <w:rsid w:val="7CBC6A7E"/>
    <w:rsid w:val="7CC5548A"/>
    <w:rsid w:val="7CC6307D"/>
    <w:rsid w:val="7CD74B7E"/>
    <w:rsid w:val="7CD808F4"/>
    <w:rsid w:val="7CD85D91"/>
    <w:rsid w:val="7CE553F0"/>
    <w:rsid w:val="7CE85D73"/>
    <w:rsid w:val="7CEA0416"/>
    <w:rsid w:val="7CEF358E"/>
    <w:rsid w:val="7CF07D46"/>
    <w:rsid w:val="7CF73E41"/>
    <w:rsid w:val="7CF85C52"/>
    <w:rsid w:val="7CFF739B"/>
    <w:rsid w:val="7D02778D"/>
    <w:rsid w:val="7D064FFE"/>
    <w:rsid w:val="7D207403"/>
    <w:rsid w:val="7D212F05"/>
    <w:rsid w:val="7D2627DB"/>
    <w:rsid w:val="7D375DDA"/>
    <w:rsid w:val="7D3B347A"/>
    <w:rsid w:val="7D3C4883"/>
    <w:rsid w:val="7D3D2249"/>
    <w:rsid w:val="7D3F1B7D"/>
    <w:rsid w:val="7D404FD3"/>
    <w:rsid w:val="7D411DAB"/>
    <w:rsid w:val="7D490611"/>
    <w:rsid w:val="7D4B722B"/>
    <w:rsid w:val="7D5D1BBB"/>
    <w:rsid w:val="7D6F36D2"/>
    <w:rsid w:val="7D76673A"/>
    <w:rsid w:val="7D7D1945"/>
    <w:rsid w:val="7D7E7A38"/>
    <w:rsid w:val="7D871E24"/>
    <w:rsid w:val="7D8A19EE"/>
    <w:rsid w:val="7D8B71BB"/>
    <w:rsid w:val="7D9A4477"/>
    <w:rsid w:val="7DA913AE"/>
    <w:rsid w:val="7DA939B4"/>
    <w:rsid w:val="7DA95EEE"/>
    <w:rsid w:val="7DAC0636"/>
    <w:rsid w:val="7DAF71DE"/>
    <w:rsid w:val="7DB008C6"/>
    <w:rsid w:val="7DB20DFD"/>
    <w:rsid w:val="7DBD7629"/>
    <w:rsid w:val="7DBF55F6"/>
    <w:rsid w:val="7DC622EB"/>
    <w:rsid w:val="7DC924EF"/>
    <w:rsid w:val="7DCD25D5"/>
    <w:rsid w:val="7DDC022C"/>
    <w:rsid w:val="7DDE34F2"/>
    <w:rsid w:val="7DDF6C1B"/>
    <w:rsid w:val="7DEC259B"/>
    <w:rsid w:val="7DF41E48"/>
    <w:rsid w:val="7DF7555F"/>
    <w:rsid w:val="7DF82F1A"/>
    <w:rsid w:val="7E011CFF"/>
    <w:rsid w:val="7E035C29"/>
    <w:rsid w:val="7E06013F"/>
    <w:rsid w:val="7E084610"/>
    <w:rsid w:val="7E0C30DF"/>
    <w:rsid w:val="7E14065D"/>
    <w:rsid w:val="7E185F63"/>
    <w:rsid w:val="7E1E61F5"/>
    <w:rsid w:val="7E342E72"/>
    <w:rsid w:val="7E4E0950"/>
    <w:rsid w:val="7E534156"/>
    <w:rsid w:val="7E7B0D8B"/>
    <w:rsid w:val="7E803956"/>
    <w:rsid w:val="7E806963"/>
    <w:rsid w:val="7E860D7C"/>
    <w:rsid w:val="7E865ADA"/>
    <w:rsid w:val="7E8A656A"/>
    <w:rsid w:val="7EB20118"/>
    <w:rsid w:val="7EB278A3"/>
    <w:rsid w:val="7EB6778E"/>
    <w:rsid w:val="7EB8164F"/>
    <w:rsid w:val="7ECC7DF2"/>
    <w:rsid w:val="7ED3660A"/>
    <w:rsid w:val="7EDB2C7B"/>
    <w:rsid w:val="7EEB558F"/>
    <w:rsid w:val="7EEC1CD4"/>
    <w:rsid w:val="7EEF0F49"/>
    <w:rsid w:val="7EEF7F58"/>
    <w:rsid w:val="7EF67115"/>
    <w:rsid w:val="7EF93133"/>
    <w:rsid w:val="7EFE5F6E"/>
    <w:rsid w:val="7F031862"/>
    <w:rsid w:val="7F08248D"/>
    <w:rsid w:val="7F1E2AAF"/>
    <w:rsid w:val="7F2262A4"/>
    <w:rsid w:val="7F263401"/>
    <w:rsid w:val="7F2D7306"/>
    <w:rsid w:val="7F3B0D02"/>
    <w:rsid w:val="7F3D39BF"/>
    <w:rsid w:val="7F4255CC"/>
    <w:rsid w:val="7F4B0DA3"/>
    <w:rsid w:val="7F4C3F28"/>
    <w:rsid w:val="7F572ACB"/>
    <w:rsid w:val="7F694B83"/>
    <w:rsid w:val="7F6D62A2"/>
    <w:rsid w:val="7F714A88"/>
    <w:rsid w:val="7F7D3F51"/>
    <w:rsid w:val="7F8C321C"/>
    <w:rsid w:val="7F996E7A"/>
    <w:rsid w:val="7FA13FDA"/>
    <w:rsid w:val="7FA37CD0"/>
    <w:rsid w:val="7FAB2CA4"/>
    <w:rsid w:val="7FAE3045"/>
    <w:rsid w:val="7FB77C6A"/>
    <w:rsid w:val="7FBD3A73"/>
    <w:rsid w:val="7FBF4CE5"/>
    <w:rsid w:val="7FC9041E"/>
    <w:rsid w:val="7FD56386"/>
    <w:rsid w:val="7FDD298C"/>
    <w:rsid w:val="7FE1162A"/>
    <w:rsid w:val="7FE24E98"/>
    <w:rsid w:val="7FE423D8"/>
    <w:rsid w:val="7FE87F11"/>
    <w:rsid w:val="7FE97C8B"/>
    <w:rsid w:val="7FF23672"/>
    <w:rsid w:val="7FFB4310"/>
    <w:rsid w:val="7FFC568D"/>
    <w:rsid w:val="7FFC56B8"/>
    <w:rsid w:val="7FFF50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qFormat="1"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等线" w:hAnsi="等线" w:eastAsia="等线" w:cs="Times New Roman"/>
      <w:kern w:val="2"/>
      <w:sz w:val="21"/>
      <w:szCs w:val="22"/>
      <w:lang w:val="en-US" w:eastAsia="zh-CN" w:bidi="ar-SA"/>
    </w:rPr>
  </w:style>
  <w:style w:type="paragraph" w:styleId="4">
    <w:name w:val="heading 2"/>
    <w:next w:val="1"/>
    <w:qFormat/>
    <w:uiPriority w:val="0"/>
    <w:pPr>
      <w:widowControl w:val="0"/>
      <w:wordWrap w:val="0"/>
      <w:spacing w:line="560" w:lineRule="exact"/>
      <w:ind w:firstLine="864" w:firstLineChars="200"/>
      <w:jc w:val="both"/>
      <w:outlineLvl w:val="1"/>
    </w:pPr>
    <w:rPr>
      <w:rFonts w:ascii="黑体" w:hAnsi="黑体" w:eastAsia="黑体" w:cs="黑体"/>
      <w:kern w:val="2"/>
      <w:sz w:val="32"/>
      <w:szCs w:val="32"/>
      <w:lang w:val="en-US" w:eastAsia="zh-CN" w:bidi="ar-SA"/>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customStyle="1" w:styleId="2">
    <w:name w:val="正文-公1"/>
    <w:basedOn w:val="3"/>
    <w:qFormat/>
    <w:uiPriority w:val="0"/>
    <w:pPr>
      <w:ind w:firstLine="200" w:firstLineChars="200"/>
    </w:pPr>
  </w:style>
  <w:style w:type="paragraph" w:customStyle="1" w:styleId="3">
    <w:name w:val="正文 New New New New New New New New New New New New New New New New New New New New New New New New New New New New New New New New New New New New New New New New New New New New New New New New New New New New New New New New New New New New New New Ne"/>
    <w:next w:val="2"/>
    <w:qFormat/>
    <w:uiPriority w:val="0"/>
    <w:pPr>
      <w:widowControl w:val="0"/>
      <w:jc w:val="both"/>
    </w:pPr>
    <w:rPr>
      <w:rFonts w:ascii="Times New Roman" w:hAnsi="Times New Roman" w:eastAsia="宋体" w:cs="Times New Roman"/>
      <w:kern w:val="2"/>
      <w:sz w:val="21"/>
      <w:lang w:val="en-US" w:eastAsia="zh-CN" w:bidi="ar-SA"/>
    </w:rPr>
  </w:style>
  <w:style w:type="paragraph" w:styleId="5">
    <w:name w:val="Body Text"/>
    <w:basedOn w:val="1"/>
    <w:semiHidden/>
    <w:unhideWhenUsed/>
    <w:qFormat/>
    <w:uiPriority w:val="99"/>
    <w:rPr>
      <w:rFonts w:eastAsia="仿宋_GB2312"/>
      <w:sz w:val="32"/>
    </w:rPr>
  </w:style>
  <w:style w:type="paragraph" w:styleId="6">
    <w:name w:val="footer"/>
    <w:basedOn w:val="1"/>
    <w:semiHidden/>
    <w:unhideWhenUsed/>
    <w:uiPriority w:val="99"/>
    <w:pPr>
      <w:tabs>
        <w:tab w:val="center" w:pos="4153"/>
        <w:tab w:val="right" w:pos="8306"/>
      </w:tabs>
      <w:snapToGrid w:val="0"/>
      <w:jc w:val="left"/>
    </w:pPr>
    <w:rPr>
      <w:sz w:val="18"/>
      <w:szCs w:val="18"/>
    </w:rPr>
  </w:style>
  <w:style w:type="paragraph" w:styleId="7">
    <w:name w:val="header"/>
    <w:basedOn w:val="1"/>
    <w:semiHidden/>
    <w:unhideWhenUsed/>
    <w:uiPriority w:val="99"/>
    <w:pPr>
      <w:pBdr>
        <w:bottom w:val="single" w:color="auto" w:sz="6" w:space="1"/>
      </w:pBdr>
      <w:tabs>
        <w:tab w:val="center" w:pos="4153"/>
        <w:tab w:val="right" w:pos="8306"/>
      </w:tabs>
      <w:snapToGrid w:val="0"/>
      <w:jc w:val="center"/>
    </w:pPr>
    <w:rPr>
      <w:sz w:val="18"/>
      <w:szCs w:val="18"/>
    </w:rPr>
  </w:style>
  <w:style w:type="paragraph" w:styleId="8">
    <w:name w:val="toc 1"/>
    <w:basedOn w:val="1"/>
    <w:next w:val="1"/>
    <w:semiHidden/>
    <w:unhideWhenUsed/>
    <w:uiPriority w:val="39"/>
  </w:style>
  <w:style w:type="paragraph" w:styleId="9">
    <w:name w:val="table of figures"/>
    <w:basedOn w:val="1"/>
    <w:next w:val="1"/>
    <w:semiHidden/>
    <w:unhideWhenUsed/>
    <w:qFormat/>
    <w:uiPriority w:val="99"/>
    <w:pPr>
      <w:ind w:left="200" w:leftChars="200" w:hanging="200" w:hangingChars="200"/>
    </w:pPr>
  </w:style>
  <w:style w:type="paragraph" w:styleId="10">
    <w:name w:val="toc 2"/>
    <w:basedOn w:val="1"/>
    <w:next w:val="1"/>
    <w:semiHidden/>
    <w:unhideWhenUsed/>
    <w:uiPriority w:val="39"/>
    <w:pPr>
      <w:ind w:left="420" w:leftChars="200"/>
    </w:pPr>
  </w:style>
  <w:style w:type="character" w:styleId="13">
    <w:name w:val="page number"/>
    <w:basedOn w:val="12"/>
    <w:semiHidden/>
    <w:unhideWhenUsed/>
    <w:qFormat/>
    <w:uiPriority w:val="99"/>
  </w:style>
  <w:style w:type="character" w:styleId="14">
    <w:name w:val="Hyperlink"/>
    <w:semiHidden/>
    <w:unhideWhenUsed/>
    <w:qFormat/>
    <w:uiPriority w:val="99"/>
    <w:rPr>
      <w:rFonts w:cs="Times New Roman"/>
      <w:color w:val="0563C1"/>
      <w:u w:val="single"/>
    </w:rPr>
  </w:style>
  <w:style w:type="paragraph" w:customStyle="1" w:styleId="15">
    <w:name w:val="无间隔1"/>
    <w:basedOn w:val="1"/>
    <w:qFormat/>
    <w:uiPriority w:val="1"/>
    <w:rPr>
      <w:szCs w:val="32"/>
    </w:rPr>
  </w:style>
  <w:style w:type="paragraph" w:customStyle="1" w:styleId="16">
    <w:name w:val="WPSOffice手动目录 1"/>
    <w:qFormat/>
    <w:uiPriority w:val="0"/>
    <w:pPr>
      <w:ind w:leftChars="0"/>
    </w:pPr>
    <w:rPr>
      <w:rFonts w:ascii="Times New Roman" w:hAnsi="Times New Roman" w:eastAsia="宋体" w:cs="Times New Roman"/>
      <w:sz w:val="20"/>
      <w:szCs w:val="20"/>
    </w:rPr>
  </w:style>
  <w:style w:type="paragraph" w:customStyle="1" w:styleId="17">
    <w:name w:val="WPSOffice手动目录 2"/>
    <w:qFormat/>
    <w:uiPriority w:val="0"/>
    <w:pPr>
      <w:ind w:leftChars="200"/>
    </w:pPr>
    <w:rPr>
      <w:rFonts w:ascii="Times New Roman" w:hAnsi="Times New Roman" w:eastAsia="宋体" w:cs="Times New Roman"/>
      <w:sz w:val="20"/>
      <w:szCs w:val="20"/>
    </w:rPr>
  </w:style>
  <w:style w:type="paragraph" w:customStyle="1" w:styleId="18">
    <w:name w:val="分类号"/>
    <w:basedOn w:val="1"/>
    <w:qFormat/>
    <w:uiPriority w:val="0"/>
    <w:rPr>
      <w:rFonts w:ascii="仿宋_GB2312" w:hAnsi="Times New Roman" w:eastAsia="仿宋_GB2312" w:cs="Times New Roman"/>
      <w:sz w:val="28"/>
      <w:szCs w:val="28"/>
    </w:rPr>
  </w:style>
  <w:style w:type="paragraph" w:customStyle="1" w:styleId="19">
    <w:name w:val="封面日期"/>
    <w:basedOn w:val="1"/>
    <w:qFormat/>
    <w:uiPriority w:val="0"/>
    <w:pPr>
      <w:jc w:val="center"/>
    </w:pPr>
    <w:rPr>
      <w:rFonts w:ascii="黑体" w:hAnsi="Times New Roman" w:eastAsia="黑体" w:cs="Times New Roman"/>
      <w:sz w:val="32"/>
      <w:szCs w:val="32"/>
    </w:rPr>
  </w:style>
  <w:style w:type="paragraph" w:customStyle="1" w:styleId="20">
    <w:name w:val="论文标题"/>
    <w:basedOn w:val="1"/>
    <w:qFormat/>
    <w:uiPriority w:val="0"/>
    <w:pPr>
      <w:jc w:val="center"/>
    </w:pPr>
    <w:rPr>
      <w:rFonts w:ascii="Times New Roman" w:hAnsi="Times New Roman" w:eastAsia="楷体_GB2312" w:cs="Times New Roman"/>
      <w:b/>
      <w:kern w:val="36"/>
      <w:sz w:val="52"/>
      <w:szCs w:val="52"/>
    </w:rPr>
  </w:style>
  <w:style w:type="paragraph" w:customStyle="1" w:styleId="21">
    <w:name w:val="硕士学位论文"/>
    <w:basedOn w:val="1"/>
    <w:qFormat/>
    <w:uiPriority w:val="0"/>
    <w:pPr>
      <w:spacing w:before="240"/>
      <w:jc w:val="center"/>
    </w:pPr>
    <w:rPr>
      <w:rFonts w:ascii="Times New Roman" w:hAnsi="Times New Roman" w:eastAsia="宋体" w:cs="Times New Roman"/>
      <w:sz w:val="44"/>
      <w:szCs w:val="44"/>
    </w:rPr>
  </w:style>
  <w:style w:type="paragraph" w:customStyle="1" w:styleId="22">
    <w:name w:val="研究生姓名"/>
    <w:basedOn w:val="1"/>
    <w:qFormat/>
    <w:uiPriority w:val="0"/>
    <w:pPr>
      <w:ind w:firstLine="700" w:firstLineChars="700"/>
    </w:pPr>
    <w:rPr>
      <w:rFonts w:ascii="Times New Roman" w:hAnsi="Times New Roman" w:eastAsia="宋体" w:cs="Times New Roman"/>
      <w:sz w:val="28"/>
      <w:szCs w:val="2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sectNamePr val="lengthwise1"/>
      <sectRole val="1"/>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20</Pages>
  <Words>27</Words>
  <Characters>160</Characters>
  <Lines>1</Lines>
  <Paragraphs>1</Paragraphs>
  <TotalTime>34</TotalTime>
  <ScaleCrop>false</ScaleCrop>
  <LinksUpToDate>false</LinksUpToDate>
  <CharactersWithSpaces>186</CharactersWithSpaces>
  <Application>WPS Office_12.8.2.18205_F1E327BC-269C-435d-A152-05C5408002CA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2019-12-26T09:26:00Z</dcterms:created>
  <dc:creator>xiaofei li</dc:creator>
  <cp:lastModifiedBy>110913-吴翠平</cp:lastModifiedBy>
  <cp:lastPrinted>2024-04-28T01:26:00Z</cp:lastPrinted>
  <dcterms:modified xsi:type="dcterms:W3CDTF">2025-04-30T12:15:36Z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2052-12.8.2.18205</vt:lpwstr>
  </property>
  <property fmtid="{D5CDD505-2E9C-101B-9397-08002B2CF9AE}" pid="3" name="ICV">
    <vt:lpwstr>C63B35CFD41746A98CA3EE75666FE481_13</vt:lpwstr>
  </property>
</Properties>
</file>