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贵州清镇农村商业银行股份有限公司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eastAsia="zh-CN"/>
        </w:rPr>
        <w:t>度</w:t>
      </w:r>
      <w:r>
        <w:rPr>
          <w:rFonts w:hint="default" w:ascii="Times New Roman" w:hAnsi="Times New Roman" w:eastAsia="方正小标宋简体" w:cs="Times New Roman"/>
          <w:sz w:val="44"/>
          <w:szCs w:val="44"/>
        </w:rPr>
        <w:t>环境信息披露报告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57" w:rightChars="-27"/>
        <w:jc w:val="center"/>
        <w:textAlignment w:val="auto"/>
        <w:rPr>
          <w:rFonts w:hint="default" w:ascii="Times New Roman" w:hAnsi="Times New Roman" w:eastAsia="仿宋_GB2312"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63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3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3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3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3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3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3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3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3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3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3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30"/>
        <w:textAlignment w:val="auto"/>
        <w:rPr>
          <w:rFonts w:hint="default" w:ascii="Times New Roman" w:hAnsi="Times New Roman" w:eastAsia="仿宋_GB2312" w:cs="Times New Roman"/>
          <w:sz w:val="32"/>
          <w:szCs w:val="32"/>
          <w:u w:val="thick"/>
        </w:rPr>
      </w:pPr>
    </w:p>
    <w:p>
      <w:pPr>
        <w:keepNext w:val="0"/>
        <w:keepLines w:val="0"/>
        <w:pageBreakBefore w:val="0"/>
        <w:widowControl w:val="0"/>
        <w:kinsoku/>
        <w:wordWrap/>
        <w:overflowPunct/>
        <w:topLinePunct w:val="0"/>
        <w:autoSpaceDE/>
        <w:autoSpaceDN/>
        <w:bidi w:val="0"/>
        <w:adjustRightInd/>
        <w:snapToGrid/>
        <w:spacing w:line="600" w:lineRule="exact"/>
        <w:ind w:right="63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30" w:firstLine="640" w:firstLineChars="200"/>
        <w:textAlignment w:val="auto"/>
        <w:rPr>
          <w:rFonts w:hint="default" w:ascii="Times New Roman" w:hAnsi="Times New Roman" w:eastAsia="仿宋_GB2312" w:cs="Times New Roman"/>
          <w:sz w:val="32"/>
          <w:szCs w:val="32"/>
          <w:u w:val="thick"/>
        </w:rPr>
      </w:pPr>
      <w:r>
        <w:rPr>
          <w:rFonts w:hint="default" w:ascii="Times New Roman" w:hAnsi="Times New Roman" w:eastAsia="仿宋_GB2312" w:cs="Times New Roman"/>
          <w:sz w:val="32"/>
          <w:szCs w:val="32"/>
        </w:rPr>
        <w:t>报告年度：</w:t>
      </w:r>
      <w:r>
        <w:rPr>
          <w:rFonts w:hint="default" w:ascii="Times New Roman" w:hAnsi="Times New Roman" w:eastAsia="仿宋_GB2312" w:cs="Times New Roman"/>
          <w:sz w:val="32"/>
          <w:szCs w:val="32"/>
          <w:lang w:val="en-US" w:eastAsia="zh-CN"/>
        </w:rPr>
        <w:t>2024年</w:t>
      </w:r>
    </w:p>
    <w:p>
      <w:pPr>
        <w:keepNext w:val="0"/>
        <w:keepLines w:val="0"/>
        <w:pageBreakBefore w:val="0"/>
        <w:widowControl w:val="0"/>
        <w:kinsoku/>
        <w:wordWrap/>
        <w:overflowPunct/>
        <w:topLinePunct w:val="0"/>
        <w:autoSpaceDE/>
        <w:autoSpaceDN/>
        <w:bidi w:val="0"/>
        <w:adjustRightInd/>
        <w:snapToGrid/>
        <w:spacing w:line="600" w:lineRule="exact"/>
        <w:ind w:right="63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编写单位：</w:t>
      </w:r>
      <w:r>
        <w:rPr>
          <w:rFonts w:hint="default" w:ascii="Times New Roman" w:hAnsi="Times New Roman" w:eastAsia="仿宋_GB2312" w:cs="Times New Roman"/>
          <w:sz w:val="32"/>
          <w:szCs w:val="32"/>
          <w:u w:val="single"/>
          <w:lang w:eastAsia="zh-CN"/>
        </w:rPr>
        <w:t>贵州清镇农村商业银行股份有限公司</w:t>
      </w:r>
    </w:p>
    <w:p>
      <w:pPr>
        <w:keepNext w:val="0"/>
        <w:keepLines w:val="0"/>
        <w:pageBreakBefore w:val="0"/>
        <w:widowControl w:val="0"/>
        <w:kinsoku/>
        <w:wordWrap/>
        <w:overflowPunct/>
        <w:topLinePunct w:val="0"/>
        <w:autoSpaceDE/>
        <w:autoSpaceDN/>
        <w:bidi w:val="0"/>
        <w:adjustRightInd/>
        <w:snapToGrid/>
        <w:spacing w:line="600" w:lineRule="exact"/>
        <w:ind w:right="630"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sz w:val="32"/>
          <w:szCs w:val="32"/>
        </w:rPr>
        <w:t>编制日期：</w:t>
      </w:r>
      <w:r>
        <w:rPr>
          <w:rFonts w:hint="default" w:ascii="Times New Roman" w:hAnsi="Times New Roman" w:eastAsia="仿宋_GB2312" w:cs="Times New Roman"/>
          <w:sz w:val="32"/>
          <w:szCs w:val="32"/>
          <w:lang w:val="en-US" w:eastAsia="zh-CN"/>
        </w:rPr>
        <w:t>2025年4月</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 xml:space="preserve">  一、基本情况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贵州清镇农村商业银行股份有限公司</w:t>
      </w:r>
      <w:r>
        <w:rPr>
          <w:rFonts w:hint="default" w:ascii="Times New Roman" w:hAnsi="Times New Roman" w:eastAsia="仿宋_GB2312" w:cs="Times New Roman"/>
          <w:bCs/>
          <w:sz w:val="32"/>
          <w:szCs w:val="32"/>
          <w:lang w:eastAsia="zh-CN"/>
        </w:rPr>
        <w:t>，简称清镇农商银行。注册地址：贵州省贵阳市清镇市青龙街道办事处云岭东路。</w:t>
      </w:r>
      <w:r>
        <w:rPr>
          <w:rFonts w:hint="default" w:ascii="Times New Roman" w:hAnsi="Times New Roman" w:eastAsia="仿宋_GB2312" w:cs="Times New Roman"/>
          <w:bCs/>
          <w:sz w:val="32"/>
          <w:szCs w:val="32"/>
          <w:lang w:val="en-US" w:eastAsia="zh-CN"/>
        </w:rPr>
        <w:t>法定代表人李伟，注册资本1.72亿元，统一社会信用代码：9152010074114225XT。</w:t>
      </w:r>
      <w:r>
        <w:rPr>
          <w:rFonts w:hint="default" w:ascii="Times New Roman" w:hAnsi="Times New Roman" w:eastAsia="仿宋_GB2312" w:cs="Times New Roman"/>
          <w:bCs/>
          <w:sz w:val="32"/>
          <w:szCs w:val="32"/>
          <w:lang w:eastAsia="zh-CN"/>
        </w:rPr>
        <w:t>在省联社的引领与管理下，清镇农商银行秉持服务当地、服务小微、服务“三农”的理念，聚焦主业、坚守定位。充分发挥“方便、快捷、灵活”的服务优势，按照标准化、专业化、精细化的现代商业银行经营管理标准，全方位推进各项业务的转型与发展。</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黑体"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黑体" w:cs="Times New Roman"/>
          <w:bCs/>
          <w:sz w:val="32"/>
          <w:szCs w:val="32"/>
          <w:lang w:val="en-US" w:eastAsia="zh-CN"/>
        </w:rPr>
        <w:t xml:space="preserve">   二、年度概况及绿色金融发展战略</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楷体_GB2312" w:cs="Times New Roman"/>
          <w:bCs/>
          <w:sz w:val="32"/>
          <w:szCs w:val="32"/>
          <w:lang w:val="en-US" w:eastAsia="zh-CN"/>
        </w:rPr>
        <w:t xml:space="preserve">  （一）年度概况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2024年，</w:t>
      </w:r>
      <w:r>
        <w:rPr>
          <w:rFonts w:hint="default" w:ascii="Times New Roman" w:hAnsi="Times New Roman" w:eastAsia="仿宋_GB2312" w:cs="Times New Roman"/>
          <w:bCs/>
          <w:sz w:val="32"/>
          <w:szCs w:val="32"/>
          <w:lang w:eastAsia="zh-CN"/>
        </w:rPr>
        <w:t>本行遵循“绿色普惠转型发展”战略，积极探索通过产品创新、服务创新、渠道创新等多种方式，持续推动运营管理和发展的绿色转型，不断提升绿色发展能力。按照《绿色贷款专项统计制度》的口径，截至</w:t>
      </w:r>
      <w:r>
        <w:rPr>
          <w:rFonts w:hint="default" w:ascii="Times New Roman" w:hAnsi="Times New Roman" w:eastAsia="仿宋_GB2312" w:cs="Times New Roman"/>
          <w:bCs/>
          <w:sz w:val="32"/>
          <w:szCs w:val="32"/>
          <w:lang w:val="en-US" w:eastAsia="zh-CN"/>
        </w:rPr>
        <w:t>2024年末，本行绿色贷款余额1067.43万元。</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楷体_GB2312" w:cs="Times New Roman"/>
          <w:bCs/>
          <w:sz w:val="32"/>
          <w:szCs w:val="32"/>
          <w:lang w:val="en-US" w:eastAsia="zh-CN"/>
        </w:rPr>
        <w:t>（二）绿色金融发展战略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2024年，本行持续</w:t>
      </w:r>
      <w:r>
        <w:rPr>
          <w:rFonts w:hint="default" w:ascii="Times New Roman" w:hAnsi="Times New Roman" w:eastAsia="仿宋_GB2312" w:cs="Times New Roman"/>
          <w:bCs/>
          <w:sz w:val="32"/>
          <w:szCs w:val="32"/>
        </w:rPr>
        <w:t>贯彻</w:t>
      </w:r>
      <w:r>
        <w:rPr>
          <w:rFonts w:hint="default" w:ascii="Times New Roman" w:hAnsi="Times New Roman" w:eastAsia="仿宋_GB2312" w:cs="Times New Roman"/>
          <w:bCs/>
          <w:sz w:val="32"/>
          <w:szCs w:val="32"/>
          <w:lang w:eastAsia="zh-CN"/>
        </w:rPr>
        <w:t>新发展理念，认真落实</w:t>
      </w:r>
      <w:r>
        <w:rPr>
          <w:rFonts w:hint="default" w:ascii="Times New Roman" w:hAnsi="Times New Roman" w:eastAsia="仿宋_GB2312" w:cs="Times New Roman"/>
          <w:bCs/>
          <w:sz w:val="32"/>
          <w:szCs w:val="32"/>
        </w:rPr>
        <w:t>《中共中央国务院关于加快推进生态文明建设的意见》和《生态文明体制改革总体方案》精神，</w:t>
      </w:r>
      <w:r>
        <w:rPr>
          <w:rFonts w:hint="default" w:ascii="Times New Roman" w:hAnsi="Times New Roman" w:eastAsia="仿宋_GB2312" w:cs="Times New Roman"/>
          <w:bCs/>
          <w:sz w:val="32"/>
          <w:szCs w:val="32"/>
          <w:lang w:eastAsia="zh-CN"/>
        </w:rPr>
        <w:t>以农村金融主力军、地方金融排头兵、普惠金融引领者的标准严格要求自身。聚焦“深耕本土，支农支小”的市场地位，坚守“发展普惠金融，服务千家万户”的初心与使命，不断深化绿色金融改革创新，促进绿色金融与普惠金融融合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三、环境及绿色金融相关治理结构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在习近平生态文明思想的指引下，</w:t>
      </w:r>
      <w:r>
        <w:rPr>
          <w:rFonts w:hint="default" w:ascii="Times New Roman" w:hAnsi="Times New Roman" w:eastAsia="仿宋_GB2312" w:cs="Times New Roman"/>
          <w:bCs/>
          <w:sz w:val="32"/>
          <w:szCs w:val="32"/>
          <w:lang w:eastAsia="zh-CN"/>
        </w:rPr>
        <w:t>本行</w:t>
      </w:r>
      <w:r>
        <w:rPr>
          <w:rFonts w:hint="default" w:ascii="Times New Roman" w:hAnsi="Times New Roman" w:eastAsia="仿宋_GB2312" w:cs="Times New Roman"/>
          <w:bCs/>
          <w:sz w:val="32"/>
          <w:szCs w:val="32"/>
        </w:rPr>
        <w:t>全面贯彻新发展理念，</w:t>
      </w:r>
      <w:r>
        <w:rPr>
          <w:rFonts w:hint="default" w:ascii="Times New Roman" w:hAnsi="Times New Roman" w:eastAsia="仿宋_GB2312" w:cs="Times New Roman"/>
          <w:bCs/>
          <w:sz w:val="32"/>
          <w:szCs w:val="32"/>
          <w:lang w:eastAsia="zh-CN"/>
        </w:rPr>
        <w:t>坚定</w:t>
      </w:r>
      <w:r>
        <w:rPr>
          <w:rFonts w:hint="default" w:ascii="Times New Roman" w:hAnsi="Times New Roman" w:eastAsia="仿宋_GB2312" w:cs="Times New Roman"/>
          <w:bCs/>
          <w:sz w:val="32"/>
          <w:szCs w:val="32"/>
        </w:rPr>
        <w:t>走生态优先</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绿色发展的乡村</w:t>
      </w:r>
      <w:r>
        <w:rPr>
          <w:rFonts w:hint="default" w:ascii="Times New Roman" w:hAnsi="Times New Roman" w:eastAsia="仿宋_GB2312" w:cs="Times New Roman"/>
          <w:bCs/>
          <w:sz w:val="32"/>
          <w:szCs w:val="32"/>
          <w:lang w:eastAsia="zh-CN"/>
        </w:rPr>
        <w:t>全面</w:t>
      </w:r>
      <w:r>
        <w:rPr>
          <w:rFonts w:hint="default" w:ascii="Times New Roman" w:hAnsi="Times New Roman" w:eastAsia="仿宋_GB2312" w:cs="Times New Roman"/>
          <w:bCs/>
          <w:sz w:val="32"/>
          <w:szCs w:val="32"/>
        </w:rPr>
        <w:t>振兴之路。积极推</w:t>
      </w:r>
      <w:r>
        <w:rPr>
          <w:rFonts w:hint="default" w:ascii="Times New Roman" w:hAnsi="Times New Roman" w:eastAsia="仿宋_GB2312" w:cs="Times New Roman"/>
          <w:bCs/>
          <w:sz w:val="32"/>
          <w:szCs w:val="32"/>
          <w:lang w:eastAsia="zh-CN"/>
        </w:rPr>
        <w:t>动</w:t>
      </w:r>
      <w:r>
        <w:rPr>
          <w:rFonts w:hint="default" w:ascii="Times New Roman" w:hAnsi="Times New Roman" w:eastAsia="仿宋_GB2312" w:cs="Times New Roman"/>
          <w:bCs/>
          <w:sz w:val="32"/>
          <w:szCs w:val="32"/>
        </w:rPr>
        <w:t>节约、环保、可持续发展等绿色金融理念与发展战略</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经营管理</w:t>
      </w:r>
      <w:r>
        <w:rPr>
          <w:rFonts w:hint="default" w:ascii="Times New Roman" w:hAnsi="Times New Roman" w:eastAsia="仿宋_GB2312" w:cs="Times New Roman"/>
          <w:bCs/>
          <w:sz w:val="32"/>
          <w:szCs w:val="32"/>
          <w:lang w:eastAsia="zh-CN"/>
        </w:rPr>
        <w:t>深度</w:t>
      </w:r>
      <w:r>
        <w:rPr>
          <w:rFonts w:hint="default" w:ascii="Times New Roman" w:hAnsi="Times New Roman" w:eastAsia="仿宋_GB2312" w:cs="Times New Roman"/>
          <w:bCs/>
          <w:sz w:val="32"/>
          <w:szCs w:val="32"/>
        </w:rPr>
        <w:t>融合，重点</w:t>
      </w:r>
      <w:r>
        <w:rPr>
          <w:rFonts w:hint="default" w:ascii="Times New Roman" w:hAnsi="Times New Roman" w:eastAsia="仿宋_GB2312" w:cs="Times New Roman"/>
          <w:bCs/>
          <w:sz w:val="32"/>
          <w:szCs w:val="32"/>
          <w:lang w:eastAsia="zh-CN"/>
        </w:rPr>
        <w:t>聚焦生态宜居美丽乡村建设，为乡村道路建设与改造、水电网建设等提供融合服务，大力支持农村地区发展，改善农村环境，深入推进绿色金融发展工作。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楷体_GB2312" w:cs="Times New Roman"/>
          <w:bCs/>
          <w:sz w:val="32"/>
          <w:szCs w:val="32"/>
          <w:lang w:val="en-US" w:eastAsia="zh-CN"/>
        </w:rPr>
        <w:t>（一）董事会层面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eastAsia="zh-CN"/>
        </w:rPr>
        <w:t>本行</w:t>
      </w:r>
      <w:r>
        <w:rPr>
          <w:rFonts w:hint="default" w:ascii="Times New Roman" w:hAnsi="Times New Roman" w:eastAsia="仿宋_GB2312" w:cs="Times New Roman"/>
          <w:bCs/>
          <w:sz w:val="32"/>
          <w:szCs w:val="32"/>
        </w:rPr>
        <w:t>董事会作为经营管理的最高决策机构，由7名董事组成，</w:t>
      </w:r>
      <w:r>
        <w:rPr>
          <w:rFonts w:hint="default" w:ascii="Times New Roman" w:hAnsi="Times New Roman" w:eastAsia="仿宋_GB2312" w:cs="Times New Roman"/>
          <w:bCs/>
          <w:sz w:val="32"/>
          <w:szCs w:val="32"/>
          <w:lang w:eastAsia="zh-CN"/>
        </w:rPr>
        <w:t>成员</w:t>
      </w:r>
      <w:r>
        <w:rPr>
          <w:rFonts w:hint="default" w:ascii="Times New Roman" w:hAnsi="Times New Roman" w:eastAsia="仿宋_GB2312" w:cs="Times New Roman"/>
          <w:bCs/>
          <w:sz w:val="32"/>
          <w:szCs w:val="32"/>
        </w:rPr>
        <w:t>具有较高的专业素养和良好信誉</w:t>
      </w:r>
      <w:r>
        <w:rPr>
          <w:rFonts w:hint="default" w:ascii="Times New Roman" w:hAnsi="Times New Roman" w:eastAsia="仿宋_GB2312" w:cs="Times New Roman"/>
          <w:bCs/>
          <w:sz w:val="32"/>
          <w:szCs w:val="32"/>
          <w:lang w:eastAsia="zh-CN"/>
        </w:rPr>
        <w:t>。董事会</w:t>
      </w:r>
      <w:r>
        <w:rPr>
          <w:rFonts w:hint="default" w:ascii="Times New Roman" w:hAnsi="Times New Roman" w:eastAsia="仿宋_GB2312" w:cs="Times New Roman"/>
          <w:bCs/>
          <w:sz w:val="32"/>
          <w:szCs w:val="32"/>
        </w:rPr>
        <w:t>在全行</w:t>
      </w:r>
      <w:r>
        <w:rPr>
          <w:rFonts w:hint="default" w:ascii="Times New Roman" w:hAnsi="Times New Roman" w:eastAsia="仿宋_GB2312" w:cs="Times New Roman"/>
          <w:bCs/>
          <w:sz w:val="32"/>
          <w:szCs w:val="32"/>
          <w:lang w:eastAsia="zh-CN"/>
        </w:rPr>
        <w:t>积极</w:t>
      </w:r>
      <w:r>
        <w:rPr>
          <w:rFonts w:hint="default" w:ascii="Times New Roman" w:hAnsi="Times New Roman" w:eastAsia="仿宋_GB2312" w:cs="Times New Roman"/>
          <w:bCs/>
          <w:sz w:val="32"/>
          <w:szCs w:val="32"/>
        </w:rPr>
        <w:t>树立并推行绿色发展理念，将绿色金融纳入长期发展战略规划</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全面监督、评估</w:t>
      </w:r>
      <w:r>
        <w:rPr>
          <w:rFonts w:hint="default" w:ascii="Times New Roman" w:hAnsi="Times New Roman" w:eastAsia="仿宋_GB2312" w:cs="Times New Roman"/>
          <w:bCs/>
          <w:sz w:val="32"/>
          <w:szCs w:val="32"/>
          <w:lang w:eastAsia="zh-CN"/>
        </w:rPr>
        <w:t>本行</w:t>
      </w:r>
      <w:r>
        <w:rPr>
          <w:rFonts w:hint="default" w:ascii="Times New Roman" w:hAnsi="Times New Roman" w:eastAsia="仿宋_GB2312" w:cs="Times New Roman"/>
          <w:bCs/>
          <w:sz w:val="32"/>
          <w:szCs w:val="32"/>
        </w:rPr>
        <w:t>绿色信贷发展战略</w:t>
      </w:r>
      <w:r>
        <w:rPr>
          <w:rFonts w:hint="default" w:ascii="Times New Roman" w:hAnsi="Times New Roman" w:eastAsia="仿宋_GB2312" w:cs="Times New Roman"/>
          <w:bCs/>
          <w:sz w:val="32"/>
          <w:szCs w:val="32"/>
          <w:lang w:eastAsia="zh-CN"/>
        </w:rPr>
        <w:t>的</w:t>
      </w:r>
      <w:r>
        <w:rPr>
          <w:rFonts w:hint="default" w:ascii="Times New Roman" w:hAnsi="Times New Roman" w:eastAsia="仿宋_GB2312" w:cs="Times New Roman"/>
          <w:bCs/>
          <w:sz w:val="32"/>
          <w:szCs w:val="32"/>
        </w:rPr>
        <w:t>执行情况，负责绿色金融战略</w:t>
      </w:r>
      <w:r>
        <w:rPr>
          <w:rFonts w:hint="default" w:ascii="Times New Roman" w:hAnsi="Times New Roman" w:eastAsia="仿宋_GB2312" w:cs="Times New Roman"/>
          <w:bCs/>
          <w:sz w:val="32"/>
          <w:szCs w:val="32"/>
          <w:lang w:val="en-US" w:eastAsia="zh-CN"/>
        </w:rPr>
        <w:t>的</w:t>
      </w:r>
      <w:r>
        <w:rPr>
          <w:rFonts w:hint="default" w:ascii="Times New Roman" w:hAnsi="Times New Roman" w:eastAsia="仿宋_GB2312" w:cs="Times New Roman"/>
          <w:bCs/>
          <w:sz w:val="32"/>
          <w:szCs w:val="32"/>
          <w:lang w:eastAsia="zh-CN"/>
        </w:rPr>
        <w:t>有效落实</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楷体_GB2312" w:cs="Times New Roman"/>
          <w:bCs/>
          <w:sz w:val="32"/>
          <w:szCs w:val="32"/>
          <w:lang w:val="en-US" w:eastAsia="zh-CN"/>
        </w:rPr>
        <w:t xml:space="preserve">   （二）管理层层面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高级管理层根据董事会决定，制定绿色信贷目标，建立相应机制和流程，</w:t>
      </w:r>
      <w:r>
        <w:rPr>
          <w:rFonts w:hint="default" w:ascii="Times New Roman" w:hAnsi="Times New Roman" w:eastAsia="仿宋_GB2312" w:cs="Times New Roman"/>
          <w:bCs/>
          <w:sz w:val="32"/>
          <w:szCs w:val="32"/>
        </w:rPr>
        <w:t>明确相关职责</w:t>
      </w:r>
      <w:r>
        <w:rPr>
          <w:rFonts w:hint="default" w:ascii="Times New Roman" w:hAnsi="Times New Roman" w:eastAsia="仿宋_GB2312" w:cs="Times New Roman"/>
          <w:bCs/>
          <w:sz w:val="32"/>
          <w:szCs w:val="32"/>
          <w:lang w:eastAsia="zh-CN"/>
        </w:rPr>
        <w:t>和权限</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负责督导绿色信贷战略的有效实施</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明确一名高管负责牵头绿色信贷工作，组织开展并归口管理绿色信贷各项工作，加快推进绿色、低碳、循环经济建设，加强环境管理。</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楷体_GB2312" w:cs="Times New Roman"/>
          <w:bCs/>
          <w:sz w:val="32"/>
          <w:szCs w:val="32"/>
          <w:lang w:val="en-US" w:eastAsia="zh-CN"/>
        </w:rPr>
        <w:t>（三）专业部门层面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本行</w:t>
      </w:r>
      <w:r>
        <w:rPr>
          <w:rFonts w:hint="default" w:ascii="Times New Roman" w:hAnsi="Times New Roman" w:eastAsia="仿宋_GB2312" w:cs="Times New Roman"/>
          <w:bCs/>
          <w:sz w:val="32"/>
          <w:szCs w:val="32"/>
        </w:rPr>
        <w:t>设立绿色金融服务部，</w:t>
      </w:r>
      <w:r>
        <w:rPr>
          <w:rFonts w:hint="default" w:ascii="Times New Roman" w:hAnsi="Times New Roman" w:eastAsia="仿宋_GB2312" w:cs="Times New Roman"/>
          <w:bCs/>
          <w:sz w:val="32"/>
          <w:szCs w:val="32"/>
          <w:lang w:eastAsia="zh-CN"/>
        </w:rPr>
        <w:t>主要负责收集绿色金融政策相关信息，贯彻落实相关绿色金融政策，并结合业务实际对政策执行提出合理化参考建议和可行性方案，完善绿色信贷相关业务管理制度，开发创新绿色信贷金融服务产品和方式，指导辖内网点开展绿色信贷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黑体" w:cs="Times New Roman"/>
          <w:bCs/>
          <w:sz w:val="32"/>
          <w:szCs w:val="32"/>
          <w:lang w:val="en-US" w:eastAsia="zh-CN"/>
        </w:rPr>
        <w:t xml:space="preserve"> 四、环境及绿色金融相关政策制度</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楷体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楷体_GB2312" w:cs="Times New Roman"/>
          <w:bCs/>
          <w:sz w:val="32"/>
          <w:szCs w:val="32"/>
          <w:lang w:val="en-US" w:eastAsia="zh-CN"/>
        </w:rPr>
        <w:t>（一）明确绿色信贷政策，支持绿色产业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结合当前国家宏观调控产业政策、行业的发展特点</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经营情况、行内业务战略</w:t>
      </w:r>
      <w:r>
        <w:rPr>
          <w:rFonts w:hint="default" w:ascii="Times New Roman" w:hAnsi="Times New Roman" w:eastAsia="仿宋_GB2312" w:cs="Times New Roman"/>
          <w:bCs/>
          <w:sz w:val="32"/>
          <w:szCs w:val="32"/>
          <w:lang w:eastAsia="zh-CN"/>
        </w:rPr>
        <w:t>以及</w:t>
      </w:r>
      <w:r>
        <w:rPr>
          <w:rFonts w:hint="default" w:ascii="Times New Roman" w:hAnsi="Times New Roman" w:eastAsia="仿宋_GB2312" w:cs="Times New Roman"/>
          <w:bCs/>
          <w:sz w:val="32"/>
          <w:szCs w:val="32"/>
        </w:rPr>
        <w:t>行业违约率等</w:t>
      </w:r>
      <w:r>
        <w:rPr>
          <w:rFonts w:hint="default" w:ascii="Times New Roman" w:hAnsi="Times New Roman" w:eastAsia="仿宋_GB2312" w:cs="Times New Roman"/>
          <w:bCs/>
          <w:sz w:val="32"/>
          <w:szCs w:val="32"/>
          <w:lang w:eastAsia="zh-CN"/>
        </w:rPr>
        <w:t>多种</w:t>
      </w:r>
      <w:r>
        <w:rPr>
          <w:rFonts w:hint="default" w:ascii="Times New Roman" w:hAnsi="Times New Roman" w:eastAsia="仿宋_GB2312" w:cs="Times New Roman"/>
          <w:bCs/>
          <w:sz w:val="32"/>
          <w:szCs w:val="32"/>
        </w:rPr>
        <w:t>因素，制定了《贵州清镇农村商业银行绿色信贷管理实施细则》</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严控</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两高一剩</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贷款</w:t>
      </w:r>
      <w:r>
        <w:rPr>
          <w:rFonts w:hint="default" w:ascii="Times New Roman" w:hAnsi="Times New Roman" w:eastAsia="仿宋_GB2312" w:cs="Times New Roman"/>
          <w:bCs/>
          <w:sz w:val="32"/>
          <w:szCs w:val="32"/>
          <w:lang w:eastAsia="zh-CN"/>
        </w:rPr>
        <w:t>以及对</w:t>
      </w:r>
      <w:r>
        <w:rPr>
          <w:rFonts w:hint="default" w:ascii="Times New Roman" w:hAnsi="Times New Roman" w:eastAsia="仿宋_GB2312" w:cs="Times New Roman"/>
          <w:bCs/>
          <w:sz w:val="32"/>
          <w:szCs w:val="32"/>
        </w:rPr>
        <w:t>环境、安全生产</w:t>
      </w:r>
      <w:r>
        <w:rPr>
          <w:rFonts w:hint="default" w:ascii="Times New Roman" w:hAnsi="Times New Roman" w:eastAsia="仿宋_GB2312" w:cs="Times New Roman"/>
          <w:bCs/>
          <w:sz w:val="32"/>
          <w:szCs w:val="32"/>
          <w:lang w:eastAsia="zh-CN"/>
        </w:rPr>
        <w:t>存在</w:t>
      </w:r>
      <w:r>
        <w:rPr>
          <w:rFonts w:hint="default" w:ascii="Times New Roman" w:hAnsi="Times New Roman" w:eastAsia="仿宋_GB2312" w:cs="Times New Roman"/>
          <w:bCs/>
          <w:sz w:val="32"/>
          <w:szCs w:val="32"/>
        </w:rPr>
        <w:t>违法违规</w:t>
      </w:r>
      <w:r>
        <w:rPr>
          <w:rFonts w:hint="default" w:ascii="Times New Roman" w:hAnsi="Times New Roman" w:eastAsia="仿宋_GB2312" w:cs="Times New Roman"/>
          <w:bCs/>
          <w:sz w:val="32"/>
          <w:szCs w:val="32"/>
          <w:lang w:eastAsia="zh-CN"/>
        </w:rPr>
        <w:t>问题的企业</w:t>
      </w:r>
      <w:r>
        <w:rPr>
          <w:rFonts w:hint="default" w:ascii="Times New Roman" w:hAnsi="Times New Roman" w:eastAsia="仿宋_GB2312" w:cs="Times New Roman"/>
          <w:bCs/>
          <w:sz w:val="32"/>
          <w:szCs w:val="32"/>
        </w:rPr>
        <w:t>贷款。严格遵守相关法律法规，重视企业管治，持续优化</w:t>
      </w:r>
      <w:r>
        <w:rPr>
          <w:rFonts w:hint="default" w:ascii="Times New Roman" w:hAnsi="Times New Roman" w:eastAsia="仿宋_GB2312" w:cs="Times New Roman"/>
          <w:bCs/>
          <w:sz w:val="32"/>
          <w:szCs w:val="32"/>
          <w:lang w:eastAsia="zh-CN"/>
        </w:rPr>
        <w:t>本行</w:t>
      </w:r>
      <w:r>
        <w:rPr>
          <w:rFonts w:hint="default" w:ascii="Times New Roman" w:hAnsi="Times New Roman" w:eastAsia="仿宋_GB2312" w:cs="Times New Roman"/>
          <w:bCs/>
          <w:sz w:val="32"/>
          <w:szCs w:val="32"/>
        </w:rPr>
        <w:t>治理水平，推动内部环境与社会风险准入、退出机制建设</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积极</w:t>
      </w:r>
      <w:r>
        <w:rPr>
          <w:rFonts w:hint="default" w:ascii="Times New Roman" w:hAnsi="Times New Roman" w:eastAsia="仿宋_GB2312" w:cs="Times New Roman"/>
          <w:bCs/>
          <w:sz w:val="32"/>
          <w:szCs w:val="32"/>
          <w:lang w:eastAsia="zh-CN"/>
        </w:rPr>
        <w:t>发挥</w:t>
      </w:r>
      <w:r>
        <w:rPr>
          <w:rFonts w:hint="default" w:ascii="Times New Roman" w:hAnsi="Times New Roman" w:eastAsia="仿宋_GB2312" w:cs="Times New Roman"/>
          <w:bCs/>
          <w:sz w:val="32"/>
          <w:szCs w:val="32"/>
        </w:rPr>
        <w:t>地方法人金融机构排头兵作用，助力绿色经济发展</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按照人民银行发布的绿色金融标准、省联社下发的绿色信贷管理指引，加大对</w:t>
      </w:r>
      <w:r>
        <w:rPr>
          <w:rFonts w:hint="default" w:ascii="Times New Roman" w:hAnsi="Times New Roman" w:eastAsia="仿宋_GB2312" w:cs="Times New Roman"/>
          <w:bCs/>
          <w:sz w:val="32"/>
          <w:szCs w:val="32"/>
          <w:lang w:eastAsia="zh-CN"/>
        </w:rPr>
        <w:t>乡村全面振兴</w:t>
      </w:r>
      <w:r>
        <w:rPr>
          <w:rFonts w:hint="default" w:ascii="Times New Roman" w:hAnsi="Times New Roman" w:eastAsia="仿宋_GB2312" w:cs="Times New Roman"/>
          <w:bCs/>
          <w:sz w:val="32"/>
          <w:szCs w:val="32"/>
        </w:rPr>
        <w:t>重点领域的金融支持，全面</w:t>
      </w:r>
      <w:r>
        <w:rPr>
          <w:rFonts w:hint="default" w:ascii="Times New Roman" w:hAnsi="Times New Roman" w:eastAsia="仿宋_GB2312" w:cs="Times New Roman"/>
          <w:bCs/>
          <w:sz w:val="32"/>
          <w:szCs w:val="32"/>
          <w:lang w:eastAsia="zh-CN"/>
        </w:rPr>
        <w:t>推动</w:t>
      </w:r>
      <w:r>
        <w:rPr>
          <w:rFonts w:hint="default" w:ascii="Times New Roman" w:hAnsi="Times New Roman" w:eastAsia="仿宋_GB2312" w:cs="Times New Roman"/>
          <w:bCs/>
          <w:sz w:val="32"/>
          <w:szCs w:val="32"/>
        </w:rPr>
        <w:t>绿色资源转化为绿色发展动能。</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楷体_GB2312" w:cs="Times New Roman"/>
          <w:bCs/>
          <w:sz w:val="32"/>
          <w:szCs w:val="32"/>
          <w:lang w:val="en-US" w:eastAsia="zh-CN"/>
        </w:rPr>
      </w:pPr>
      <w:r>
        <w:rPr>
          <w:rFonts w:hint="default" w:ascii="Times New Roman" w:hAnsi="Times New Roman" w:eastAsia="楷体_GB2312" w:cs="Times New Roman"/>
          <w:bCs/>
          <w:sz w:val="32"/>
          <w:szCs w:val="32"/>
          <w:lang w:val="en-US" w:eastAsia="zh-CN"/>
        </w:rPr>
        <w:t xml:space="preserve">    （二）明确细分行业授信政策，实施差异化管理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以国标行业分类标准为基础，</w:t>
      </w:r>
      <w:r>
        <w:rPr>
          <w:rFonts w:hint="default" w:ascii="Times New Roman" w:hAnsi="Times New Roman" w:eastAsia="仿宋_GB2312" w:cs="Times New Roman"/>
          <w:bCs/>
          <w:sz w:val="32"/>
          <w:szCs w:val="32"/>
          <w:lang w:eastAsia="zh-CN"/>
        </w:rPr>
        <w:t>本行对</w:t>
      </w:r>
      <w:r>
        <w:rPr>
          <w:rFonts w:hint="default" w:ascii="Times New Roman" w:hAnsi="Times New Roman" w:eastAsia="仿宋_GB2312" w:cs="Times New Roman"/>
          <w:bCs/>
          <w:sz w:val="32"/>
          <w:szCs w:val="32"/>
        </w:rPr>
        <w:t>主要行业类别进行分类，</w:t>
      </w:r>
      <w:r>
        <w:rPr>
          <w:rFonts w:hint="default" w:ascii="Times New Roman" w:hAnsi="Times New Roman" w:eastAsia="仿宋_GB2312" w:cs="Times New Roman"/>
          <w:bCs/>
          <w:sz w:val="32"/>
          <w:szCs w:val="32"/>
          <w:lang w:eastAsia="zh-CN"/>
        </w:rPr>
        <w:t>并</w:t>
      </w:r>
      <w:r>
        <w:rPr>
          <w:rFonts w:hint="default" w:ascii="Times New Roman" w:hAnsi="Times New Roman" w:eastAsia="仿宋_GB2312" w:cs="Times New Roman"/>
          <w:bCs/>
          <w:sz w:val="32"/>
          <w:szCs w:val="32"/>
        </w:rPr>
        <w:t>实行差异化的信贷政策。其中，对于节能减排、治污环保、特许经营等行业</w:t>
      </w:r>
      <w:r>
        <w:rPr>
          <w:rFonts w:hint="default" w:ascii="Times New Roman" w:hAnsi="Times New Roman" w:eastAsia="仿宋_GB2312" w:cs="Times New Roman"/>
          <w:bCs/>
          <w:sz w:val="32"/>
          <w:szCs w:val="32"/>
          <w:lang w:val="en-US" w:eastAsia="zh-CN"/>
        </w:rPr>
        <w:t>给</w:t>
      </w:r>
      <w:r>
        <w:rPr>
          <w:rFonts w:hint="default" w:ascii="Times New Roman" w:hAnsi="Times New Roman" w:eastAsia="仿宋_GB2312" w:cs="Times New Roman"/>
          <w:bCs/>
          <w:sz w:val="32"/>
          <w:szCs w:val="32"/>
        </w:rPr>
        <w:t>与企业重点支持</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对</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两高一剩</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行业严格控制或压退</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对环保不达标、产能落后的企业进行限制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严禁对不符合国家产业政策规定、市场准入标准、达不到国家环评和排放要求的项目和企业新增授信。</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 xml:space="preserve">    五、环境风险管理及机遇</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楷体_GB2312" w:cs="Times New Roman"/>
          <w:bCs/>
          <w:sz w:val="32"/>
          <w:szCs w:val="32"/>
          <w:lang w:val="en-US" w:eastAsia="zh-CN"/>
        </w:rPr>
        <w:t xml:space="preserve"> （一）全面尽调，识别分类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本行</w:t>
      </w:r>
      <w:r>
        <w:rPr>
          <w:rFonts w:hint="default" w:ascii="Times New Roman" w:hAnsi="Times New Roman" w:eastAsia="仿宋_GB2312" w:cs="Times New Roman"/>
          <w:bCs/>
          <w:sz w:val="32"/>
          <w:szCs w:val="32"/>
        </w:rPr>
        <w:t>对各项业务展开充分尽职调查，</w:t>
      </w:r>
      <w:r>
        <w:rPr>
          <w:rFonts w:hint="default" w:ascii="Times New Roman" w:hAnsi="Times New Roman" w:eastAsia="仿宋_GB2312" w:cs="Times New Roman"/>
          <w:bCs/>
          <w:sz w:val="32"/>
          <w:szCs w:val="32"/>
          <w:lang w:eastAsia="zh-CN"/>
        </w:rPr>
        <w:t>其中涵盖</w:t>
      </w:r>
      <w:r>
        <w:rPr>
          <w:rFonts w:hint="default" w:ascii="Times New Roman" w:hAnsi="Times New Roman" w:eastAsia="仿宋_GB2312" w:cs="Times New Roman"/>
          <w:bCs/>
          <w:sz w:val="32"/>
          <w:szCs w:val="32"/>
        </w:rPr>
        <w:t>环境和社会风险尽职调查工作。通过对客户申请及资格初审、贷前资料收集及风险要点分析等操作环节</w:t>
      </w:r>
      <w:r>
        <w:rPr>
          <w:rFonts w:hint="default" w:ascii="Times New Roman" w:hAnsi="Times New Roman" w:eastAsia="仿宋_GB2312" w:cs="Times New Roman"/>
          <w:bCs/>
          <w:sz w:val="32"/>
          <w:szCs w:val="32"/>
          <w:lang w:val="en-US" w:eastAsia="zh-CN"/>
        </w:rPr>
        <w:t>进行</w:t>
      </w:r>
      <w:r>
        <w:rPr>
          <w:rFonts w:hint="default" w:ascii="Times New Roman" w:hAnsi="Times New Roman" w:eastAsia="仿宋_GB2312" w:cs="Times New Roman"/>
          <w:bCs/>
          <w:sz w:val="32"/>
          <w:szCs w:val="32"/>
        </w:rPr>
        <w:t>把控</w:t>
      </w:r>
      <w:r>
        <w:rPr>
          <w:rFonts w:hint="default" w:ascii="Times New Roman" w:hAnsi="Times New Roman" w:eastAsia="仿宋_GB2312" w:cs="Times New Roman"/>
          <w:bCs/>
          <w:sz w:val="32"/>
          <w:szCs w:val="32"/>
          <w:lang w:eastAsia="zh-CN"/>
        </w:rPr>
        <w:t>。对于</w:t>
      </w:r>
      <w:r>
        <w:rPr>
          <w:rFonts w:hint="default" w:ascii="Times New Roman" w:hAnsi="Times New Roman" w:eastAsia="仿宋_GB2312" w:cs="Times New Roman"/>
          <w:bCs/>
          <w:sz w:val="32"/>
          <w:szCs w:val="32"/>
        </w:rPr>
        <w:t>生产型企业</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重点关注其污染物排放、废弃物处理、能源消耗设施运行、职业健康等方面情况。对违反环保政策，可能对环境造成重大不利影响的客户和项目实行一票否决。在同等条件下，优先审批用于支持绿色、低碳、循环经济的授信申请。</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楷体_GB2312" w:cs="Times New Roman"/>
          <w:bCs/>
          <w:sz w:val="32"/>
          <w:szCs w:val="32"/>
          <w:lang w:val="en-US" w:eastAsia="zh-CN"/>
        </w:rPr>
        <w:t>（二）气候与环境的相关风险及应对措施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转型风险：</w:t>
      </w:r>
      <w:r>
        <w:rPr>
          <w:rFonts w:hint="default" w:ascii="Times New Roman" w:hAnsi="Times New Roman" w:eastAsia="仿宋_GB2312" w:cs="Times New Roman"/>
          <w:bCs/>
          <w:sz w:val="32"/>
          <w:szCs w:val="32"/>
        </w:rPr>
        <w:t>在碳达峰、碳中和目标下，随着国家产业政策的调整和绿色生产生活方式的推广，绿色转型已成为传统产业发展的必然趋势。部分企业正在逐渐步入绿色转型升级中，</w:t>
      </w:r>
      <w:r>
        <w:rPr>
          <w:rFonts w:hint="default" w:ascii="Times New Roman" w:hAnsi="Times New Roman" w:eastAsia="仿宋_GB2312" w:cs="Times New Roman"/>
          <w:bCs/>
          <w:sz w:val="32"/>
          <w:szCs w:val="32"/>
          <w:lang w:eastAsia="zh-CN"/>
        </w:rPr>
        <w:t>但</w:t>
      </w:r>
      <w:r>
        <w:rPr>
          <w:rFonts w:hint="default" w:ascii="Times New Roman" w:hAnsi="Times New Roman" w:eastAsia="仿宋_GB2312" w:cs="Times New Roman"/>
          <w:bCs/>
          <w:sz w:val="32"/>
          <w:szCs w:val="32"/>
        </w:rPr>
        <w:t xml:space="preserve">绿色发展预估成本过高、绿色发展意识不足、绿色发展能力较弱、绿色发展预期收益不明显是制约企业绿色转型发展的重要因素。未能成功转型的市场主体在未来的产品竞争中将处于相对劣势，其面临的转型风险将会传到相关同业。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物理风险：</w:t>
      </w:r>
      <w:r>
        <w:rPr>
          <w:rFonts w:hint="default" w:ascii="Times New Roman" w:hAnsi="Times New Roman" w:eastAsia="仿宋_GB2312" w:cs="Times New Roman"/>
          <w:bCs/>
          <w:sz w:val="32"/>
          <w:szCs w:val="32"/>
        </w:rPr>
        <w:t>根据相关研究成果，贵州</w:t>
      </w:r>
      <w:r>
        <w:rPr>
          <w:rFonts w:hint="default" w:ascii="Times New Roman" w:hAnsi="Times New Roman" w:eastAsia="仿宋_GB2312" w:cs="Times New Roman"/>
          <w:bCs/>
          <w:sz w:val="32"/>
          <w:szCs w:val="32"/>
          <w:lang w:val="en-US" w:eastAsia="zh-CN"/>
        </w:rPr>
        <w:t>喀斯特</w:t>
      </w:r>
      <w:r>
        <w:rPr>
          <w:rFonts w:hint="default" w:ascii="Times New Roman" w:hAnsi="Times New Roman" w:eastAsia="仿宋_GB2312" w:cs="Times New Roman"/>
          <w:bCs/>
          <w:sz w:val="32"/>
          <w:szCs w:val="32"/>
        </w:rPr>
        <w:t>地区地表植被生长及光合作用效率受全球气温升高影响较大，土地石漠化风险较高。随着全球</w:t>
      </w:r>
      <w:r>
        <w:rPr>
          <w:rFonts w:hint="default" w:ascii="Times New Roman" w:hAnsi="Times New Roman" w:eastAsia="仿宋_GB2312" w:cs="Times New Roman"/>
          <w:bCs/>
          <w:sz w:val="32"/>
          <w:szCs w:val="32"/>
          <w:lang w:eastAsia="zh-CN"/>
        </w:rPr>
        <w:t>气温升高影响较大，土地石漠化风险较高。气候变暖，</w:t>
      </w:r>
      <w:r>
        <w:rPr>
          <w:rFonts w:hint="default" w:ascii="Times New Roman" w:hAnsi="Times New Roman" w:eastAsia="仿宋_GB2312" w:cs="Times New Roman"/>
          <w:bCs/>
          <w:sz w:val="32"/>
          <w:szCs w:val="32"/>
        </w:rPr>
        <w:t>冰雹、强降雨等极端天气增多，</w:t>
      </w:r>
      <w:r>
        <w:rPr>
          <w:rFonts w:hint="default" w:ascii="Times New Roman" w:hAnsi="Times New Roman" w:eastAsia="仿宋_GB2312" w:cs="Times New Roman"/>
          <w:bCs/>
          <w:sz w:val="32"/>
          <w:szCs w:val="32"/>
          <w:lang w:eastAsia="zh-CN"/>
        </w:rPr>
        <w:t>这将导致</w:t>
      </w:r>
      <w:r>
        <w:rPr>
          <w:rFonts w:hint="default" w:ascii="Times New Roman" w:hAnsi="Times New Roman" w:eastAsia="仿宋_GB2312" w:cs="Times New Roman"/>
          <w:bCs/>
          <w:sz w:val="32"/>
          <w:szCs w:val="32"/>
        </w:rPr>
        <w:t>农作物减产</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农业生产主体收入下降，进而影响农业生产主体的还款能力。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
          <w:bCs w:val="0"/>
          <w:sz w:val="32"/>
          <w:szCs w:val="32"/>
        </w:rPr>
        <w:t>应对措施：</w:t>
      </w:r>
      <w:r>
        <w:rPr>
          <w:rFonts w:hint="default" w:ascii="Times New Roman" w:hAnsi="Times New Roman" w:eastAsia="仿宋_GB2312" w:cs="Times New Roman"/>
          <w:b w:val="0"/>
          <w:bCs/>
          <w:sz w:val="32"/>
          <w:szCs w:val="32"/>
        </w:rPr>
        <w:t>一是</w:t>
      </w:r>
      <w:r>
        <w:rPr>
          <w:rFonts w:hint="default" w:ascii="Times New Roman" w:hAnsi="Times New Roman" w:eastAsia="仿宋_GB2312" w:cs="Times New Roman"/>
          <w:bCs/>
          <w:sz w:val="32"/>
          <w:szCs w:val="32"/>
        </w:rPr>
        <w:t>持续关注国家及贵州省环境相关政策变化情况，不断健全</w:t>
      </w:r>
      <w:r>
        <w:rPr>
          <w:rFonts w:hint="default" w:ascii="Times New Roman" w:hAnsi="Times New Roman" w:eastAsia="仿宋_GB2312" w:cs="Times New Roman"/>
          <w:bCs/>
          <w:sz w:val="32"/>
          <w:szCs w:val="32"/>
          <w:lang w:eastAsia="zh-CN"/>
        </w:rPr>
        <w:t>本行</w:t>
      </w:r>
      <w:r>
        <w:rPr>
          <w:rFonts w:hint="default" w:ascii="Times New Roman" w:hAnsi="Times New Roman" w:eastAsia="仿宋_GB2312" w:cs="Times New Roman"/>
          <w:bCs/>
          <w:sz w:val="32"/>
          <w:szCs w:val="32"/>
        </w:rPr>
        <w:t>绿色金融制度体系，引导企业加快绿色转型发展，</w:t>
      </w:r>
      <w:r>
        <w:rPr>
          <w:rFonts w:hint="default" w:ascii="Times New Roman" w:hAnsi="Times New Roman" w:eastAsia="仿宋_GB2312" w:cs="Times New Roman"/>
          <w:bCs/>
          <w:sz w:val="32"/>
          <w:szCs w:val="32"/>
          <w:lang w:eastAsia="zh-CN"/>
        </w:rPr>
        <w:t>树立良好的可持续发展形象；</w:t>
      </w:r>
      <w:r>
        <w:rPr>
          <w:rFonts w:hint="default" w:ascii="Times New Roman" w:hAnsi="Times New Roman" w:eastAsia="仿宋_GB2312" w:cs="Times New Roman"/>
          <w:b w:val="0"/>
          <w:bCs/>
          <w:sz w:val="32"/>
          <w:szCs w:val="32"/>
        </w:rPr>
        <w:t>二是</w:t>
      </w:r>
      <w:r>
        <w:rPr>
          <w:rFonts w:hint="default" w:ascii="Times New Roman" w:hAnsi="Times New Roman" w:eastAsia="仿宋_GB2312" w:cs="Times New Roman"/>
          <w:bCs/>
          <w:sz w:val="32"/>
          <w:szCs w:val="32"/>
        </w:rPr>
        <w:t>全面推动绿色普惠金融发展，创新绿色普惠金融产品与服务，支持和引导广大普惠群体形成绿色生产生活方式</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 w:val="0"/>
          <w:bCs/>
          <w:sz w:val="32"/>
          <w:szCs w:val="32"/>
        </w:rPr>
        <w:t>三是</w:t>
      </w:r>
      <w:r>
        <w:rPr>
          <w:rFonts w:hint="default" w:ascii="Times New Roman" w:hAnsi="Times New Roman" w:eastAsia="仿宋_GB2312" w:cs="Times New Roman"/>
          <w:bCs/>
          <w:sz w:val="32"/>
          <w:szCs w:val="32"/>
        </w:rPr>
        <w:t>持续完善气候与环境风险管理机制，强化气候与环境风险分析，积极开展气候与环境风险压力测试，帮助企业提高气候与环境风险管理能力，帮助市场主体主动应对气候与环境变化带来的影响。</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楷体_GB2312" w:cs="Times New Roman"/>
          <w:bCs/>
          <w:sz w:val="32"/>
          <w:szCs w:val="32"/>
          <w:lang w:val="en-US" w:eastAsia="zh-CN"/>
        </w:rPr>
      </w:pPr>
      <w:r>
        <w:rPr>
          <w:rFonts w:hint="default" w:ascii="Times New Roman" w:hAnsi="Times New Roman" w:eastAsia="楷体_GB2312" w:cs="Times New Roman"/>
          <w:bCs/>
          <w:sz w:val="32"/>
          <w:szCs w:val="32"/>
          <w:lang w:val="en-US" w:eastAsia="zh-CN"/>
        </w:rPr>
        <w:t xml:space="preserve">    （三）绿色发展方面的机遇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eastAsia="zh-CN"/>
        </w:rPr>
        <w:t>中央金融会议提出的五篇</w:t>
      </w:r>
      <w:r>
        <w:rPr>
          <w:rFonts w:hint="default" w:ascii="Times New Roman" w:hAnsi="Times New Roman" w:eastAsia="仿宋_GB2312" w:cs="Times New Roman"/>
          <w:bCs/>
          <w:sz w:val="32"/>
          <w:szCs w:val="32"/>
          <w:lang w:val="en-US" w:eastAsia="zh-CN"/>
        </w:rPr>
        <w:t>大</w:t>
      </w:r>
      <w:r>
        <w:rPr>
          <w:rFonts w:hint="default" w:ascii="Times New Roman" w:hAnsi="Times New Roman" w:eastAsia="仿宋_GB2312" w:cs="Times New Roman"/>
          <w:bCs/>
          <w:sz w:val="32"/>
          <w:szCs w:val="32"/>
          <w:lang w:eastAsia="zh-CN"/>
        </w:rPr>
        <w:t>文章，发展绿色普惠金融，是本行立足自身实际，贯彻落实新发展理念，加快绿色低碳产业</w:t>
      </w:r>
      <w:r>
        <w:rPr>
          <w:rFonts w:hint="default" w:ascii="Times New Roman" w:hAnsi="Times New Roman" w:eastAsia="仿宋_GB2312" w:cs="Times New Roman"/>
          <w:bCs/>
          <w:sz w:val="32"/>
          <w:szCs w:val="32"/>
          <w:lang w:val="en-US" w:eastAsia="zh-CN"/>
        </w:rPr>
        <w:t>发展</w:t>
      </w:r>
      <w:r>
        <w:rPr>
          <w:rFonts w:hint="default" w:ascii="Times New Roman" w:hAnsi="Times New Roman" w:eastAsia="仿宋_GB2312" w:cs="Times New Roman"/>
          <w:bCs/>
          <w:sz w:val="32"/>
          <w:szCs w:val="32"/>
          <w:lang w:eastAsia="zh-CN"/>
        </w:rPr>
        <w:t>，实施可持续发展战略，发展绿色低碳产业，倡导绿色消费，推动形成绿色低碳的生产方式和生活方式，是本行在党和国家大方针政策的要求下。主动适应社会经济新变化要求、积极履行社会责任的有力举措。在服务转型方面，随着碳达峰、碳中和相关政策的持续推进，将为本行拓展绿色金融业务提供新的机遇，有利于本行发挥金融支持绿色发展的功能，以配置引导产业结构、能源结构向绿色低碳转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outlineLvl w:val="9"/>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六、经营活动的环境影响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楷体_GB2312" w:cs="Times New Roman"/>
          <w:bCs/>
          <w:sz w:val="32"/>
          <w:szCs w:val="32"/>
          <w:lang w:val="en-US" w:eastAsia="zh-CN"/>
        </w:rPr>
        <w:t>（一）经营活动产生的自然资源消耗和温室气体排放</w:t>
      </w:r>
      <w:r>
        <w:rPr>
          <w:rFonts w:hint="default" w:ascii="Times New Roman" w:hAnsi="Times New Roman" w:eastAsia="楷体_GB2312" w:cs="Times New Roman"/>
          <w:bCs/>
          <w:sz w:val="32"/>
          <w:szCs w:val="32"/>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b w:val="0"/>
          <w:bCs/>
          <w:lang w:val="en-US" w:eastAsia="zh-CN"/>
        </w:rPr>
      </w:pPr>
      <w:r>
        <w:rPr>
          <w:rFonts w:hint="default" w:ascii="Times New Roman" w:hAnsi="Times New Roman" w:eastAsia="仿宋_GB2312" w:cs="Times New Roman"/>
          <w:b w:val="0"/>
          <w:bCs/>
          <w:sz w:val="32"/>
          <w:szCs w:val="32"/>
          <w:lang w:val="en-US" w:eastAsia="zh-CN"/>
        </w:rPr>
        <w:t>2024年度经营活动产生的</w:t>
      </w:r>
      <w:r>
        <w:rPr>
          <w:rFonts w:hint="eastAsia" w:ascii="Times New Roman" w:hAnsi="Times New Roman" w:eastAsia="仿宋_GB2312" w:cs="Times New Roman"/>
          <w:b w:val="0"/>
          <w:bCs/>
          <w:sz w:val="32"/>
          <w:szCs w:val="32"/>
          <w:lang w:val="en-US" w:eastAsia="zh-CN"/>
        </w:rPr>
        <w:t>自然资源消耗</w:t>
      </w:r>
      <w:bookmarkStart w:id="0" w:name="_GoBack"/>
      <w:bookmarkEnd w:id="0"/>
    </w:p>
    <w:tbl>
      <w:tblPr>
        <w:tblStyle w:val="11"/>
        <w:tblpPr w:leftFromText="180" w:rightFromText="180" w:vertAnchor="text" w:horzAnchor="page" w:tblpX="1457" w:tblpY="535"/>
        <w:tblOverlap w:val="never"/>
        <w:tblW w:w="93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78"/>
        <w:gridCol w:w="2245"/>
        <w:gridCol w:w="1295"/>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6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指标</w:t>
            </w:r>
          </w:p>
        </w:tc>
        <w:tc>
          <w:tcPr>
            <w:tcW w:w="12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单位</w:t>
            </w:r>
          </w:p>
        </w:tc>
        <w:tc>
          <w:tcPr>
            <w:tcW w:w="14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2024</w:t>
            </w:r>
            <w:r>
              <w:rPr>
                <w:rFonts w:hint="default" w:ascii="Times New Roman" w:hAnsi="Times New Roman" w:eastAsia="仿宋_GB2312" w:cs="Times New Roman"/>
                <w:b/>
                <w:i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trPr>
        <w:tc>
          <w:tcPr>
            <w:tcW w:w="4378"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经营活动产生的直接自然资源消耗</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公车用汽油</w:t>
            </w:r>
          </w:p>
        </w:tc>
        <w:tc>
          <w:tcPr>
            <w:tcW w:w="12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升</w:t>
            </w:r>
          </w:p>
        </w:tc>
        <w:tc>
          <w:tcPr>
            <w:tcW w:w="14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3785.16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4378"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color w:val="000000"/>
                <w:sz w:val="28"/>
                <w:szCs w:val="28"/>
                <w:u w:val="none"/>
              </w:rPr>
            </w:pP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公车用柴油</w:t>
            </w:r>
          </w:p>
        </w:tc>
        <w:tc>
          <w:tcPr>
            <w:tcW w:w="12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升</w:t>
            </w:r>
          </w:p>
        </w:tc>
        <w:tc>
          <w:tcPr>
            <w:tcW w:w="14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4378"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经营活动产生的间接自然资源消耗</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外购电力</w:t>
            </w:r>
          </w:p>
        </w:tc>
        <w:tc>
          <w:tcPr>
            <w:tcW w:w="12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千瓦时</w:t>
            </w:r>
          </w:p>
        </w:tc>
        <w:tc>
          <w:tcPr>
            <w:tcW w:w="14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1853211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4378"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color w:val="000000"/>
                <w:sz w:val="28"/>
                <w:szCs w:val="28"/>
                <w:u w:val="none"/>
              </w:rPr>
            </w:pP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办公用水消耗</w:t>
            </w:r>
          </w:p>
        </w:tc>
        <w:tc>
          <w:tcPr>
            <w:tcW w:w="12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吨</w:t>
            </w:r>
          </w:p>
        </w:tc>
        <w:tc>
          <w:tcPr>
            <w:tcW w:w="14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16761.8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6" w:hRule="atLeast"/>
        </w:trPr>
        <w:tc>
          <w:tcPr>
            <w:tcW w:w="4378"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i w:val="0"/>
                <w:color w:val="000000"/>
                <w:sz w:val="28"/>
                <w:szCs w:val="28"/>
                <w:u w:val="none"/>
              </w:rPr>
            </w:pP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办公用纸消耗量</w:t>
            </w:r>
          </w:p>
        </w:tc>
        <w:tc>
          <w:tcPr>
            <w:tcW w:w="12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张</w:t>
            </w:r>
          </w:p>
        </w:tc>
        <w:tc>
          <w:tcPr>
            <w:tcW w:w="14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2645400</w:t>
            </w:r>
          </w:p>
        </w:tc>
      </w:tr>
    </w:tbl>
    <w:p>
      <w:pPr>
        <w:pStyle w:val="10"/>
        <w:keepNext w:val="0"/>
        <w:keepLines w:val="0"/>
        <w:pageBreakBefore w:val="0"/>
        <w:kinsoku/>
        <w:wordWrap/>
        <w:overflowPunct/>
        <w:topLinePunct w:val="0"/>
        <w:autoSpaceDE/>
        <w:autoSpaceDN/>
        <w:bidi w:val="0"/>
        <w:adjustRightInd/>
        <w:snapToGrid/>
        <w:spacing w:line="600" w:lineRule="exact"/>
        <w:ind w:left="0" w:leftChars="0" w:firstLine="0" w:firstLineChars="0"/>
        <w:jc w:val="both"/>
        <w:rPr>
          <w:rFonts w:hint="default" w:ascii="Times New Roman" w:hAnsi="Times New Roman" w:eastAsia="仿宋_GB2312" w:cs="Times New Roman"/>
          <w:sz w:val="32"/>
          <w:szCs w:val="32"/>
          <w:lang w:val="en-US" w:eastAsia="zh-CN"/>
        </w:rPr>
      </w:pPr>
    </w:p>
    <w:tbl>
      <w:tblPr>
        <w:tblStyle w:val="11"/>
        <w:tblpPr w:leftFromText="180" w:rightFromText="180" w:vertAnchor="text" w:horzAnchor="page" w:tblpX="1562" w:tblpY="666"/>
        <w:tblOverlap w:val="never"/>
        <w:tblW w:w="93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10"/>
        <w:gridCol w:w="3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561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温室气体排放范围</w:t>
            </w:r>
          </w:p>
        </w:tc>
        <w:tc>
          <w:tcPr>
            <w:tcW w:w="3709"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温室气体排放量</w:t>
            </w:r>
            <w:r>
              <w:rPr>
                <w:rFonts w:hint="default" w:ascii="Times New Roman" w:hAnsi="Times New Roman" w:eastAsia="宋体" w:cs="Times New Roman"/>
                <w:b/>
                <w:i w:val="0"/>
                <w:color w:val="000000"/>
                <w:kern w:val="0"/>
                <w:sz w:val="28"/>
                <w:szCs w:val="28"/>
                <w:u w:val="none"/>
                <w:lang w:val="en-US" w:eastAsia="zh-CN" w:bidi="ar"/>
              </w:rPr>
              <w:br w:type="textWrapping"/>
            </w:r>
            <w:r>
              <w:rPr>
                <w:rFonts w:hint="default" w:ascii="Times New Roman" w:hAnsi="Times New Roman" w:eastAsia="宋体" w:cs="Times New Roman"/>
                <w:b/>
                <w:i w:val="0"/>
                <w:color w:val="000000"/>
                <w:kern w:val="0"/>
                <w:sz w:val="28"/>
                <w:szCs w:val="28"/>
                <w:u w:val="none"/>
                <w:lang w:val="en-US" w:eastAsia="zh-CN" w:bidi="ar"/>
              </w:rPr>
              <w:t>(吨二氧化碳当量）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561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b/>
                <w:i w:val="0"/>
                <w:color w:val="000000"/>
                <w:sz w:val="28"/>
                <w:szCs w:val="28"/>
                <w:u w:val="none"/>
              </w:rPr>
            </w:pPr>
          </w:p>
        </w:tc>
        <w:tc>
          <w:tcPr>
            <w:tcW w:w="3709"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宋体" w:cs="Times New Roman"/>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56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范围1</w:t>
            </w:r>
            <w:r>
              <w:rPr>
                <w:rFonts w:hint="default" w:ascii="Times New Roman" w:hAnsi="Times New Roman" w:eastAsia="仿宋_GB2312" w:cs="Times New Roman"/>
                <w:b/>
                <w:i w:val="0"/>
                <w:color w:val="000000"/>
                <w:kern w:val="0"/>
                <w:sz w:val="28"/>
                <w:szCs w:val="28"/>
                <w:u w:val="none"/>
                <w:lang w:val="en-US" w:eastAsia="zh-CN" w:bidi="ar"/>
              </w:rPr>
              <w:t>：直接温室气体排放量</w:t>
            </w:r>
          </w:p>
        </w:tc>
        <w:tc>
          <w:tcPr>
            <w:tcW w:w="37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56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其中：汽油产生的温室气体排放量</w:t>
            </w:r>
          </w:p>
        </w:tc>
        <w:tc>
          <w:tcPr>
            <w:tcW w:w="37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56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柴油产生的温室气体排放量</w:t>
            </w:r>
          </w:p>
        </w:tc>
        <w:tc>
          <w:tcPr>
            <w:tcW w:w="37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56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范围2</w:t>
            </w:r>
            <w:r>
              <w:rPr>
                <w:rFonts w:hint="default" w:ascii="Times New Roman" w:hAnsi="Times New Roman" w:eastAsia="仿宋_GB2312" w:cs="Times New Roman"/>
                <w:b/>
                <w:i w:val="0"/>
                <w:color w:val="000000"/>
                <w:kern w:val="0"/>
                <w:sz w:val="28"/>
                <w:szCs w:val="28"/>
                <w:u w:val="none"/>
                <w:lang w:val="en-US" w:eastAsia="zh-CN" w:bidi="ar"/>
              </w:rPr>
              <w:t>：间接温室气体排放量</w:t>
            </w:r>
          </w:p>
        </w:tc>
        <w:tc>
          <w:tcPr>
            <w:tcW w:w="37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917.15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56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其中：电力产生的温室气体排放量</w:t>
            </w:r>
          </w:p>
        </w:tc>
        <w:tc>
          <w:tcPr>
            <w:tcW w:w="37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917.15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56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温室气体排放总量（范围1+2</w:t>
            </w:r>
            <w:r>
              <w:rPr>
                <w:rFonts w:hint="default" w:ascii="Times New Roman" w:hAnsi="Times New Roman" w:eastAsia="仿宋_GB2312" w:cs="Times New Roman"/>
                <w:b/>
                <w:i w:val="0"/>
                <w:color w:val="000000"/>
                <w:kern w:val="0"/>
                <w:sz w:val="28"/>
                <w:szCs w:val="28"/>
                <w:u w:val="none"/>
                <w:lang w:val="en-US" w:eastAsia="zh-CN" w:bidi="ar"/>
              </w:rPr>
              <w:t>）</w:t>
            </w:r>
          </w:p>
        </w:tc>
        <w:tc>
          <w:tcPr>
            <w:tcW w:w="37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925.38</w:t>
            </w:r>
          </w:p>
        </w:tc>
      </w:tr>
    </w:tbl>
    <w:p>
      <w:pPr>
        <w:pStyle w:val="10"/>
        <w:keepNext w:val="0"/>
        <w:keepLines w:val="0"/>
        <w:pageBreakBefore w:val="0"/>
        <w:kinsoku/>
        <w:wordWrap/>
        <w:overflowPunct/>
        <w:topLinePunct w:val="0"/>
        <w:autoSpaceDE/>
        <w:autoSpaceDN/>
        <w:bidi w:val="0"/>
        <w:adjustRightInd/>
        <w:snapToGrid/>
        <w:spacing w:line="600" w:lineRule="exact"/>
        <w:ind w:left="0" w:leftChars="0" w:firstLine="0" w:firstLineChars="0"/>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lang w:val="en-US" w:eastAsia="zh-CN"/>
        </w:rPr>
        <w:t>2024</w:t>
      </w:r>
      <w:r>
        <w:rPr>
          <w:rFonts w:hint="default" w:ascii="Times New Roman" w:hAnsi="Times New Roman" w:eastAsia="仿宋_GB2312" w:cs="Times New Roman"/>
          <w:sz w:val="32"/>
          <w:szCs w:val="32"/>
          <w:lang w:val="en-US" w:eastAsia="zh-CN"/>
        </w:rPr>
        <w:t>年度经营活动产生的温室气体排放</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（二）经营活动温室气体统计口径与测算方法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行基于</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年经营活动消耗的各类能源总量和相应的二氧化碳排放系数对经营活动中，直接或间接产生的温室气体排放量以及减排量进行测算。测算依据为《绿色信贷节能减排量测算指引》，基本公式如下：</w:t>
      </w:r>
    </w:p>
    <w:tbl>
      <w:tblPr>
        <w:tblStyle w:val="12"/>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720" w:type="dxa"/>
            <w:vAlign w:val="center"/>
          </w:tcPr>
          <w:p>
            <w:pPr>
              <w:keepNext w:val="0"/>
              <w:keepLines w:val="0"/>
              <w:pageBreakBefore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kern w:val="0"/>
                <w:sz w:val="32"/>
                <w:szCs w:val="32"/>
              </w:rPr>
            </w:pPr>
            <m:oMathPara>
              <m:oMath>
                <m:sSub>
                  <m:sSubPr>
                    <m:ctrlPr>
                      <w:rPr>
                        <w:rFonts w:hint="default" w:ascii="Cambria Math" w:hAnsi="Cambria Math" w:eastAsia="仿宋_GB2312" w:cs="Times New Roman"/>
                        <w:kern w:val="0"/>
                        <w:sz w:val="24"/>
                        <w:szCs w:val="24"/>
                      </w:rPr>
                    </m:ctrlPr>
                  </m:sSubPr>
                  <m:e>
                    <m:r>
                      <w:rPr>
                        <w:rFonts w:hint="default" w:ascii="Cambria Math" w:hAnsi="Cambria Math" w:eastAsia="仿宋_GB2312" w:cs="Times New Roman"/>
                        <w:kern w:val="0"/>
                        <w:sz w:val="24"/>
                        <w:szCs w:val="24"/>
                      </w:rPr>
                      <m:t>CO</m:t>
                    </m:r>
                    <m:ctrlPr>
                      <w:rPr>
                        <w:rFonts w:hint="default" w:ascii="Cambria Math" w:hAnsi="Cambria Math" w:eastAsia="仿宋_GB2312" w:cs="Times New Roman"/>
                        <w:kern w:val="0"/>
                        <w:sz w:val="24"/>
                        <w:szCs w:val="24"/>
                      </w:rPr>
                    </m:ctrlPr>
                  </m:e>
                  <m:sub>
                    <m:r>
                      <w:rPr>
                        <w:rFonts w:hint="default" w:ascii="Cambria Math" w:hAnsi="Cambria Math" w:eastAsia="仿宋_GB2312" w:cs="Times New Roman"/>
                        <w:kern w:val="0"/>
                        <w:sz w:val="24"/>
                        <w:szCs w:val="24"/>
                      </w:rPr>
                      <m:t>2</m:t>
                    </m:r>
                    <m:ctrlPr>
                      <w:rPr>
                        <w:rFonts w:hint="default" w:ascii="Cambria Math" w:hAnsi="Cambria Math" w:eastAsia="仿宋_GB2312" w:cs="Times New Roman"/>
                        <w:kern w:val="0"/>
                        <w:sz w:val="24"/>
                        <w:szCs w:val="24"/>
                      </w:rPr>
                    </m:ctrlPr>
                  </m:sub>
                </m:sSub>
                <m:r>
                  <w:rPr>
                    <w:rFonts w:hint="default" w:ascii="Cambria Math" w:hAnsi="Cambria Math" w:eastAsia="仿宋_GB2312" w:cs="Times New Roman"/>
                    <w:kern w:val="0"/>
                    <w:sz w:val="24"/>
                    <w:szCs w:val="24"/>
                  </w:rPr>
                  <m:t>=</m:t>
                </m:r>
                <m:nary>
                  <m:naryPr>
                    <m:chr m:val="∑"/>
                    <m:limLoc m:val="undOvr"/>
                    <m:ctrlPr>
                      <w:rPr>
                        <w:rFonts w:hint="default" w:ascii="Cambria Math" w:hAnsi="Cambria Math" w:eastAsia="仿宋_GB2312" w:cs="Times New Roman"/>
                        <w:i/>
                        <w:kern w:val="0"/>
                        <w:sz w:val="24"/>
                        <w:szCs w:val="24"/>
                      </w:rPr>
                    </m:ctrlPr>
                  </m:naryPr>
                  <m:sub>
                    <m:r>
                      <w:rPr>
                        <w:rFonts w:hint="default" w:ascii="Cambria Math" w:hAnsi="Cambria Math" w:eastAsia="仿宋_GB2312" w:cs="Times New Roman"/>
                        <w:kern w:val="0"/>
                        <w:sz w:val="24"/>
                        <w:szCs w:val="24"/>
                      </w:rPr>
                      <m:t>1</m:t>
                    </m:r>
                    <m:ctrlPr>
                      <w:rPr>
                        <w:rFonts w:hint="default" w:ascii="Cambria Math" w:hAnsi="Cambria Math" w:eastAsia="仿宋_GB2312" w:cs="Times New Roman"/>
                        <w:i/>
                        <w:kern w:val="0"/>
                        <w:sz w:val="24"/>
                        <w:szCs w:val="24"/>
                      </w:rPr>
                    </m:ctrlPr>
                  </m:sub>
                  <m:sup>
                    <m:r>
                      <w:rPr>
                        <w:rFonts w:hint="default" w:ascii="Cambria Math" w:hAnsi="Cambria Math" w:eastAsia="仿宋_GB2312" w:cs="Times New Roman"/>
                        <w:kern w:val="0"/>
                        <w:sz w:val="24"/>
                        <w:szCs w:val="24"/>
                      </w:rPr>
                      <m:t>n</m:t>
                    </m:r>
                    <m:ctrlPr>
                      <w:rPr>
                        <w:rFonts w:hint="default" w:ascii="Cambria Math" w:hAnsi="Cambria Math" w:eastAsia="仿宋_GB2312" w:cs="Times New Roman"/>
                        <w:i/>
                        <w:kern w:val="0"/>
                        <w:sz w:val="24"/>
                        <w:szCs w:val="24"/>
                      </w:rPr>
                    </m:ctrlPr>
                  </m:sup>
                  <m:e>
                    <m:sSub>
                      <m:sSubPr>
                        <m:ctrlPr>
                          <w:rPr>
                            <w:rFonts w:hint="default" w:ascii="Cambria Math" w:hAnsi="Cambria Math" w:eastAsia="仿宋_GB2312" w:cs="Times New Roman"/>
                            <w:i/>
                            <w:kern w:val="0"/>
                            <w:sz w:val="24"/>
                            <w:szCs w:val="24"/>
                          </w:rPr>
                        </m:ctrlPr>
                      </m:sSubPr>
                      <m:e>
                        <m:r>
                          <w:rPr>
                            <w:rFonts w:hint="default" w:ascii="Cambria Math" w:hAnsi="Cambria Math" w:eastAsia="仿宋_GB2312" w:cs="Times New Roman"/>
                            <w:kern w:val="0"/>
                            <w:sz w:val="24"/>
                            <w:szCs w:val="24"/>
                          </w:rPr>
                          <m:t>E</m:t>
                        </m:r>
                        <m:ctrlPr>
                          <w:rPr>
                            <w:rFonts w:hint="default" w:ascii="Cambria Math" w:hAnsi="Cambria Math" w:eastAsia="仿宋_GB2312" w:cs="Times New Roman"/>
                            <w:i/>
                            <w:kern w:val="0"/>
                            <w:sz w:val="24"/>
                            <w:szCs w:val="24"/>
                          </w:rPr>
                        </m:ctrlPr>
                      </m:e>
                      <m:sub>
                        <m:r>
                          <w:rPr>
                            <w:rFonts w:hint="default" w:ascii="Cambria Math" w:hAnsi="Cambria Math" w:eastAsia="仿宋_GB2312" w:cs="Times New Roman"/>
                            <w:kern w:val="0"/>
                            <w:sz w:val="24"/>
                            <w:szCs w:val="24"/>
                          </w:rPr>
                          <m:t>i</m:t>
                        </m:r>
                        <m:ctrlPr>
                          <w:rPr>
                            <w:rFonts w:hint="default" w:ascii="Cambria Math" w:hAnsi="Cambria Math" w:eastAsia="仿宋_GB2312" w:cs="Times New Roman"/>
                            <w:i/>
                            <w:kern w:val="0"/>
                            <w:sz w:val="24"/>
                            <w:szCs w:val="24"/>
                          </w:rPr>
                        </m:ctrlPr>
                      </m:sub>
                    </m:sSub>
                    <m:r>
                      <w:rPr>
                        <w:rFonts w:hint="default" w:ascii="Cambria Math" w:hAnsi="Cambria Math" w:eastAsia="仿宋_GB2312" w:cs="Times New Roman"/>
                        <w:kern w:val="0"/>
                        <w:sz w:val="24"/>
                        <w:szCs w:val="24"/>
                      </w:rPr>
                      <m:t>×</m:t>
                    </m:r>
                    <m:sSub>
                      <m:sSubPr>
                        <m:ctrlPr>
                          <w:rPr>
                            <w:rFonts w:hint="default" w:ascii="Cambria Math" w:hAnsi="Cambria Math" w:eastAsia="仿宋_GB2312" w:cs="Times New Roman"/>
                            <w:i/>
                            <w:kern w:val="0"/>
                            <w:sz w:val="24"/>
                            <w:szCs w:val="24"/>
                          </w:rPr>
                        </m:ctrlPr>
                      </m:sSubPr>
                      <m:e>
                        <m:r>
                          <w:rPr>
                            <w:rFonts w:hint="default" w:ascii="Cambria Math" w:hAnsi="Cambria Math" w:eastAsia="仿宋_GB2312" w:cs="Times New Roman"/>
                            <w:kern w:val="0"/>
                            <w:sz w:val="24"/>
                            <w:szCs w:val="24"/>
                          </w:rPr>
                          <m:t>α</m:t>
                        </m:r>
                        <m:ctrlPr>
                          <w:rPr>
                            <w:rFonts w:hint="default" w:ascii="Cambria Math" w:hAnsi="Cambria Math" w:eastAsia="仿宋_GB2312" w:cs="Times New Roman"/>
                            <w:i/>
                            <w:kern w:val="0"/>
                            <w:sz w:val="24"/>
                            <w:szCs w:val="24"/>
                          </w:rPr>
                        </m:ctrlPr>
                      </m:e>
                      <m:sub>
                        <m:r>
                          <w:rPr>
                            <w:rFonts w:hint="default" w:ascii="Cambria Math" w:hAnsi="Cambria Math" w:eastAsia="仿宋_GB2312" w:cs="Times New Roman"/>
                            <w:kern w:val="0"/>
                            <w:sz w:val="24"/>
                            <w:szCs w:val="24"/>
                          </w:rPr>
                          <m:t>i</m:t>
                        </m:r>
                        <m:ctrlPr>
                          <w:rPr>
                            <w:rFonts w:hint="default" w:ascii="Cambria Math" w:hAnsi="Cambria Math" w:eastAsia="仿宋_GB2312" w:cs="Times New Roman"/>
                            <w:i/>
                            <w:kern w:val="0"/>
                            <w:sz w:val="24"/>
                            <w:szCs w:val="24"/>
                          </w:rPr>
                        </m:ctrlPr>
                      </m:sub>
                    </m:sSub>
                    <m:ctrlPr>
                      <w:rPr>
                        <w:rFonts w:hint="default" w:ascii="Cambria Math" w:hAnsi="Cambria Math" w:eastAsia="仿宋_GB2312" w:cs="Times New Roman"/>
                        <w:i/>
                        <w:kern w:val="0"/>
                        <w:sz w:val="24"/>
                        <w:szCs w:val="24"/>
                      </w:rPr>
                    </m:ctrlPr>
                  </m:e>
                </m:nary>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4" w:hRule="atLeast"/>
        </w:trPr>
        <w:tc>
          <w:tcPr>
            <w:tcW w:w="8720" w:type="dxa"/>
          </w:tcPr>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注：该公式为基本公式，二氧化碳排放应按照具体能源消费品种分别计算。</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CO</w:t>
            </w:r>
            <w:r>
              <w:rPr>
                <w:rFonts w:hint="default" w:ascii="Times New Roman" w:hAnsi="Times New Roman" w:eastAsia="仿宋_GB2312" w:cs="Times New Roman"/>
                <w:kern w:val="0"/>
                <w:sz w:val="32"/>
                <w:szCs w:val="32"/>
                <w:vertAlign w:val="subscript"/>
              </w:rPr>
              <w:t>2</w:t>
            </w:r>
            <w:r>
              <w:rPr>
                <w:rFonts w:hint="default" w:ascii="Times New Roman" w:hAnsi="Times New Roman" w:eastAsia="仿宋_GB2312" w:cs="Times New Roman"/>
                <w:kern w:val="0"/>
                <w:sz w:val="32"/>
                <w:szCs w:val="32"/>
              </w:rPr>
              <w:t>：项目二氧化碳排放量，单位：吨二氧化碳；</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E</w:t>
            </w:r>
            <w:r>
              <w:rPr>
                <w:rFonts w:hint="default" w:ascii="Times New Roman" w:hAnsi="Times New Roman" w:eastAsia="仿宋_GB2312" w:cs="Times New Roman"/>
                <w:kern w:val="0"/>
                <w:sz w:val="32"/>
                <w:szCs w:val="32"/>
                <w:vertAlign w:val="subscript"/>
              </w:rPr>
              <w:t>i</w:t>
            </w:r>
            <w:r>
              <w:rPr>
                <w:rFonts w:hint="default" w:ascii="Times New Roman" w:hAnsi="Times New Roman" w:eastAsia="仿宋_GB2312" w:cs="Times New Roman"/>
                <w:kern w:val="0"/>
                <w:sz w:val="32"/>
                <w:szCs w:val="32"/>
              </w:rPr>
              <w:t>：项目某能源消费品种的使用量，单位：吨（或万千瓦时或立方米等）；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α</w:t>
            </w:r>
            <w:r>
              <w:rPr>
                <w:rFonts w:hint="default" w:ascii="Times New Roman" w:hAnsi="Times New Roman" w:eastAsia="仿宋_GB2312" w:cs="Times New Roman"/>
                <w:kern w:val="0"/>
                <w:sz w:val="32"/>
                <w:szCs w:val="32"/>
                <w:vertAlign w:val="subscript"/>
              </w:rPr>
              <w:t>i</w:t>
            </w:r>
            <w:r>
              <w:rPr>
                <w:rFonts w:hint="default" w:ascii="Times New Roman" w:hAnsi="Times New Roman" w:eastAsia="仿宋_GB2312" w:cs="Times New Roman"/>
                <w:kern w:val="0"/>
                <w:sz w:val="32"/>
                <w:szCs w:val="32"/>
              </w:rPr>
              <w:t>：项目消费能源品种的二氧化碳排放系数，单位为千克二氧化碳/千克（或立方米）。</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楷体_GB2312" w:cs="Times New Roman"/>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lang w:val="en-US" w:eastAsia="zh-CN"/>
        </w:rPr>
        <w:t>（三）推行绿色办公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color w:val="auto"/>
          <w:sz w:val="32"/>
          <w:szCs w:val="32"/>
          <w:lang w:eastAsia="zh-CN"/>
        </w:rPr>
        <w:t>本行</w:t>
      </w:r>
      <w:r>
        <w:rPr>
          <w:rFonts w:hint="default" w:ascii="Times New Roman" w:hAnsi="Times New Roman" w:eastAsia="仿宋_GB2312" w:cs="Times New Roman"/>
          <w:color w:val="auto"/>
          <w:sz w:val="32"/>
          <w:szCs w:val="32"/>
        </w:rPr>
        <w:t>积极推行绿色</w:t>
      </w:r>
      <w:r>
        <w:rPr>
          <w:rFonts w:hint="default" w:ascii="Times New Roman" w:hAnsi="Times New Roman" w:eastAsia="仿宋_GB2312" w:cs="Times New Roman"/>
          <w:color w:val="auto"/>
          <w:sz w:val="32"/>
          <w:szCs w:val="32"/>
          <w:lang w:eastAsia="zh-CN"/>
        </w:rPr>
        <w:t>办公，对行内员工倡导绿色理念，切实履行社会责任，践行绿色、可持续发展，每年定期清理全行固定资产和低值易耗品，确保循环利用，减少新增；全行自觉做到节约用水、节约用电、节约粮食三个节约，不断强化节约意识；网点设置自动柜员机、</w:t>
      </w:r>
      <w:r>
        <w:rPr>
          <w:rFonts w:hint="default" w:ascii="Times New Roman" w:hAnsi="Times New Roman" w:eastAsia="仿宋_GB2312" w:cs="Times New Roman"/>
          <w:color w:val="auto"/>
          <w:sz w:val="32"/>
          <w:szCs w:val="32"/>
          <w:highlight w:val="none"/>
        </w:rPr>
        <w:t>行政村建立“村村通</w:t>
      </w:r>
      <w:r>
        <w:rPr>
          <w:rFonts w:hint="default" w:ascii="Times New Roman" w:hAnsi="Times New Roman" w:eastAsia="仿宋_GB2312" w:cs="Times New Roman"/>
          <w:color w:val="auto"/>
          <w:sz w:val="32"/>
          <w:szCs w:val="32"/>
          <w:highlight w:val="none"/>
          <w:lang w:eastAsia="zh-CN"/>
        </w:rPr>
        <w:t>”助农取款点，积极发挥职能</w:t>
      </w:r>
      <w:r>
        <w:rPr>
          <w:rFonts w:hint="default" w:ascii="Times New Roman" w:hAnsi="Times New Roman" w:eastAsia="仿宋_GB2312" w:cs="Times New Roman"/>
          <w:color w:val="auto"/>
          <w:sz w:val="32"/>
          <w:szCs w:val="32"/>
          <w:highlight w:val="none"/>
          <w:lang w:val="en-US" w:eastAsia="zh-CN"/>
        </w:rPr>
        <w:t>提供</w:t>
      </w:r>
      <w:r>
        <w:rPr>
          <w:rFonts w:hint="default" w:ascii="Times New Roman" w:hAnsi="Times New Roman" w:eastAsia="仿宋_GB2312" w:cs="Times New Roman"/>
          <w:color w:val="auto"/>
          <w:sz w:val="32"/>
          <w:szCs w:val="32"/>
          <w:highlight w:val="none"/>
          <w:lang w:eastAsia="zh-CN"/>
        </w:rPr>
        <w:t>金融服务，降低人力成本；向客户推广并倡导线上金融服务，如使用黔农云手机银行、网上银行进行转账，利用贵州农信业务通小程序进行信贷业务申请、合同文本的电子化签署等，降低客户交通成本和总行运营成本，从而实现节能减排；推行无纸化业务流程，提供电子凭证，节约用纸</w:t>
      </w:r>
      <w:r>
        <w:rPr>
          <w:rFonts w:hint="default" w:ascii="Times New Roman" w:hAnsi="Times New Roman" w:eastAsia="仿宋_GB2312" w:cs="Times New Roman"/>
          <w:color w:val="auto"/>
          <w:sz w:val="32"/>
          <w:szCs w:val="32"/>
          <w:lang w:eastAsia="zh-CN"/>
        </w:rPr>
        <w:t>；倡导食堂“光盘行动”在食堂张贴节约粮食等主题海报，倡议员工践行“光盘行动”，弘扬勤俭节约美德。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bCs/>
          <w:kern w:val="2"/>
          <w:sz w:val="32"/>
          <w:szCs w:val="32"/>
          <w:highlight w:val="none"/>
          <w:lang w:val="en-US" w:eastAsia="zh-CN" w:bidi="ar-SA"/>
        </w:rPr>
        <w:t>七、投融资活动的环境影响</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lang w:val="en-US" w:eastAsia="zh-CN"/>
        </w:rPr>
        <w:t>清镇农商银行多年来始终坚持“立足县域、支农支小”，主要金融业务始终围绕涉农、小微、普惠等开展</w:t>
      </w:r>
      <w:r>
        <w:rPr>
          <w:rFonts w:hint="default" w:ascii="Times New Roman" w:hAnsi="Times New Roman" w:eastAsia="仿宋_GB2312" w:cs="Times New Roman"/>
          <w:bCs/>
          <w:sz w:val="32"/>
          <w:szCs w:val="32"/>
          <w:highlight w:val="none"/>
          <w:lang w:val="en-US" w:eastAsia="zh-CN"/>
        </w:rPr>
        <w:t>，暂</w:t>
      </w:r>
      <w:r>
        <w:rPr>
          <w:rFonts w:hint="default" w:ascii="Times New Roman" w:hAnsi="Times New Roman" w:eastAsia="仿宋_GB2312" w:cs="Times New Roman"/>
          <w:sz w:val="32"/>
          <w:szCs w:val="32"/>
          <w:lang w:eastAsia="zh-CN"/>
        </w:rPr>
        <w:t>不涉及投融资活动的环境影响。</w:t>
      </w:r>
    </w:p>
    <w:p>
      <w:pPr>
        <w:keepNext w:val="0"/>
        <w:keepLines w:val="0"/>
        <w:pageBreakBefore w:val="0"/>
        <w:widowControl w:val="0"/>
        <w:kinsoku/>
        <w:wordWrap/>
        <w:overflowPunct/>
        <w:topLinePunct w:val="0"/>
        <w:autoSpaceDE/>
        <w:autoSpaceDN/>
        <w:bidi w:val="0"/>
        <w:adjustRightInd/>
        <w:snapToGrid/>
        <w:spacing w:line="560" w:lineRule="exact"/>
        <w:ind w:right="63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 xml:space="preserve">   </w:t>
      </w:r>
      <w:r>
        <w:rPr>
          <w:rFonts w:hint="default" w:ascii="Times New Roman" w:hAnsi="Times New Roman" w:eastAsia="黑体" w:cs="Times New Roman"/>
          <w:bCs/>
          <w:sz w:val="32"/>
          <w:szCs w:val="32"/>
          <w:highlight w:val="none"/>
          <w:lang w:val="en-US" w:eastAsia="zh-CN"/>
        </w:rPr>
        <w:t xml:space="preserve"> 八、</w:t>
      </w:r>
      <w:r>
        <w:rPr>
          <w:rFonts w:hint="default" w:ascii="Times New Roman" w:hAnsi="Times New Roman" w:eastAsia="黑体" w:cs="Times New Roman"/>
          <w:bCs/>
          <w:sz w:val="32"/>
          <w:szCs w:val="32"/>
          <w:lang w:val="en-US" w:eastAsia="zh-CN"/>
        </w:rPr>
        <w:t>绿色金融创新做法及成果奖项</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highlight w:val="none"/>
          <w:lang w:val="en-US" w:eastAsia="zh-CN"/>
        </w:rPr>
        <w:t xml:space="preserve">  </w:t>
      </w:r>
      <w:r>
        <w:rPr>
          <w:rFonts w:hint="default" w:ascii="Times New Roman" w:hAnsi="Times New Roman" w:eastAsia="楷体_GB2312" w:cs="Times New Roman"/>
          <w:bCs/>
          <w:sz w:val="32"/>
          <w:szCs w:val="32"/>
          <w:lang w:val="en-US" w:eastAsia="zh-CN"/>
        </w:rPr>
        <w:t xml:space="preserve">  （一）合理运用货币信贷政策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sz w:val="32"/>
          <w:szCs w:val="32"/>
          <w:highlight w:val="none"/>
          <w:lang w:eastAsia="zh-CN"/>
        </w:rPr>
        <w:t>作为地方金融机构主力军，本行始终坚持支农支</w:t>
      </w:r>
      <w:r>
        <w:rPr>
          <w:rFonts w:hint="default" w:ascii="Times New Roman" w:hAnsi="Times New Roman" w:eastAsia="仿宋_GB2312" w:cs="Times New Roman"/>
          <w:b w:val="0"/>
          <w:bCs w:val="0"/>
          <w:sz w:val="32"/>
          <w:szCs w:val="32"/>
          <w:highlight w:val="none"/>
          <w:lang w:eastAsia="zh-CN"/>
        </w:rPr>
        <w:t>小市场定位。</w:t>
      </w:r>
      <w:r>
        <w:rPr>
          <w:rFonts w:hint="default" w:ascii="Times New Roman" w:hAnsi="Times New Roman" w:eastAsia="仿宋_GB2312" w:cs="Times New Roman"/>
          <w:bCs/>
          <w:sz w:val="32"/>
          <w:szCs w:val="32"/>
          <w:highlight w:val="none"/>
          <w:lang w:val="en-US" w:eastAsia="zh-CN"/>
        </w:rPr>
        <w:t>积极引导支农、支小再贷款等低利率贷款政策，</w:t>
      </w:r>
      <w:r>
        <w:rPr>
          <w:rFonts w:hint="default" w:ascii="Times New Roman" w:hAnsi="Times New Roman" w:eastAsia="仿宋_GB2312" w:cs="Times New Roman"/>
          <w:sz w:val="32"/>
          <w:szCs w:val="32"/>
          <w:highlight w:val="none"/>
          <w:lang w:eastAsia="zh-CN"/>
        </w:rPr>
        <w:t>降低客户融资成本，落实稳健的货币政策。</w:t>
      </w:r>
      <w:r>
        <w:rPr>
          <w:rFonts w:hint="default" w:ascii="Times New Roman" w:hAnsi="Times New Roman" w:eastAsia="仿宋_GB2312" w:cs="Times New Roman"/>
          <w:bCs/>
          <w:sz w:val="32"/>
          <w:szCs w:val="32"/>
          <w:highlight w:val="none"/>
          <w:lang w:val="en-US" w:eastAsia="zh-CN"/>
        </w:rPr>
        <w:t>加大对绿色信贷管理制度，优化授信审批流程，对绿色环保产业和国家重点调控的限制类或重大环境风险的行业实行有差别的授信政策,积极推进绿色金融改革创新。</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楷体_GB2312" w:cs="Times New Roman"/>
          <w:bCs/>
          <w:sz w:val="32"/>
          <w:szCs w:val="32"/>
          <w:lang w:val="en-US" w:eastAsia="zh-CN"/>
        </w:rPr>
        <w:t xml:space="preserve">   （二）采用数字化赋能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为落实金融助力乡村全面振兴要求，推动县域绿色低碳转型，主动融入乡村文明建设。积极运用黔农智慧乡村、黔农e村等数字平台，赋能乡村全面振兴建设。</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楷体_GB2312" w:cs="Times New Roman"/>
          <w:bCs/>
          <w:sz w:val="32"/>
          <w:szCs w:val="32"/>
          <w:lang w:val="en-US" w:eastAsia="zh-CN"/>
        </w:rPr>
        <w:t xml:space="preserve">  （三）全力开展普惠大走访工作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通过“金融夜校”“普惠金融服务点”全面打通金融服务，从走村入户到线上电话，从线下办贷到线上无纸化办贷，一系列接地气、有温度的暖心金融服务，全力助推绿色金融产业发展。提高金融服务覆盖率。聚焦绿色领域，工作人员用电话、微信、短信等方式提供服务，及时了解辖内客户情况，摸清资金需求，做好登记，便于上门服务。同时进村入寨，开展“金融夜校”，向客户宣传本行金融产品，做好金融政策宣传。</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楷体_GB2312" w:cs="Times New Roman"/>
          <w:bCs/>
          <w:sz w:val="32"/>
          <w:szCs w:val="32"/>
          <w:lang w:val="en-US" w:eastAsia="zh-CN"/>
        </w:rPr>
        <w:t xml:space="preserve">  （四）取得的成效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一是提升企业社会形象，不断提高绿色金融供给水平，支持绿色畜牧业、森林资源培育产业、绿色有机农业等，本行也通过对企业的资金支持，深刻领会发展绿色信贷的重要意义，积极落实绿色信贷发展理念，践行社会责任，履行金融机构的责任与担当；二是充分发挥农业政策性金融优势，助推地方实体经济发展，发展绿色贷款业务既是响应国家政策方针的需要，也是发挥金融担当、履行社会责任的需要。本行继续以绿色发展理念为指导，积极探索业务发展新模式，支持绿色企业，为保护环境贡献金融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九、转型金融业务发展情况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本行积极探索业务发展，拓展服务场景。一是发展数字金融。依托“黔农云”平台，不断丰富服务功能、提升服务效率、增强客户体验，让金融服务更方便、快捷、灵活；二是推广码牌商户及普惠金融服务；三是普惠金融与乡村全面振兴，推出“整村授信”服务“三农”助力乡村全面振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支持普惠主体及中小企业绿色发展情况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本行以普惠大走访为主抓，坚持“一深三拓两稳”的工作思路，以服务农户、小微企业、个体工商户等客户类型，重点支持县域特色产业，大力发展林下种植、茶叶、刺梨、黄桃等本地绿色产业贷款。</w:t>
      </w:r>
      <w:r>
        <w:rPr>
          <w:rFonts w:hint="default" w:ascii="Times New Roman" w:hAnsi="Times New Roman" w:eastAsia="仿宋_GB2312" w:cs="Times New Roman"/>
          <w:sz w:val="32"/>
          <w:szCs w:val="32"/>
          <w:highlight w:val="none"/>
          <w:lang w:eastAsia="zh-CN"/>
        </w:rPr>
        <w:t>截至</w:t>
      </w:r>
      <w:r>
        <w:rPr>
          <w:rFonts w:hint="default" w:ascii="Times New Roman" w:hAnsi="Times New Roman" w:eastAsia="仿宋_GB2312" w:cs="Times New Roman"/>
          <w:sz w:val="32"/>
          <w:szCs w:val="32"/>
          <w:highlight w:val="none"/>
          <w:lang w:val="en-US" w:eastAsia="zh-CN"/>
        </w:rPr>
        <w:t>2024年12月末，支持蔬菜产业773户、余额7020.54万元；水果产业700户、余额8716.41万元。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十一、数据梳理、校验及保护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eastAsia="zh-CN"/>
        </w:rPr>
        <w:t>本行</w:t>
      </w:r>
      <w:r>
        <w:rPr>
          <w:rFonts w:hint="default" w:ascii="Times New Roman" w:hAnsi="Times New Roman" w:eastAsia="仿宋_GB2312" w:cs="Times New Roman"/>
          <w:bCs/>
          <w:sz w:val="32"/>
          <w:szCs w:val="32"/>
        </w:rPr>
        <w:t>制定《贵州清镇农村商业银行信息科技数据安全及备份恢复管理办法》，建立健全安全管理体系，规范数据备份管理工作，合理存储历史数据保证数据的安全性，防止因硬件故障、意外断电、病毒等因素造成数据的丢失，保障</w:t>
      </w:r>
      <w:r>
        <w:rPr>
          <w:rFonts w:hint="default" w:ascii="Times New Roman" w:hAnsi="Times New Roman" w:eastAsia="仿宋_GB2312" w:cs="Times New Roman"/>
          <w:bCs/>
          <w:sz w:val="32"/>
          <w:szCs w:val="32"/>
          <w:lang w:eastAsia="zh-CN"/>
        </w:rPr>
        <w:t>本行</w:t>
      </w:r>
      <w:r>
        <w:rPr>
          <w:rFonts w:hint="default" w:ascii="Times New Roman" w:hAnsi="Times New Roman" w:eastAsia="仿宋_GB2312" w:cs="Times New Roman"/>
          <w:bCs/>
          <w:sz w:val="32"/>
          <w:szCs w:val="32"/>
        </w:rPr>
        <w:t>正常的知识产权利益和技术资料的储备，保证网络通信畅通和业务系统的正常运营，提高网络服务质量，规范</w:t>
      </w:r>
      <w:r>
        <w:rPr>
          <w:rFonts w:hint="default" w:ascii="Times New Roman" w:hAnsi="Times New Roman" w:eastAsia="仿宋_GB2312" w:cs="Times New Roman"/>
          <w:bCs/>
          <w:sz w:val="32"/>
          <w:szCs w:val="32"/>
          <w:lang w:eastAsia="zh-CN"/>
        </w:rPr>
        <w:t>本行</w:t>
      </w:r>
      <w:r>
        <w:rPr>
          <w:rFonts w:hint="default" w:ascii="Times New Roman" w:hAnsi="Times New Roman" w:eastAsia="仿宋_GB2312" w:cs="Times New Roman"/>
          <w:bCs/>
          <w:sz w:val="32"/>
          <w:szCs w:val="32"/>
        </w:rPr>
        <w:t>数据备份的安全管理，确保数据的安全。</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ALp8pKgBAABBAwAADgAA&#10;AAAAAAABACAAAAAfAQAAZHJzL2Uyb0RvYy54bWxQSwUGAAAAAAYABgBZAQAAOQU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3CD260"/>
    <w:multiLevelType w:val="singleLevel"/>
    <w:tmpl w:val="CD3CD260"/>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7DBF"/>
    <w:rsid w:val="009F1EB2"/>
    <w:rsid w:val="00B92C88"/>
    <w:rsid w:val="019D5A2C"/>
    <w:rsid w:val="01F72845"/>
    <w:rsid w:val="02DC7565"/>
    <w:rsid w:val="04323780"/>
    <w:rsid w:val="04A24CE9"/>
    <w:rsid w:val="053A4B45"/>
    <w:rsid w:val="05B75487"/>
    <w:rsid w:val="06397CDE"/>
    <w:rsid w:val="071F58B7"/>
    <w:rsid w:val="0790250E"/>
    <w:rsid w:val="07CB73A0"/>
    <w:rsid w:val="07F0086D"/>
    <w:rsid w:val="08FD5CCA"/>
    <w:rsid w:val="09CD1378"/>
    <w:rsid w:val="0AF451B5"/>
    <w:rsid w:val="0C3B0BD4"/>
    <w:rsid w:val="0D780B7F"/>
    <w:rsid w:val="0DB015F1"/>
    <w:rsid w:val="0DE26670"/>
    <w:rsid w:val="0F9C4FD1"/>
    <w:rsid w:val="10110159"/>
    <w:rsid w:val="106973DA"/>
    <w:rsid w:val="10E23F4D"/>
    <w:rsid w:val="1215637A"/>
    <w:rsid w:val="12EF0C48"/>
    <w:rsid w:val="14460216"/>
    <w:rsid w:val="14B30EAF"/>
    <w:rsid w:val="1525210D"/>
    <w:rsid w:val="164003EE"/>
    <w:rsid w:val="167A642C"/>
    <w:rsid w:val="167E4590"/>
    <w:rsid w:val="16B068F7"/>
    <w:rsid w:val="175277D1"/>
    <w:rsid w:val="179F494A"/>
    <w:rsid w:val="17CC65FF"/>
    <w:rsid w:val="195C5C52"/>
    <w:rsid w:val="1F5A04DD"/>
    <w:rsid w:val="1F9F31B0"/>
    <w:rsid w:val="1FAB11D2"/>
    <w:rsid w:val="20A401CD"/>
    <w:rsid w:val="20FD52EE"/>
    <w:rsid w:val="21466B3E"/>
    <w:rsid w:val="2187677D"/>
    <w:rsid w:val="22C208E1"/>
    <w:rsid w:val="24981CED"/>
    <w:rsid w:val="25484D04"/>
    <w:rsid w:val="26A040EF"/>
    <w:rsid w:val="276E24A1"/>
    <w:rsid w:val="278A393E"/>
    <w:rsid w:val="284E4A85"/>
    <w:rsid w:val="28B33BB6"/>
    <w:rsid w:val="292271C9"/>
    <w:rsid w:val="2A80750E"/>
    <w:rsid w:val="2ADF3EB2"/>
    <w:rsid w:val="2B7E0A06"/>
    <w:rsid w:val="2C214165"/>
    <w:rsid w:val="2C3824CD"/>
    <w:rsid w:val="2C9D5987"/>
    <w:rsid w:val="2DA30E4C"/>
    <w:rsid w:val="2E256FC2"/>
    <w:rsid w:val="2F685DAC"/>
    <w:rsid w:val="2FC91A52"/>
    <w:rsid w:val="318F39DD"/>
    <w:rsid w:val="324B5056"/>
    <w:rsid w:val="32E55554"/>
    <w:rsid w:val="32F259E3"/>
    <w:rsid w:val="336E20D1"/>
    <w:rsid w:val="340A5F32"/>
    <w:rsid w:val="340F7180"/>
    <w:rsid w:val="34F926FF"/>
    <w:rsid w:val="35384013"/>
    <w:rsid w:val="38097CF2"/>
    <w:rsid w:val="380D2AC9"/>
    <w:rsid w:val="38940E95"/>
    <w:rsid w:val="392A474B"/>
    <w:rsid w:val="39321206"/>
    <w:rsid w:val="3A6570BF"/>
    <w:rsid w:val="3B2900F8"/>
    <w:rsid w:val="3D226C78"/>
    <w:rsid w:val="3E0D5DA4"/>
    <w:rsid w:val="40336596"/>
    <w:rsid w:val="40757C74"/>
    <w:rsid w:val="424C17F5"/>
    <w:rsid w:val="43F62F10"/>
    <w:rsid w:val="44DC7DD5"/>
    <w:rsid w:val="45E95F0D"/>
    <w:rsid w:val="45FD7D4B"/>
    <w:rsid w:val="477177E6"/>
    <w:rsid w:val="47985E2B"/>
    <w:rsid w:val="4AB03CD4"/>
    <w:rsid w:val="4BF33C31"/>
    <w:rsid w:val="4C942969"/>
    <w:rsid w:val="4CB3157C"/>
    <w:rsid w:val="4D6D3253"/>
    <w:rsid w:val="4DF82F65"/>
    <w:rsid w:val="4ECB5C3B"/>
    <w:rsid w:val="4ED25900"/>
    <w:rsid w:val="4F10724B"/>
    <w:rsid w:val="4F585141"/>
    <w:rsid w:val="4FDC3312"/>
    <w:rsid w:val="512C3B6A"/>
    <w:rsid w:val="514E1F61"/>
    <w:rsid w:val="517B5CD3"/>
    <w:rsid w:val="52112A7E"/>
    <w:rsid w:val="544A0C4B"/>
    <w:rsid w:val="54A10E28"/>
    <w:rsid w:val="56816800"/>
    <w:rsid w:val="56AB26E6"/>
    <w:rsid w:val="56B93B8A"/>
    <w:rsid w:val="56E4112F"/>
    <w:rsid w:val="57460514"/>
    <w:rsid w:val="5774518C"/>
    <w:rsid w:val="580907F8"/>
    <w:rsid w:val="58160143"/>
    <w:rsid w:val="583A5A65"/>
    <w:rsid w:val="586559CA"/>
    <w:rsid w:val="59B37634"/>
    <w:rsid w:val="5A9454CF"/>
    <w:rsid w:val="5BF82F1E"/>
    <w:rsid w:val="5C091230"/>
    <w:rsid w:val="5D1748BE"/>
    <w:rsid w:val="5D5B6EF4"/>
    <w:rsid w:val="5E9D01BC"/>
    <w:rsid w:val="62727076"/>
    <w:rsid w:val="62F407FF"/>
    <w:rsid w:val="63E47EF6"/>
    <w:rsid w:val="643337A9"/>
    <w:rsid w:val="65403319"/>
    <w:rsid w:val="678D1AC2"/>
    <w:rsid w:val="685A218D"/>
    <w:rsid w:val="68BB2147"/>
    <w:rsid w:val="68FD3AE1"/>
    <w:rsid w:val="6A440B32"/>
    <w:rsid w:val="6A99767D"/>
    <w:rsid w:val="6C8F6E78"/>
    <w:rsid w:val="6EA759ED"/>
    <w:rsid w:val="6F8B4373"/>
    <w:rsid w:val="72C345E9"/>
    <w:rsid w:val="73811CE2"/>
    <w:rsid w:val="741D0A09"/>
    <w:rsid w:val="7503563F"/>
    <w:rsid w:val="75075B5C"/>
    <w:rsid w:val="759612B2"/>
    <w:rsid w:val="784A01C1"/>
    <w:rsid w:val="788055FB"/>
    <w:rsid w:val="78A34CB8"/>
    <w:rsid w:val="7B321A20"/>
    <w:rsid w:val="7DD108E8"/>
    <w:rsid w:val="7E2F0964"/>
    <w:rsid w:val="7EB23B98"/>
    <w:rsid w:val="7F1304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4">
    <w:name w:val="Body Text"/>
    <w:basedOn w:val="1"/>
    <w:qFormat/>
    <w:uiPriority w:val="0"/>
    <w:rPr>
      <w:sz w:val="32"/>
      <w:szCs w:val="32"/>
    </w:rPr>
  </w:style>
  <w:style w:type="paragraph" w:styleId="5">
    <w:name w:val="Body Text Indent"/>
    <w:basedOn w:val="1"/>
    <w:next w:val="6"/>
    <w:qFormat/>
    <w:uiPriority w:val="0"/>
    <w:pPr>
      <w:ind w:firstLine="630"/>
    </w:pPr>
    <w:rPr>
      <w:rFonts w:eastAsia="仿宋_GB2312"/>
      <w:spacing w:val="-4"/>
      <w:sz w:val="30"/>
    </w:rPr>
  </w:style>
  <w:style w:type="paragraph" w:styleId="6">
    <w:name w:val="Body Text Indent 2"/>
    <w:basedOn w:val="1"/>
    <w:unhideWhenUsed/>
    <w:qFormat/>
    <w:uiPriority w:val="99"/>
    <w:pPr>
      <w:ind w:firstLine="630"/>
    </w:pPr>
    <w:rPr>
      <w:b/>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next w:val="4"/>
    <w:semiHidden/>
    <w:qFormat/>
    <w:uiPriority w:val="99"/>
    <w:pPr>
      <w:ind w:firstLine="420" w:firstLineChars="100"/>
    </w:pPr>
    <w:rPr>
      <w:rFonts w:ascii="Times New Roman" w:hAnsi="Times New Roman" w:eastAsia="仿宋_GB2312" w:cs="Times New Roman"/>
    </w:rPr>
  </w:style>
  <w:style w:type="paragraph" w:styleId="10">
    <w:name w:val="Body Text First Indent 2"/>
    <w:basedOn w:val="5"/>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4">
    <w:name w:val="Body Text First Indent 2"/>
    <w:basedOn w:val="15"/>
    <w:next w:val="1"/>
    <w:qFormat/>
    <w:uiPriority w:val="0"/>
    <w:pPr>
      <w:ind w:left="0" w:leftChars="0" w:firstLine="40"/>
    </w:pPr>
    <w:rPr>
      <w:rFonts w:ascii="仿宋_GB2312" w:hAnsi="仿宋_GB2312" w:eastAsia="仿宋" w:cs="仿宋_GB2312"/>
      <w:sz w:val="32"/>
      <w:szCs w:val="32"/>
    </w:rPr>
  </w:style>
  <w:style w:type="paragraph" w:customStyle="1" w:styleId="15">
    <w:name w:val="Body Text Indent"/>
    <w:basedOn w:val="1"/>
    <w:next w:val="16"/>
    <w:qFormat/>
    <w:uiPriority w:val="0"/>
    <w:pPr>
      <w:spacing w:after="120"/>
      <w:ind w:left="420" w:leftChars="200"/>
    </w:pPr>
  </w:style>
  <w:style w:type="paragraph" w:customStyle="1" w:styleId="16">
    <w:name w:val="Body Text Indent 2"/>
    <w:basedOn w:val="1"/>
    <w:next w:val="17"/>
    <w:qFormat/>
    <w:uiPriority w:val="0"/>
    <w:pPr>
      <w:ind w:firstLine="630"/>
    </w:pPr>
    <w:rPr>
      <w:b/>
    </w:rPr>
  </w:style>
  <w:style w:type="paragraph" w:customStyle="1" w:styleId="17">
    <w:name w:val="Body Text Indent 3"/>
    <w:basedOn w:val="1"/>
    <w:qFormat/>
    <w:uiPriority w:val="0"/>
    <w:pPr>
      <w:spacing w:after="120"/>
      <w:ind w:left="200" w:leftChars="200"/>
    </w:pPr>
    <w:rPr>
      <w:sz w:val="16"/>
    </w:rPr>
  </w:style>
  <w:style w:type="character" w:customStyle="1" w:styleId="18">
    <w:name w:val="NormalCharacter"/>
    <w:qFormat/>
    <w:uiPriority w:val="0"/>
    <w:rPr>
      <w:rFonts w:ascii="Calibri" w:hAnsi="Calibri" w:eastAsia="宋体" w:cs="黑体"/>
      <w:kern w:val="2"/>
      <w:sz w:val="21"/>
      <w:szCs w:val="24"/>
      <w:lang w:val="en-US" w:eastAsia="zh-CN" w:bidi="ar-SA"/>
    </w:rPr>
  </w:style>
  <w:style w:type="character" w:customStyle="1" w:styleId="19">
    <w:name w:val="font11"/>
    <w:basedOn w:val="13"/>
    <w:qFormat/>
    <w:uiPriority w:val="0"/>
    <w:rPr>
      <w:rFonts w:hint="eastAsia" w:ascii="宋体" w:hAnsi="宋体" w:eastAsia="宋体" w:cs="宋体"/>
      <w:color w:val="000000"/>
      <w:sz w:val="21"/>
      <w:szCs w:val="21"/>
      <w:u w:val="none"/>
    </w:rPr>
  </w:style>
  <w:style w:type="character" w:customStyle="1" w:styleId="20">
    <w:name w:val="font41"/>
    <w:basedOn w:val="13"/>
    <w:qFormat/>
    <w:uiPriority w:val="0"/>
    <w:rPr>
      <w:rFonts w:hint="eastAsia" w:ascii="宋体" w:hAnsi="宋体" w:eastAsia="宋体" w:cs="宋体"/>
      <w:color w:val="000000"/>
      <w:sz w:val="21"/>
      <w:szCs w:val="21"/>
      <w:u w:val="none"/>
    </w:rPr>
  </w:style>
  <w:style w:type="character" w:customStyle="1" w:styleId="21">
    <w:name w:val="font31"/>
    <w:basedOn w:val="13"/>
    <w:qFormat/>
    <w:uiPriority w:val="0"/>
    <w:rPr>
      <w:rFonts w:hint="eastAsia" w:ascii="宋体" w:hAnsi="宋体" w:eastAsia="宋体" w:cs="宋体"/>
      <w:color w:val="000000"/>
      <w:sz w:val="21"/>
      <w:szCs w:val="21"/>
      <w:u w:val="none"/>
      <w:vertAlign w:val="superscript"/>
    </w:rPr>
  </w:style>
  <w:style w:type="character" w:customStyle="1" w:styleId="22">
    <w:name w:val="font21"/>
    <w:basedOn w:val="13"/>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4821</Words>
  <Characters>5003</Characters>
  <Lines>0</Lines>
  <Paragraphs>0</Paragraphs>
  <TotalTime>22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2023-07-20T06:13:00Z</dcterms:created>
  <dc:creator>aichouchou</dc:creator>
  <cp:lastModifiedBy>122692-吴红</cp:lastModifiedBy>
  <cp:lastPrinted>2025-04-29T01:14:00Z</cp:lastPrinted>
  <dcterms:modified xsi:type="dcterms:W3CDTF">2025-04-29T09:25:59Z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D331E986664D4060B504B05F8D565EF2_11</vt:lpwstr>
  </property>
</Properties>
</file>