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N/>
        <w:bidi w:val="0"/>
        <w:adjustRightInd/>
        <w:snapToGrid/>
        <w:spacing w:line="620" w:lineRule="exact"/>
        <w:ind w:firstLine="0"/>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贵州赫章农村商业银行股份有限公司</w:t>
      </w:r>
    </w:p>
    <w:p>
      <w:pPr>
        <w:keepNext w:val="0"/>
        <w:keepLines w:val="0"/>
        <w:pageBreakBefore w:val="0"/>
        <w:kinsoku/>
        <w:wordWrap/>
        <w:overflowPunct/>
        <w:topLinePunct w:val="0"/>
        <w:autoSpaceDN/>
        <w:bidi w:val="0"/>
        <w:adjustRightInd/>
        <w:snapToGrid/>
        <w:spacing w:line="620" w:lineRule="exact"/>
        <w:ind w:firstLine="0"/>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关于2024年度会计决算的财务状况说明书</w:t>
      </w:r>
    </w:p>
    <w:p>
      <w:pPr>
        <w:keepNext w:val="0"/>
        <w:keepLines w:val="0"/>
        <w:pageBreakBefore w:val="0"/>
        <w:kinsoku/>
        <w:wordWrap/>
        <w:overflowPunct/>
        <w:topLinePunct w:val="0"/>
        <w:autoSpaceDN/>
        <w:bidi w:val="0"/>
        <w:adjustRightInd/>
        <w:snapToGrid/>
        <w:spacing w:line="640" w:lineRule="exact"/>
        <w:ind w:firstLine="0"/>
        <w:rPr>
          <w:rFonts w:hint="eastAsia" w:ascii="仿宋_GB2312" w:eastAsia="仿宋_GB2312"/>
          <w:sz w:val="32"/>
          <w:szCs w:val="32"/>
          <w:lang w:eastAsia="zh-CN"/>
        </w:rPr>
      </w:pPr>
    </w:p>
    <w:p>
      <w:pPr>
        <w:keepNext w:val="0"/>
        <w:keepLines w:val="0"/>
        <w:pageBreakBefore w:val="0"/>
        <w:shd w:val="clear" w:color="auto" w:fill="FFFFFF"/>
        <w:kinsoku/>
        <w:wordWrap/>
        <w:overflowPunct/>
        <w:topLinePunct w:val="0"/>
        <w:autoSpaceDN/>
        <w:bidi w:val="0"/>
        <w:adjustRightInd/>
        <w:snapToGrid/>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根据《中国人民银行毕节市分行会计财务科关于报送会计财务资料有关事项的通知》及《省联社资产负债管理委员会关于做好全省农信社2024年财务决算工作的通知》（黔农信资债管委〔2024〕36号）文件要求，结合我行财务决算工作实际，现将2024年会计决算财务状况说明如下：</w:t>
      </w:r>
    </w:p>
    <w:p>
      <w:pPr>
        <w:keepNext w:val="0"/>
        <w:keepLines w:val="0"/>
        <w:pageBreakBefore w:val="0"/>
        <w:numPr>
          <w:ilvl w:val="0"/>
          <w:numId w:val="1"/>
        </w:numPr>
        <w:shd w:val="clear" w:color="auto" w:fill="FFFFFF"/>
        <w:kinsoku/>
        <w:wordWrap/>
        <w:overflowPunct/>
        <w:topLinePunct w:val="0"/>
        <w:autoSpaceDN/>
        <w:bidi w:val="0"/>
        <w:adjustRightInd/>
        <w:snapToGrid/>
        <w:spacing w:line="560" w:lineRule="exact"/>
        <w:ind w:left="1350" w:leftChars="0" w:firstLineChars="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全年经营情况</w:t>
      </w:r>
    </w:p>
    <w:p>
      <w:pPr>
        <w:keepNext w:val="0"/>
        <w:keepLines w:val="0"/>
        <w:pageBreakBefore w:val="0"/>
        <w:shd w:val="clear" w:color="auto" w:fill="FFFFFF"/>
        <w:kinsoku/>
        <w:wordWrap/>
        <w:overflowPunct/>
        <w:topLinePunct w:val="0"/>
        <w:autoSpaceDN/>
        <w:bidi w:val="0"/>
        <w:adjustRightInd/>
        <w:snapToGrid/>
        <w:spacing w:line="560" w:lineRule="exact"/>
        <w:ind w:firstLine="472" w:firstLineChars="147"/>
        <w:rPr>
          <w:rFonts w:hint="eastAsia" w:ascii="楷体" w:hAnsi="楷体" w:eastAsia="楷体" w:cs="楷体"/>
          <w:b/>
          <w:sz w:val="32"/>
          <w:szCs w:val="32"/>
          <w:lang w:eastAsia="zh-CN"/>
        </w:rPr>
      </w:pPr>
      <w:r>
        <w:rPr>
          <w:rFonts w:hint="eastAsia" w:ascii="楷体" w:hAnsi="楷体" w:eastAsia="楷体" w:cs="楷体"/>
          <w:b/>
          <w:sz w:val="32"/>
          <w:szCs w:val="32"/>
          <w:lang w:eastAsia="zh-CN"/>
        </w:rPr>
        <w:t>（一）主要指标财务预算及执行情况</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为进一步完善预算管理机制，有效组织和协调经营活动，健全收支管理，促进高质量发展，确保战略规划落地和经营目标实现，我行制定下发《赫章农商银行全面预算管理办法》及《赫章农商银行2024年度全面预算管理实施方案》，较好地</w:t>
      </w:r>
      <w:r>
        <w:rPr>
          <w:rFonts w:hint="eastAsia" w:ascii="仿宋_GB2312" w:eastAsia="仿宋_GB2312"/>
          <w:sz w:val="32"/>
          <w:szCs w:val="32"/>
          <w:lang w:eastAsia="zh-CN"/>
        </w:rPr>
        <w:t>完成全面预算管理的各项目标任务。</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2024年，</w:t>
      </w:r>
      <w:r>
        <w:rPr>
          <w:rFonts w:hint="eastAsia" w:ascii="仿宋_GB2312" w:eastAsia="仿宋_GB2312"/>
          <w:sz w:val="32"/>
          <w:szCs w:val="32"/>
          <w:lang w:eastAsia="zh-CN"/>
        </w:rPr>
        <w:t>五项经营计划中仅各项贷款增速未实现目标任务，十五项预算管控目标中营业收入等十一项超额完成目标任务，仅个人、对公贷款增加额，新增贷款逾期率及资本充足率未完成目标任务。具体指标完成情况如下：</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仿宋_GB2312" w:eastAsia="仿宋_GB2312"/>
          <w:sz w:val="32"/>
          <w:szCs w:val="32"/>
          <w:lang w:eastAsia="zh-CN"/>
        </w:rPr>
      </w:pPr>
    </w:p>
    <w:tbl>
      <w:tblPr>
        <w:tblStyle w:val="3"/>
        <w:tblW w:w="8536" w:type="dxa"/>
        <w:tblInd w:w="93" w:type="dxa"/>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shd w:val="clear" w:color="auto" w:fill="auto"/>
        <w:tblLayout w:type="fixed"/>
        <w:tblCellMar>
          <w:top w:w="0" w:type="dxa"/>
          <w:left w:w="108" w:type="dxa"/>
          <w:bottom w:w="0" w:type="dxa"/>
          <w:right w:w="108" w:type="dxa"/>
        </w:tblCellMar>
      </w:tblPr>
      <w:tblGrid>
        <w:gridCol w:w="670"/>
        <w:gridCol w:w="1071"/>
        <w:gridCol w:w="2625"/>
        <w:gridCol w:w="1470"/>
        <w:gridCol w:w="1395"/>
        <w:gridCol w:w="1305"/>
      </w:tblGrid>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shd w:val="clear" w:color="auto" w:fill="auto"/>
          <w:tblCellMar>
            <w:top w:w="0" w:type="dxa"/>
            <w:left w:w="108" w:type="dxa"/>
            <w:bottom w:w="0" w:type="dxa"/>
            <w:right w:w="108" w:type="dxa"/>
          </w:tblCellMar>
        </w:tblPrEx>
        <w:trPr>
          <w:trHeight w:val="537" w:hRule="atLeast"/>
        </w:trPr>
        <w:tc>
          <w:tcPr>
            <w:tcW w:w="670" w:type="dxa"/>
            <w:tcBorders>
              <w:top w:val="single" w:color="000000" w:sz="12" w:space="0"/>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1071" w:type="dxa"/>
            <w:tcBorders>
              <w:top w:val="single" w:color="000000" w:sz="12"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预算类别</w:t>
            </w:r>
          </w:p>
        </w:tc>
        <w:tc>
          <w:tcPr>
            <w:tcW w:w="2625" w:type="dxa"/>
            <w:tcBorders>
              <w:top w:val="single" w:color="000000" w:sz="12"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指标名称</w:t>
            </w:r>
          </w:p>
        </w:tc>
        <w:tc>
          <w:tcPr>
            <w:tcW w:w="1470" w:type="dxa"/>
            <w:tcBorders>
              <w:top w:val="single" w:color="000000" w:sz="12"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val="0"/>
                <w:bCs w:val="0"/>
                <w:i w:val="0"/>
                <w:iCs w:val="0"/>
                <w:color w:val="auto"/>
                <w:sz w:val="21"/>
                <w:szCs w:val="21"/>
                <w:u w:val="none"/>
              </w:rPr>
            </w:pPr>
            <w:r>
              <w:rPr>
                <w:rStyle w:val="5"/>
                <w:rFonts w:hint="eastAsia" w:ascii="宋体" w:hAnsi="宋体" w:eastAsia="宋体" w:cs="宋体"/>
                <w:b w:val="0"/>
                <w:bCs w:val="0"/>
                <w:color w:val="auto"/>
                <w:sz w:val="21"/>
                <w:szCs w:val="21"/>
                <w:lang w:val="en-US" w:eastAsia="zh-CN" w:bidi="ar"/>
              </w:rPr>
              <w:t>目标任务</w:t>
            </w:r>
          </w:p>
        </w:tc>
        <w:tc>
          <w:tcPr>
            <w:tcW w:w="1395" w:type="dxa"/>
            <w:tcBorders>
              <w:top w:val="single" w:color="000000" w:sz="12"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2024年末</w:t>
            </w:r>
          </w:p>
        </w:tc>
        <w:tc>
          <w:tcPr>
            <w:tcW w:w="1305" w:type="dxa"/>
            <w:tcBorders>
              <w:top w:val="single" w:color="000000" w:sz="12"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预算执行进度或偏离度</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37"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0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经营计划目标</w:t>
            </w: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各项贷款增速</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9.39%</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5.87%</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62.51%</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29"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各项存款增速</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9.04%</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13.19%</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145.91%</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20"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成本收入比</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43.64%</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36.57%</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-7.07%</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4"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净利润增幅</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13.17%</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16.69%</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3.52%</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4"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风险敏感度</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2.00%</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1.93%</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27"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10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预算管控监测指标</w:t>
            </w: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个人贷款增加额</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78131.03</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48401.4</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61.95%</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对公贷款增加额</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2271.47</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1888.21</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83.13%</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317"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营业收入</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45454.74</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52246.86</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114.94%</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存贷利差净收入</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38045.74</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39661.92</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104.25%</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资金业务净收入</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9984.00 </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14272.87</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142.96%</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税备前利润</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24839.49</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32175.27</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129.53%</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弹性费用收入比</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2.09%</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1.48%</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-0.61%</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固定费用收入比</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6.78%</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5.03%</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资产利润率（财务）</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0.83%</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0.86%</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资本利润率（财务）</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10.25%</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11.19%</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0.94%</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存款付息率（财务）</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1.94%</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1.79%</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贷款收益率（财务）</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6.61%</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6.61%</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751"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新增贷款逾期率（新增贷款逾期60天（不含）以上逾期率）</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1.30%</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318"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巡视口径实质不良率</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2.00%</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1.93%</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w:t>
            </w:r>
          </w:p>
        </w:tc>
      </w:tr>
      <w:tr>
        <w:tblPrEx>
          <w:tblBorders>
            <w:top w:val="single" w:color="000000" w:sz="12" w:space="0"/>
            <w:left w:val="single" w:color="000000" w:sz="12" w:space="0"/>
            <w:bottom w:val="single" w:color="000000" w:sz="12" w:space="0"/>
            <w:right w:val="single" w:color="000000" w:sz="12" w:space="0"/>
            <w:insideH w:val="dashSmallGap" w:color="000000" w:sz="4" w:space="0"/>
            <w:insideV w:val="dashSmallGap" w:color="000000" w:sz="4" w:space="0"/>
          </w:tblBorders>
          <w:tblCellMar>
            <w:top w:w="0" w:type="dxa"/>
            <w:left w:w="108" w:type="dxa"/>
            <w:bottom w:w="0" w:type="dxa"/>
            <w:right w:w="108" w:type="dxa"/>
          </w:tblCellMar>
        </w:tblPrEx>
        <w:trPr>
          <w:trHeight w:val="405" w:hRule="atLeast"/>
        </w:trPr>
        <w:tc>
          <w:tcPr>
            <w:tcW w:w="6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10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资本充足率</w:t>
            </w:r>
          </w:p>
        </w:tc>
        <w:tc>
          <w:tcPr>
            <w:tcW w:w="14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14.24%</w:t>
            </w:r>
          </w:p>
        </w:tc>
        <w:tc>
          <w:tcPr>
            <w:tcW w:w="13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12.83%</w:t>
            </w:r>
          </w:p>
        </w:tc>
        <w:tc>
          <w:tcPr>
            <w:tcW w:w="130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b w:val="0"/>
          <w:bCs w:val="0"/>
          <w:color w:val="auto"/>
          <w:sz w:val="32"/>
          <w:szCs w:val="32"/>
          <w:lang w:val="en-US" w:eastAsia="zh-CN"/>
        </w:rPr>
      </w:pPr>
    </w:p>
    <w:p>
      <w:pPr>
        <w:keepNext w:val="0"/>
        <w:keepLines w:val="0"/>
        <w:pageBreakBefore w:val="0"/>
        <w:kinsoku/>
        <w:wordWrap/>
        <w:overflowPunct/>
        <w:topLinePunct w:val="0"/>
        <w:autoSpaceDN/>
        <w:bidi w:val="0"/>
        <w:adjustRightInd/>
        <w:snapToGrid/>
        <w:spacing w:line="560" w:lineRule="exact"/>
        <w:ind w:firstLineChars="112"/>
        <w:jc w:val="both"/>
        <w:rPr>
          <w:rFonts w:hint="eastAsia" w:ascii="仿宋_GB2312" w:hAnsi="黑体" w:eastAsia="仿宋_GB2312"/>
          <w:b/>
          <w:sz w:val="32"/>
          <w:szCs w:val="32"/>
          <w:lang w:eastAsia="zh-CN"/>
        </w:rPr>
      </w:pPr>
      <w:r>
        <w:rPr>
          <w:rFonts w:hint="eastAsia" w:ascii="楷体" w:hAnsi="楷体" w:eastAsia="楷体" w:cs="楷体"/>
          <w:b/>
          <w:sz w:val="32"/>
          <w:szCs w:val="32"/>
          <w:lang w:eastAsia="zh-CN"/>
        </w:rPr>
        <w:t>（二）财务收支及经营效益情况</w:t>
      </w:r>
    </w:p>
    <w:p>
      <w:pPr>
        <w:keepNext w:val="0"/>
        <w:keepLines w:val="0"/>
        <w:pageBreakBefore w:val="0"/>
        <w:kinsoku/>
        <w:wordWrap/>
        <w:overflowPunct/>
        <w:topLinePunct w:val="0"/>
        <w:autoSpaceDN/>
        <w:bidi w:val="0"/>
        <w:adjustRightInd/>
        <w:snapToGrid/>
        <w:spacing w:line="560" w:lineRule="exact"/>
        <w:ind w:firstLine="640" w:firstLineChars="200"/>
        <w:jc w:val="both"/>
        <w:rPr>
          <w:rFonts w:hint="eastAsia" w:ascii="仿宋_GB2312" w:hAnsi="黑体" w:eastAsia="仿宋_GB2312"/>
          <w:b/>
          <w:sz w:val="32"/>
          <w:szCs w:val="32"/>
          <w:lang w:eastAsia="zh-CN"/>
        </w:rPr>
      </w:pPr>
      <w:r>
        <w:rPr>
          <w:rFonts w:hint="default" w:ascii="Times New Roman" w:hAnsi="Times New Roman" w:eastAsia="仿宋_GB2312" w:cs="Times New Roman"/>
          <w:b w:val="0"/>
          <w:bCs/>
          <w:sz w:val="32"/>
          <w:szCs w:val="32"/>
          <w:lang w:eastAsia="zh-CN"/>
        </w:rPr>
        <w:t>1</w:t>
      </w:r>
      <w:r>
        <w:rPr>
          <w:rFonts w:hint="eastAsia" w:ascii="仿宋_GB2312" w:hAnsi="仿宋_GB2312" w:eastAsia="仿宋_GB2312" w:cs="仿宋_GB2312"/>
          <w:b w:val="0"/>
          <w:bCs/>
          <w:sz w:val="32"/>
          <w:szCs w:val="32"/>
          <w:lang w:eastAsia="zh-CN"/>
        </w:rPr>
        <w:t>.</w:t>
      </w:r>
      <w:r>
        <w:rPr>
          <w:rFonts w:hint="eastAsia" w:ascii="仿宋_GB2312" w:hAnsi="黑体" w:eastAsia="仿宋_GB2312"/>
          <w:b/>
          <w:sz w:val="32"/>
          <w:szCs w:val="32"/>
          <w:lang w:eastAsia="zh-CN"/>
        </w:rPr>
        <w:t>各项收入情况。</w:t>
      </w:r>
      <w:r>
        <w:rPr>
          <w:rFonts w:hint="eastAsia" w:ascii="仿宋_GB2312" w:hAnsi="黑体" w:eastAsia="仿宋_GB2312"/>
          <w:sz w:val="32"/>
          <w:szCs w:val="32"/>
          <w:lang w:eastAsia="zh-CN"/>
        </w:rPr>
        <w:t>2024年</w:t>
      </w:r>
      <w:r>
        <w:rPr>
          <w:rFonts w:hint="eastAsia" w:ascii="仿宋_GB2312" w:eastAsia="仿宋_GB2312"/>
          <w:sz w:val="32"/>
          <w:szCs w:val="32"/>
          <w:lang w:eastAsia="zh-CN"/>
        </w:rPr>
        <w:t>各项收入76050.58万元，较上年度同期增加9760.20万元。其中：利息收入63832.55万元，金融机构往来收入3975.77万元，手续费收入567.61万元，其他业务收入291.12万元，公允价值变动损益3999.69万元，投资损益3086.84万元，资产处置损益209.18万元，其他收益12.56万元，营业外收入75.26万元。</w:t>
      </w:r>
    </w:p>
    <w:p>
      <w:pPr>
        <w:keepNext w:val="0"/>
        <w:keepLines w:val="0"/>
        <w:pageBreakBefore w:val="0"/>
        <w:kinsoku/>
        <w:wordWrap/>
        <w:overflowPunct/>
        <w:topLinePunct w:val="0"/>
        <w:autoSpaceDN/>
        <w:bidi w:val="0"/>
        <w:adjustRightInd/>
        <w:snapToGrid/>
        <w:spacing w:line="560" w:lineRule="exact"/>
        <w:ind w:firstLine="640" w:firstLineChars="200"/>
        <w:jc w:val="both"/>
        <w:rPr>
          <w:rFonts w:hint="eastAsia" w:ascii="仿宋_GB2312" w:eastAsia="仿宋_GB2312"/>
          <w:sz w:val="32"/>
          <w:szCs w:val="32"/>
          <w:lang w:eastAsia="zh-CN"/>
        </w:rPr>
      </w:pPr>
      <w:r>
        <w:rPr>
          <w:rFonts w:hint="eastAsia" w:ascii="Times New Roman" w:hAnsi="Times New Roman" w:eastAsia="仿宋_GB2312" w:cs="Times New Roman"/>
          <w:b w:val="0"/>
          <w:bCs/>
          <w:sz w:val="32"/>
          <w:szCs w:val="32"/>
          <w:lang w:eastAsia="zh-CN"/>
        </w:rPr>
        <w:t>2.</w:t>
      </w:r>
      <w:r>
        <w:rPr>
          <w:rFonts w:hint="eastAsia" w:ascii="仿宋_GB2312" w:hAnsi="黑体" w:eastAsia="仿宋_GB2312"/>
          <w:b/>
          <w:sz w:val="32"/>
          <w:szCs w:val="32"/>
          <w:lang w:eastAsia="zh-CN"/>
        </w:rPr>
        <w:t>各项支出情况。</w:t>
      </w:r>
      <w:r>
        <w:rPr>
          <w:rFonts w:hint="eastAsia" w:ascii="仿宋_GB2312" w:eastAsia="仿宋_GB2312"/>
          <w:sz w:val="32"/>
          <w:szCs w:val="32"/>
          <w:lang w:eastAsia="zh-CN"/>
        </w:rPr>
        <w:t>2024年各项支出62591.61万元，较上年同期增加9654.18万元。其中：利息支出19650.39万元；金融机构往来支出2364.84万元，手续费支出1713.22万元；业务及管理费19030.87万元；其他业务支出75.52万元；税金及附加222.12万元；计提资产和信用减值损失18716.31万元，</w:t>
      </w:r>
      <w:r>
        <w:rPr>
          <w:rFonts w:hint="eastAsia" w:ascii="仿宋_GB2312" w:hAnsi="仿宋_GB2312" w:eastAsia="仿宋_GB2312" w:cs="仿宋_GB2312"/>
          <w:color w:val="auto"/>
          <w:sz w:val="32"/>
          <w:szCs w:val="32"/>
          <w:lang w:val="en-US" w:eastAsia="zh-CN"/>
        </w:rPr>
        <w:t>其中计提信贷资产减值损失18870.51万元、冲回坏账损失2010.93万元、计提债权投资减值损失和其他债权投资减值损失130.12万元、计提抵债资产减值损失1726.60万元；</w:t>
      </w:r>
      <w:r>
        <w:rPr>
          <w:rFonts w:hint="eastAsia" w:ascii="仿宋_GB2312" w:eastAsia="仿宋_GB2312"/>
          <w:sz w:val="32"/>
          <w:szCs w:val="32"/>
          <w:lang w:eastAsia="zh-CN"/>
        </w:rPr>
        <w:t>营业外支出818.34万元。</w:t>
      </w:r>
    </w:p>
    <w:p>
      <w:pPr>
        <w:keepNext w:val="0"/>
        <w:keepLines w:val="0"/>
        <w:pageBreakBefore w:val="0"/>
        <w:kinsoku/>
        <w:wordWrap/>
        <w:overflowPunct/>
        <w:topLinePunct w:val="0"/>
        <w:autoSpaceDN/>
        <w:bidi w:val="0"/>
        <w:adjustRightInd/>
        <w:snapToGrid/>
        <w:spacing w:line="560" w:lineRule="exact"/>
        <w:ind w:firstLine="630"/>
        <w:jc w:val="both"/>
        <w:rPr>
          <w:rFonts w:hint="eastAsia" w:ascii="仿宋_GB2312" w:eastAsia="仿宋_GB2312"/>
          <w:sz w:val="32"/>
          <w:szCs w:val="32"/>
          <w:lang w:eastAsia="zh-CN"/>
        </w:rPr>
      </w:pPr>
      <w:r>
        <w:rPr>
          <w:rFonts w:hint="eastAsia" w:ascii="Times New Roman" w:hAnsi="Times New Roman" w:eastAsia="仿宋_GB2312" w:cs="Times New Roman"/>
          <w:b w:val="0"/>
          <w:bCs/>
          <w:sz w:val="32"/>
          <w:szCs w:val="32"/>
          <w:lang w:eastAsia="zh-CN"/>
        </w:rPr>
        <w:t>3.</w:t>
      </w:r>
      <w:r>
        <w:rPr>
          <w:rFonts w:hint="eastAsia" w:ascii="仿宋_GB2312" w:eastAsia="仿宋_GB2312"/>
          <w:b/>
          <w:sz w:val="32"/>
          <w:szCs w:val="32"/>
          <w:lang w:eastAsia="zh-CN"/>
        </w:rPr>
        <w:t>经营效益情况。</w:t>
      </w:r>
      <w:r>
        <w:rPr>
          <w:rFonts w:hint="eastAsia" w:ascii="仿宋_GB2312" w:eastAsia="仿宋_GB2312"/>
          <w:sz w:val="32"/>
          <w:szCs w:val="32"/>
          <w:lang w:eastAsia="zh-CN"/>
        </w:rPr>
        <w:t>资产利润率为0.86%，资本利润率11.19%，成本收入比36.57%，流动性比例77.18%，资本充足率为12.83%，拨备覆盖率262.03%，拨贷比5.05%。</w:t>
      </w:r>
    </w:p>
    <w:p>
      <w:pPr>
        <w:keepNext w:val="0"/>
        <w:keepLines w:val="0"/>
        <w:pageBreakBefore w:val="0"/>
        <w:kinsoku/>
        <w:wordWrap/>
        <w:overflowPunct/>
        <w:topLinePunct w:val="0"/>
        <w:autoSpaceDN/>
        <w:bidi w:val="0"/>
        <w:adjustRightInd/>
        <w:snapToGrid/>
        <w:spacing w:line="560" w:lineRule="exact"/>
        <w:ind w:firstLine="643" w:firstLineChars="200"/>
        <w:jc w:val="both"/>
        <w:rPr>
          <w:rFonts w:hint="eastAsia" w:ascii="仿宋_GB2312" w:eastAsia="仿宋_GB2312"/>
          <w:b/>
          <w:sz w:val="32"/>
          <w:szCs w:val="32"/>
          <w:lang w:eastAsia="zh-CN"/>
        </w:rPr>
      </w:pPr>
      <w:r>
        <w:rPr>
          <w:rFonts w:hint="eastAsia" w:ascii="楷体" w:hAnsi="楷体" w:eastAsia="楷体" w:cs="楷体"/>
          <w:b/>
          <w:sz w:val="32"/>
          <w:szCs w:val="32"/>
          <w:lang w:eastAsia="zh-CN"/>
        </w:rPr>
        <w:t>（三）税金缴纳情况</w:t>
      </w:r>
    </w:p>
    <w:p>
      <w:pPr>
        <w:keepNext w:val="0"/>
        <w:keepLines w:val="0"/>
        <w:pageBreakBefore w:val="0"/>
        <w:kinsoku/>
        <w:wordWrap/>
        <w:overflowPunct/>
        <w:topLinePunct w:val="0"/>
        <w:autoSpaceDN/>
        <w:bidi w:val="0"/>
        <w:adjustRightInd/>
        <w:snapToGrid/>
        <w:spacing w:line="560" w:lineRule="exact"/>
        <w:ind w:firstLine="480" w:firstLineChars="150"/>
        <w:jc w:val="both"/>
        <w:rPr>
          <w:rFonts w:hint="eastAsia" w:ascii="仿宋_GB2312" w:eastAsia="仿宋_GB2312"/>
          <w:sz w:val="32"/>
          <w:szCs w:val="32"/>
          <w:lang w:eastAsia="zh-CN"/>
        </w:rPr>
      </w:pPr>
      <w:r>
        <w:rPr>
          <w:rFonts w:hint="eastAsia" w:ascii="仿宋_GB2312" w:eastAsia="仿宋_GB2312"/>
          <w:sz w:val="32"/>
          <w:szCs w:val="32"/>
          <w:lang w:eastAsia="zh-CN"/>
        </w:rPr>
        <w:t>2024年共计缴纳各项税费4525.07万元。其中企业所得税3211.39万元、增值税363.60万元、城市维护建设税18.23万元、教育费附加10.94万元、地方教育费附加7.29万元、城镇土地使用税14.53万元、房产税114.91万元、契税0.48万元、车船税0.35万元、印花税43.24万元、残疾人就业保障金54.39万元、代扣代缴个人所得税685.72万元。</w:t>
      </w:r>
    </w:p>
    <w:p>
      <w:pPr>
        <w:keepNext w:val="0"/>
        <w:keepLines w:val="0"/>
        <w:pageBreakBefore w:val="0"/>
        <w:kinsoku/>
        <w:wordWrap/>
        <w:overflowPunct/>
        <w:topLinePunct w:val="0"/>
        <w:autoSpaceDN/>
        <w:bidi w:val="0"/>
        <w:adjustRightInd/>
        <w:snapToGrid/>
        <w:spacing w:line="560" w:lineRule="exact"/>
        <w:ind w:left="210" w:leftChars="100" w:firstLine="482" w:firstLineChars="150"/>
        <w:jc w:val="both"/>
        <w:rPr>
          <w:rFonts w:hint="eastAsia" w:ascii="仿宋_GB2312" w:eastAsia="仿宋_GB2312"/>
          <w:b/>
          <w:sz w:val="32"/>
          <w:szCs w:val="32"/>
          <w:lang w:eastAsia="zh-CN"/>
        </w:rPr>
      </w:pPr>
      <w:r>
        <w:rPr>
          <w:rFonts w:hint="eastAsia" w:ascii="楷体" w:hAnsi="楷体" w:eastAsia="楷体" w:cs="楷体"/>
          <w:b/>
          <w:sz w:val="32"/>
          <w:szCs w:val="32"/>
          <w:lang w:eastAsia="zh-CN"/>
        </w:rPr>
        <w:t>（四）实收资本情况</w:t>
      </w:r>
    </w:p>
    <w:p>
      <w:pPr>
        <w:keepNext w:val="0"/>
        <w:keepLines w:val="0"/>
        <w:pageBreakBefore w:val="0"/>
        <w:kinsoku/>
        <w:wordWrap/>
        <w:overflowPunct/>
        <w:topLinePunct w:val="0"/>
        <w:autoSpaceDN/>
        <w:bidi w:val="0"/>
        <w:adjustRightInd/>
        <w:snapToGrid/>
        <w:spacing w:line="560" w:lineRule="exact"/>
        <w:ind w:firstLine="800" w:firstLineChars="250"/>
        <w:jc w:val="both"/>
        <w:rPr>
          <w:rFonts w:hint="eastAsia" w:ascii="仿宋_GB2312" w:eastAsia="仿宋_GB2312"/>
          <w:sz w:val="32"/>
          <w:szCs w:val="32"/>
          <w:lang w:eastAsia="zh-CN"/>
        </w:rPr>
      </w:pPr>
      <w:r>
        <w:rPr>
          <w:rFonts w:hint="eastAsia" w:ascii="仿宋_GB2312" w:eastAsia="仿宋_GB2312"/>
          <w:sz w:val="32"/>
          <w:szCs w:val="32"/>
          <w:lang w:eastAsia="zh-CN"/>
        </w:rPr>
        <w:t>截止2024年末，我行股本金余额22500万元,其中:法人股7987万元,占比35.50%；自然人股14513万元，占比64.50%，年度内股本金余额较年初无变化。</w:t>
      </w:r>
    </w:p>
    <w:p>
      <w:pPr>
        <w:keepNext w:val="0"/>
        <w:keepLines w:val="0"/>
        <w:pageBreakBefore w:val="0"/>
        <w:kinsoku/>
        <w:wordWrap/>
        <w:overflowPunct/>
        <w:topLinePunct w:val="0"/>
        <w:autoSpaceDN/>
        <w:bidi w:val="0"/>
        <w:adjustRightInd/>
        <w:snapToGrid/>
        <w:spacing w:line="560" w:lineRule="exact"/>
        <w:ind w:left="210" w:leftChars="100" w:firstLine="482" w:firstLineChars="150"/>
        <w:jc w:val="both"/>
        <w:rPr>
          <w:rFonts w:hint="eastAsia" w:ascii="仿宋_GB2312" w:eastAsia="仿宋_GB2312"/>
          <w:b/>
          <w:sz w:val="32"/>
          <w:szCs w:val="32"/>
          <w:lang w:val="en-US" w:eastAsia="zh-CN"/>
        </w:rPr>
      </w:pPr>
      <w:r>
        <w:rPr>
          <w:rFonts w:hint="eastAsia" w:ascii="楷体" w:hAnsi="楷体" w:eastAsia="楷体" w:cs="楷体"/>
          <w:b/>
          <w:sz w:val="32"/>
          <w:szCs w:val="32"/>
          <w:lang w:eastAsia="zh-CN"/>
        </w:rPr>
        <w:t>（五）</w:t>
      </w:r>
      <w:r>
        <w:rPr>
          <w:rFonts w:hint="eastAsia" w:ascii="楷体" w:hAnsi="楷体" w:eastAsia="楷体" w:cs="楷体"/>
          <w:b/>
          <w:sz w:val="32"/>
          <w:szCs w:val="32"/>
          <w:lang w:val="en-US" w:eastAsia="zh-CN"/>
        </w:rPr>
        <w:t>不良资产情况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截止2024年末，我行</w:t>
      </w:r>
      <w:r>
        <w:rPr>
          <w:rFonts w:hint="eastAsia" w:ascii="仿宋_GB2312" w:hAnsi="Times New Roman" w:eastAsia="仿宋_GB2312" w:cs="仿宋_GB2312"/>
          <w:kern w:val="0"/>
          <w:sz w:val="32"/>
          <w:szCs w:val="32"/>
          <w:lang w:val="en-US" w:eastAsia="zh-CN" w:bidi="ar"/>
        </w:rPr>
        <w:t>不良贷款余额17480.06万元,较年初增加859.98万元。其中：次级类贷款余额7502.04万元、可疑类贷款余额9978.02万元，不良率1.93%，较年初下降0.01个百分点，</w:t>
      </w:r>
      <w:r>
        <w:rPr>
          <w:rFonts w:hint="eastAsia" w:ascii="仿宋_GB2312" w:hAnsi="仿宋_GB2312" w:eastAsia="仿宋_GB2312" w:cs="仿宋_GB2312"/>
          <w:b w:val="0"/>
          <w:bCs w:val="0"/>
          <w:color w:val="auto"/>
          <w:sz w:val="32"/>
          <w:szCs w:val="32"/>
          <w:lang w:val="en-US" w:eastAsia="zh-CN"/>
        </w:rPr>
        <w:t>拨备覆盖率262.02%；</w:t>
      </w:r>
      <w:r>
        <w:rPr>
          <w:rFonts w:hint="eastAsia" w:ascii="仿宋_GB2312" w:hAnsi="Times New Roman" w:eastAsia="仿宋_GB2312" w:cs="Times New Roman"/>
          <w:sz w:val="32"/>
          <w:szCs w:val="32"/>
          <w:lang w:val="en-US" w:eastAsia="zh-CN" w:bidi="en-US"/>
        </w:rPr>
        <w:t>本年度纳入表外资产管理金额13501.10万元，收回的表外资产2755.40万元，全部用于转增贷款损失准备，提高风险抵补能力。</w:t>
      </w:r>
    </w:p>
    <w:p>
      <w:pPr>
        <w:keepNext w:val="0"/>
        <w:keepLines w:val="0"/>
        <w:pageBreakBefore w:val="0"/>
        <w:numPr>
          <w:ilvl w:val="0"/>
          <w:numId w:val="1"/>
        </w:numPr>
        <w:shd w:val="clear" w:color="auto" w:fill="FFFFFF"/>
        <w:kinsoku/>
        <w:wordWrap/>
        <w:overflowPunct/>
        <w:topLinePunct w:val="0"/>
        <w:autoSpaceDN/>
        <w:bidi w:val="0"/>
        <w:adjustRightInd/>
        <w:snapToGrid/>
        <w:spacing w:line="560" w:lineRule="exact"/>
        <w:ind w:left="1350" w:leftChars="0" w:firstLineChars="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资产负债规模变动及管理情况</w:t>
      </w:r>
    </w:p>
    <w:p>
      <w:pPr>
        <w:keepNext w:val="0"/>
        <w:keepLines w:val="0"/>
        <w:pageBreakBefore w:val="0"/>
        <w:shd w:val="clear" w:color="auto" w:fill="FFFFFF"/>
        <w:kinsoku/>
        <w:wordWrap/>
        <w:overflowPunct/>
        <w:topLinePunct w:val="0"/>
        <w:autoSpaceDN/>
        <w:bidi w:val="0"/>
        <w:adjustRightInd/>
        <w:snapToGrid/>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加强资产负债管理，建立科学合理的资产负债管理机制，发挥资产负债管理在经营管理中的核心作用，我行制定《赫章农商银行资产负债管理委员会议事规则》，成立资产负债管理委员会，统筹全行资产负债管理工作。</w:t>
      </w:r>
    </w:p>
    <w:p>
      <w:pPr>
        <w:keepNext w:val="0"/>
        <w:keepLines w:val="0"/>
        <w:pageBreakBefore w:val="0"/>
        <w:numPr>
          <w:ilvl w:val="0"/>
          <w:numId w:val="2"/>
        </w:numPr>
        <w:kinsoku/>
        <w:wordWrap/>
        <w:overflowPunct/>
        <w:topLinePunct w:val="0"/>
        <w:autoSpaceDN/>
        <w:bidi w:val="0"/>
        <w:adjustRightInd/>
        <w:snapToGrid/>
        <w:spacing w:line="560" w:lineRule="exact"/>
        <w:ind w:left="-10" w:leftChars="0" w:firstLine="640" w:firstLineChars="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资产总额</w:t>
      </w:r>
      <w:r>
        <w:rPr>
          <w:rFonts w:ascii="仿宋_GB2312" w:eastAsia="仿宋_GB2312"/>
          <w:sz w:val="32"/>
          <w:szCs w:val="32"/>
          <w:highlight w:val="none"/>
          <w:lang w:eastAsia="zh-CN"/>
        </w:rPr>
        <w:t>1419282.4</w:t>
      </w:r>
      <w:r>
        <w:rPr>
          <w:rFonts w:hint="eastAsia" w:ascii="仿宋_GB2312" w:eastAsia="仿宋_GB2312"/>
          <w:sz w:val="32"/>
          <w:szCs w:val="32"/>
          <w:highlight w:val="none"/>
          <w:lang w:eastAsia="zh-CN"/>
        </w:rPr>
        <w:t>7万元,较年初增加141804.08万元,增幅11.10%。其中现金及存放中央银行款项64741.17万元、存放同业款项24327.95万元、贷款862443.7</w:t>
      </w:r>
      <w:r>
        <w:rPr>
          <w:rFonts w:hint="eastAsia" w:ascii="仿宋_GB2312" w:eastAsia="仿宋_GB2312"/>
          <w:sz w:val="32"/>
          <w:szCs w:val="32"/>
          <w:highlight w:val="none"/>
          <w:lang w:val="en-US" w:eastAsia="zh-CN"/>
        </w:rPr>
        <w:t>4万元、交易性金融资产88054.60万元、债权投资301158.44万元、其他债权投资37342.79万元、其他权益工具投资30万元、固定资产13865.57                           万元、使用权资产95.50万元，在建工程125.18万元、无形资产288.82万元、递延所得税资产14308.49万元、其他资产12500.21万元。</w:t>
      </w:r>
    </w:p>
    <w:p>
      <w:pPr>
        <w:keepNext w:val="0"/>
        <w:keepLines w:val="0"/>
        <w:pageBreakBefore w:val="0"/>
        <w:numPr>
          <w:ilvl w:val="0"/>
          <w:numId w:val="2"/>
        </w:numPr>
        <w:kinsoku/>
        <w:wordWrap/>
        <w:overflowPunct/>
        <w:topLinePunct w:val="0"/>
        <w:autoSpaceDN/>
        <w:bidi w:val="0"/>
        <w:adjustRightInd/>
        <w:snapToGrid/>
        <w:spacing w:line="560" w:lineRule="exact"/>
        <w:ind w:left="-10" w:leftChars="0" w:firstLine="640" w:firstLineChars="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负债总额</w:t>
      </w:r>
      <w:r>
        <w:rPr>
          <w:rFonts w:ascii="仿宋_GB2312" w:eastAsia="仿宋_GB2312"/>
          <w:sz w:val="32"/>
          <w:szCs w:val="32"/>
          <w:highlight w:val="none"/>
          <w:lang w:eastAsia="zh-CN"/>
        </w:rPr>
        <w:t>1316637</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1</w:t>
      </w:r>
      <w:r>
        <w:rPr>
          <w:rFonts w:hint="eastAsia" w:ascii="仿宋_GB2312" w:eastAsia="仿宋_GB2312"/>
          <w:sz w:val="32"/>
          <w:szCs w:val="32"/>
          <w:highlight w:val="none"/>
          <w:lang w:eastAsia="zh-CN"/>
        </w:rPr>
        <w:t>9万元,较年初增加</w:t>
      </w:r>
      <w:r>
        <w:rPr>
          <w:rFonts w:ascii="仿宋_GB2312" w:eastAsia="仿宋_GB2312"/>
          <w:sz w:val="32"/>
          <w:szCs w:val="32"/>
          <w:highlight w:val="none"/>
          <w:lang w:eastAsia="zh-CN"/>
        </w:rPr>
        <w:t>143778</w:t>
      </w:r>
      <w:r>
        <w:rPr>
          <w:rFonts w:hint="eastAsia" w:ascii="仿宋_GB2312" w:eastAsia="仿宋_GB2312"/>
          <w:sz w:val="32"/>
          <w:szCs w:val="32"/>
          <w:highlight w:val="none"/>
          <w:lang w:eastAsia="zh-CN"/>
        </w:rPr>
        <w:t>.25万元,增幅12.26%。其中向中央银行借款134538万元、吸收存款1131645.77万元、应付职工薪酬10593.04万元、应交税费3353.1</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lang w:eastAsia="zh-CN"/>
        </w:rPr>
        <w:t>万元、递延所得税负债1037.45万元、其他负债35469.7</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万元。</w:t>
      </w:r>
    </w:p>
    <w:p>
      <w:pPr>
        <w:keepNext w:val="0"/>
        <w:keepLines w:val="0"/>
        <w:pageBreakBefore w:val="0"/>
        <w:numPr>
          <w:ilvl w:val="0"/>
          <w:numId w:val="2"/>
        </w:numPr>
        <w:kinsoku/>
        <w:wordWrap/>
        <w:overflowPunct/>
        <w:topLinePunct w:val="0"/>
        <w:autoSpaceDN/>
        <w:bidi w:val="0"/>
        <w:adjustRightInd/>
        <w:snapToGrid/>
        <w:spacing w:line="560" w:lineRule="exact"/>
        <w:ind w:left="-10" w:leftChars="0" w:firstLine="640" w:firstLineChars="0"/>
        <w:jc w:val="both"/>
        <w:rPr>
          <w:rFonts w:hint="eastAsia" w:ascii="仿宋_GB2312" w:eastAsia="仿宋_GB2312"/>
          <w:sz w:val="32"/>
          <w:szCs w:val="32"/>
          <w:lang w:eastAsia="zh-CN"/>
        </w:rPr>
      </w:pPr>
      <w:r>
        <w:rPr>
          <w:rFonts w:hint="eastAsia" w:ascii="仿宋_GB2312" w:eastAsia="仿宋_GB2312"/>
          <w:sz w:val="32"/>
          <w:szCs w:val="32"/>
          <w:lang w:eastAsia="zh-CN"/>
        </w:rPr>
        <w:t>所者权益</w:t>
      </w:r>
      <w:r>
        <w:rPr>
          <w:rFonts w:ascii="仿宋_GB2312" w:eastAsia="仿宋_GB2312"/>
          <w:sz w:val="32"/>
          <w:szCs w:val="32"/>
          <w:lang w:eastAsia="zh-CN"/>
        </w:rPr>
        <w:t>102645</w:t>
      </w:r>
      <w:r>
        <w:rPr>
          <w:rFonts w:hint="eastAsia" w:ascii="仿宋_GB2312" w:eastAsia="仿宋_GB2312"/>
          <w:sz w:val="32"/>
          <w:szCs w:val="32"/>
          <w:lang w:eastAsia="zh-CN"/>
        </w:rPr>
        <w:t>.</w:t>
      </w:r>
      <w:r>
        <w:rPr>
          <w:rFonts w:ascii="仿宋_GB2312" w:eastAsia="仿宋_GB2312"/>
          <w:sz w:val="32"/>
          <w:szCs w:val="32"/>
          <w:lang w:eastAsia="zh-CN"/>
        </w:rPr>
        <w:t>28</w:t>
      </w:r>
      <w:r>
        <w:rPr>
          <w:rFonts w:hint="eastAsia" w:ascii="仿宋_GB2312" w:eastAsia="仿宋_GB2312"/>
          <w:sz w:val="32"/>
          <w:szCs w:val="32"/>
          <w:lang w:eastAsia="zh-CN"/>
        </w:rPr>
        <w:t>万元,较年初下降1974.16万元,降幅1.89%。其中实收资本</w:t>
      </w:r>
      <w:r>
        <w:rPr>
          <w:rFonts w:hint="eastAsia" w:ascii="仿宋_GB2312" w:eastAsia="仿宋_GB2312"/>
          <w:sz w:val="32"/>
          <w:szCs w:val="32"/>
          <w:lang w:val="en-US" w:eastAsia="zh-CN"/>
        </w:rPr>
        <w:t>22500万元；资本公积5466.52万元；其他综合收益1641.31万元，较年初增加1012.75万元；一般风险准备28755.07万元、较年初增加1031.67万元；盈余公积8372.39万元、较年初减少39.70万元；未分配利润35909.99万元、较年初减少3978.88万元。</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eastAsia="仿宋_GB2312"/>
          <w:sz w:val="32"/>
          <w:szCs w:val="32"/>
          <w:lang w:val="en-US" w:eastAsia="zh-CN"/>
        </w:rPr>
        <w:t>盈余公积较年初减少39.70万元。原因</w:t>
      </w:r>
      <w:r>
        <w:rPr>
          <w:rFonts w:hint="eastAsia" w:ascii="仿宋_GB2312" w:eastAsia="仿宋_GB2312"/>
          <w:b/>
          <w:bCs/>
          <w:sz w:val="32"/>
          <w:szCs w:val="32"/>
          <w:lang w:val="en-US" w:eastAsia="zh-CN"/>
        </w:rPr>
        <w:t>一是</w:t>
      </w:r>
      <w:r>
        <w:rPr>
          <w:rFonts w:hint="eastAsia" w:ascii="仿宋_GB2312" w:eastAsia="仿宋_GB2312"/>
          <w:b w:val="0"/>
          <w:bCs w:val="0"/>
          <w:sz w:val="32"/>
          <w:szCs w:val="32"/>
          <w:lang w:val="en-US" w:eastAsia="zh-CN"/>
        </w:rPr>
        <w:t>根据《省联社计划财务部关于规范离职后福利及辞退福利相关会计核算的通知》要求，</w:t>
      </w:r>
      <w:r>
        <w:rPr>
          <w:rFonts w:hint="eastAsia" w:ascii="仿宋_GB2312" w:hAnsi="仿宋_GB2312" w:eastAsia="仿宋_GB2312" w:cs="仿宋_GB2312"/>
          <w:color w:val="auto"/>
          <w:sz w:val="32"/>
          <w:szCs w:val="32"/>
          <w:lang w:val="en-US" w:eastAsia="zh-CN"/>
        </w:rPr>
        <w:t>从以前年度损益调整退休人员离职后福利及内退人员辞职福利5137万元，转出10%法定盈余公积513.70万元；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从以前年度损益调整补计提非信贷资产减值准备6860万元，转出10%法定盈余公积686万元；</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根据2024年净利润11600万元增加10%盈余公积1160万元，轧差后盈余公积较年初减少39.70万元。</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未分配利润</w:t>
      </w:r>
      <w:r>
        <w:rPr>
          <w:rFonts w:hint="eastAsia" w:ascii="仿宋_GB2312" w:eastAsia="仿宋_GB2312"/>
          <w:sz w:val="32"/>
          <w:szCs w:val="32"/>
          <w:lang w:val="en-US" w:eastAsia="zh-CN"/>
        </w:rPr>
        <w:t>较年初减少3978.88万元。原因</w:t>
      </w:r>
      <w:r>
        <w:rPr>
          <w:rFonts w:hint="eastAsia" w:ascii="仿宋_GB2312" w:eastAsia="仿宋_GB2312"/>
          <w:b/>
          <w:bCs/>
          <w:sz w:val="32"/>
          <w:szCs w:val="32"/>
          <w:lang w:val="en-US" w:eastAsia="zh-CN"/>
        </w:rPr>
        <w:t>一是</w:t>
      </w:r>
      <w:r>
        <w:rPr>
          <w:rFonts w:hint="eastAsia" w:ascii="仿宋_GB2312" w:hAnsi="仿宋_GB2312" w:eastAsia="仿宋_GB2312" w:cs="仿宋_GB2312"/>
          <w:color w:val="auto"/>
          <w:sz w:val="32"/>
          <w:szCs w:val="32"/>
          <w:lang w:val="en-US" w:eastAsia="zh-CN"/>
        </w:rPr>
        <w:t>调整辞职福利和离职后福利4623.30万元；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补</w:t>
      </w:r>
      <w:r>
        <w:rPr>
          <w:rFonts w:hint="eastAsia" w:ascii="仿宋_GB2312" w:hAnsi="仿宋_GB2312" w:eastAsia="仿宋_GB2312" w:cs="仿宋_GB2312"/>
          <w:color w:val="auto"/>
          <w:sz w:val="32"/>
          <w:szCs w:val="32"/>
          <w:lang w:val="en-US" w:eastAsia="zh-CN"/>
        </w:rPr>
        <w:t>计提非信贷资产减值准备6174万元；</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转回2023年度多计提企业所得税、</w:t>
      </w:r>
      <w:r>
        <w:rPr>
          <w:rFonts w:hint="eastAsia" w:ascii="仿宋_GB2312" w:hAnsi="仿宋_GB2312" w:eastAsia="仿宋_GB2312" w:cs="仿宋_GB2312"/>
          <w:color w:val="auto"/>
          <w:sz w:val="32"/>
          <w:szCs w:val="32"/>
          <w:lang w:val="en-US" w:eastAsia="zh-CN"/>
        </w:rPr>
        <w:t>确认2023年及以前年度递延所得税资产和负债1074万元；</w:t>
      </w:r>
      <w:r>
        <w:rPr>
          <w:rFonts w:hint="eastAsia" w:ascii="仿宋_GB2312" w:hAnsi="仿宋_GB2312" w:eastAsia="仿宋_GB2312" w:cs="仿宋_GB2312"/>
          <w:b/>
          <w:bCs/>
          <w:color w:val="auto"/>
          <w:sz w:val="32"/>
          <w:szCs w:val="32"/>
          <w:lang w:val="en-US" w:eastAsia="zh-CN"/>
        </w:rPr>
        <w:t>四是</w:t>
      </w:r>
      <w:r>
        <w:rPr>
          <w:rFonts w:hint="eastAsia" w:ascii="仿宋_GB2312" w:eastAsia="仿宋_GB2312"/>
          <w:sz w:val="32"/>
          <w:szCs w:val="32"/>
          <w:lang w:eastAsia="zh-CN"/>
        </w:rPr>
        <w:t>调整人力外包费27万元；</w:t>
      </w:r>
      <w:r>
        <w:rPr>
          <w:rFonts w:hint="eastAsia" w:ascii="仿宋_GB2312" w:eastAsia="仿宋_GB2312"/>
          <w:b/>
          <w:bCs/>
          <w:sz w:val="32"/>
          <w:szCs w:val="32"/>
          <w:lang w:eastAsia="zh-CN"/>
        </w:rPr>
        <w:t>五是</w:t>
      </w:r>
      <w:r>
        <w:rPr>
          <w:rFonts w:hint="eastAsia" w:ascii="仿宋_GB2312" w:hAnsi="仿宋_GB2312" w:eastAsia="仿宋_GB2312" w:cs="仿宋_GB2312"/>
          <w:color w:val="auto"/>
          <w:sz w:val="32"/>
          <w:szCs w:val="32"/>
          <w:lang w:val="en-US" w:eastAsia="zh-CN"/>
        </w:rPr>
        <w:t>计提2023年度股金分红金额1350万元、预提2024年股金红利1170万元；</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lang w:val="en-US" w:eastAsia="zh-CN"/>
        </w:rPr>
        <w:t>留存2025年净利润11600万元；以上事项轧差后未分配利润</w:t>
      </w:r>
      <w:r>
        <w:rPr>
          <w:rFonts w:hint="eastAsia" w:ascii="仿宋_GB2312" w:eastAsia="仿宋_GB2312"/>
          <w:sz w:val="32"/>
          <w:szCs w:val="32"/>
          <w:lang w:val="en-US" w:eastAsia="zh-CN"/>
        </w:rPr>
        <w:t>较年初减少3978.88万元。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0" w:firstLine="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三、利润实现和分配情况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2024年利润总额13458.97万元，实现净利润11600万元，按照10%提取法定盈余公积1160万元，提取2023年度股金红利1350万元，按照5.2%预提2024年度股金红利1170万元，年末未分配利润35910万元。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0" w:firstLine="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四、其他应收款、应付款基本情况</w:t>
      </w:r>
    </w:p>
    <w:p>
      <w:pPr>
        <w:shd w:val="clear" w:color="auto" w:fill="FFFFFF"/>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我行按照《贵州省农村信用社财务往来款项管理办法》（黔农信办法〔2020〕53号）文件及会计核算要求，强化应收应付款的常态化管理，认真落实向应收应付款要效益的举措。</w:t>
      </w:r>
      <w:r>
        <w:rPr>
          <w:rFonts w:hint="eastAsia" w:ascii="仿宋_GB2312" w:eastAsia="仿宋_GB2312"/>
          <w:b/>
          <w:bCs/>
          <w:sz w:val="32"/>
          <w:szCs w:val="32"/>
          <w:lang w:eastAsia="zh-CN"/>
        </w:rPr>
        <w:t>一是</w:t>
      </w:r>
      <w:r>
        <w:rPr>
          <w:rFonts w:hint="eastAsia" w:ascii="仿宋_GB2312" w:eastAsia="仿宋_GB2312"/>
          <w:bCs/>
          <w:sz w:val="32"/>
          <w:szCs w:val="32"/>
          <w:lang w:eastAsia="zh-CN"/>
        </w:rPr>
        <w:t>财务部门</w:t>
      </w:r>
      <w:r>
        <w:rPr>
          <w:rFonts w:hint="eastAsia" w:ascii="仿宋_GB2312" w:eastAsia="仿宋_GB2312"/>
          <w:sz w:val="32"/>
          <w:szCs w:val="32"/>
          <w:lang w:eastAsia="zh-CN"/>
        </w:rPr>
        <w:t>牵头开展多次往来款项的清理排查，加大对长期挂账资金的处理力度；</w:t>
      </w:r>
      <w:r>
        <w:rPr>
          <w:rFonts w:hint="eastAsia" w:ascii="仿宋_GB2312" w:eastAsia="仿宋_GB2312"/>
          <w:b/>
          <w:sz w:val="32"/>
          <w:szCs w:val="32"/>
          <w:lang w:eastAsia="zh-CN"/>
        </w:rPr>
        <w:t>二是</w:t>
      </w:r>
      <w:r>
        <w:rPr>
          <w:rFonts w:hint="eastAsia" w:ascii="仿宋_GB2312" w:eastAsia="仿宋_GB2312"/>
          <w:sz w:val="32"/>
          <w:szCs w:val="32"/>
          <w:lang w:eastAsia="zh-CN"/>
        </w:rPr>
        <w:t>对账龄超过2年无人追索的应付款项以及其他有确凿证据证明不需要再履行的应付款项，履行内部审批流程后，转入营业外收入；三是对确实无法收回的垫付诉讼费，由风险管理部门清理并履行内部审批流程后提交财务部门作为坏账，转销应收款项。</w:t>
      </w:r>
    </w:p>
    <w:p>
      <w:pPr>
        <w:shd w:val="clear" w:color="auto" w:fill="FFFFFF"/>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（一）其他应收款基本情况。2024年</w:t>
      </w:r>
      <w:bookmarkStart w:id="0" w:name="_GoBack"/>
      <w:bookmarkEnd w:id="0"/>
      <w:r>
        <w:rPr>
          <w:rFonts w:hint="eastAsia" w:ascii="仿宋_GB2312" w:eastAsia="仿宋_GB2312"/>
          <w:sz w:val="32"/>
          <w:szCs w:val="32"/>
          <w:highlight w:val="none"/>
          <w:lang w:eastAsia="zh-CN"/>
        </w:rPr>
        <w:t>末，其他应收款余额198.29万元，同比减少69.82万元，降幅26.04%。其中垫付诉讼费157.98万元、短期待摊租赁费27.09万元、垫付“利前富”定期储蓄存款前置利息13.22万元，已根据分类足额计提坏账准备199.76万元。</w:t>
      </w:r>
    </w:p>
    <w:p>
      <w:pPr>
        <w:shd w:val="clear" w:color="auto" w:fill="FFFFFF"/>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其他应付款基本情况。2024年末，其他应付款余额330.34万元，同比增加93.27万元，增幅39.34%。其中待处理自助设备长、短款0.51万元；待清理股金8.56万元；应付保证金47.04万元；应付党组织工作经费180.31万元；零星股金、不良信贷资产经济赔偿等其他应付款项93.92万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0" w:firstLine="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五、重大事项对相关财务指标和经营成果产生的影响</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仿宋_GB2312" w:hAnsi="楷体_GB2312" w:eastAsia="仿宋_GB2312"/>
          <w:b/>
          <w:sz w:val="32"/>
          <w:szCs w:val="32"/>
          <w:lang w:val="en-US" w:eastAsia="zh-CN"/>
        </w:rPr>
      </w:pPr>
      <w:r>
        <w:rPr>
          <w:rFonts w:hint="eastAsia" w:ascii="仿宋_GB2312" w:eastAsia="仿宋_GB2312"/>
          <w:sz w:val="32"/>
          <w:szCs w:val="32"/>
          <w:lang w:val="en-US" w:eastAsia="zh-CN"/>
        </w:rPr>
        <w:t>2024年，我行净利润11600万元，提取法定盈余公积1160万元，计提2023年度股金红利1350万元，但因</w:t>
      </w:r>
      <w:r>
        <w:rPr>
          <w:rFonts w:hint="eastAsia" w:ascii="仿宋_GB2312" w:eastAsia="仿宋_GB2312"/>
          <w:sz w:val="32"/>
          <w:szCs w:val="32"/>
          <w:lang w:eastAsia="zh-CN"/>
        </w:rPr>
        <w:t>受以下事项影响，</w:t>
      </w:r>
      <w:r>
        <w:rPr>
          <w:rFonts w:hint="eastAsia" w:ascii="仿宋_GB2312" w:eastAsia="仿宋_GB2312"/>
          <w:sz w:val="32"/>
          <w:szCs w:val="32"/>
          <w:lang w:val="en-US" w:eastAsia="zh-CN"/>
        </w:rPr>
        <w:t>所有者权益较去年同期下降</w:t>
      </w:r>
      <w:r>
        <w:rPr>
          <w:rFonts w:hint="eastAsia" w:ascii="仿宋_GB2312" w:eastAsia="仿宋_GB2312"/>
          <w:sz w:val="32"/>
          <w:szCs w:val="32"/>
          <w:lang w:eastAsia="zh-CN"/>
        </w:rPr>
        <w:t>1974.16万元。</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根据国家金融监督管理总局《关于实施&lt;商业银行资本管理办法&gt;相关事项的通知》（金规〔2023〕9号）的相关规定及省联社文件要求，计提非信贷资产减值准备6860万元，通过以前年度损益进行调整，其中从未分配利润转出6174万元，法定盈余公积转出686万元。</w:t>
      </w:r>
    </w:p>
    <w:p>
      <w:pPr>
        <w:keepNext w:val="0"/>
        <w:keepLines w:val="0"/>
        <w:pageBreakBefore w:val="0"/>
        <w:widowControl w:val="0"/>
        <w:kinsoku/>
        <w:wordWrap/>
        <w:overflowPunct/>
        <w:topLinePunct w:val="0"/>
        <w:autoSpaceDE w:val="0"/>
        <w:autoSpaceDN/>
        <w:bidi w:val="0"/>
        <w:adjustRightInd/>
        <w:snapToGrid/>
        <w:spacing w:line="560" w:lineRule="exact"/>
        <w:ind w:firstLine="320" w:firstLineChars="100"/>
        <w:textAlignment w:val="auto"/>
        <w:rPr>
          <w:rFonts w:ascii="仿宋_GB2312" w:eastAsia="仿宋_GB2312"/>
          <w:sz w:val="32"/>
          <w:szCs w:val="32"/>
          <w:lang w:eastAsia="zh-CN"/>
        </w:rPr>
      </w:pPr>
      <w:r>
        <w:rPr>
          <w:rFonts w:hint="eastAsia" w:ascii="仿宋_GB2312" w:eastAsia="仿宋_GB2312"/>
          <w:sz w:val="32"/>
          <w:szCs w:val="32"/>
          <w:lang w:eastAsia="zh-CN"/>
        </w:rPr>
        <w:t>（二）根据《省联社计划财务部关于规范离职后福利及辞退福利相关会计核算的通知》文件要求，从以前年度损益调整离职后福利3431万元，辞退福利1706万元，合计调整5137万元。其中其中从未分配利润转出4623.30万元，法定盈余公积转出513.70万元。</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根据《贵州省农村信用社所得税会计核算规程的通知》及《省联社计划财务部关于规范西部大开发税收优惠会计核算的通知》文件要求，对税会差异产生的暂时性差异按照15%税率进行确认递延所得税资产，转回</w:t>
      </w:r>
      <w:r>
        <w:rPr>
          <w:rFonts w:hint="eastAsia" w:ascii="仿宋_GB2312" w:eastAsia="仿宋_GB2312"/>
          <w:sz w:val="32"/>
          <w:szCs w:val="32"/>
          <w:lang w:val="en-US" w:eastAsia="zh-CN"/>
        </w:rPr>
        <w:t>2023年度多计提企业所得税及确认</w:t>
      </w:r>
      <w:r>
        <w:rPr>
          <w:rFonts w:hint="eastAsia" w:ascii="仿宋_GB2312" w:eastAsia="仿宋_GB2312"/>
          <w:sz w:val="32"/>
          <w:szCs w:val="32"/>
          <w:lang w:eastAsia="zh-CN"/>
        </w:rPr>
        <w:t>2023年及以前年度递延所得税资产调减以前年度损益1074万元。</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（四）根据《省联社资产负债管理委员会关于做好全省农信社2024年财务决算工作的通知》要求按照</w:t>
      </w:r>
      <w:r>
        <w:rPr>
          <w:rFonts w:hint="eastAsia" w:ascii="仿宋_GB2312" w:eastAsia="仿宋_GB2312"/>
          <w:sz w:val="32"/>
          <w:szCs w:val="32"/>
          <w:lang w:val="en-US" w:eastAsia="zh-CN"/>
        </w:rPr>
        <w:t>5.2%</w:t>
      </w:r>
      <w:r>
        <w:rPr>
          <w:rFonts w:hint="eastAsia" w:ascii="仿宋_GB2312" w:eastAsia="仿宋_GB2312"/>
          <w:sz w:val="32"/>
          <w:szCs w:val="32"/>
          <w:lang w:eastAsia="zh-CN"/>
        </w:rPr>
        <w:t>预提2024年度股金红利1170万元。</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（五）根据《省联社计划财务部关于全省农村信用社分摊2024年4季度服务费的通知》文件要求，从以前年度损失调整人力外包费27万元。</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2025年4月29日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B11C0"/>
    <w:multiLevelType w:val="singleLevel"/>
    <w:tmpl w:val="D69B11C0"/>
    <w:lvl w:ilvl="0" w:tentative="0">
      <w:start w:val="1"/>
      <w:numFmt w:val="chineseCounting"/>
      <w:suff w:val="nothing"/>
      <w:lvlText w:val="（%1）"/>
      <w:lvlJc w:val="left"/>
      <w:pPr>
        <w:ind w:left="-10"/>
      </w:pPr>
      <w:rPr>
        <w:rFonts w:hint="eastAsia"/>
      </w:rPr>
    </w:lvl>
  </w:abstractNum>
  <w:abstractNum w:abstractNumId="1">
    <w:nsid w:val="2B702200"/>
    <w:multiLevelType w:val="multilevel"/>
    <w:tmpl w:val="2B702200"/>
    <w:lvl w:ilvl="0" w:tentative="0">
      <w:start w:val="1"/>
      <w:numFmt w:val="japaneseCounting"/>
      <w:lvlText w:val="%1、"/>
      <w:lvlJc w:val="left"/>
      <w:pPr>
        <w:ind w:left="1350" w:hanging="720"/>
      </w:pPr>
      <w:rPr>
        <w:rFonts w:hint="eastAsia" w:ascii="黑体" w:hAnsi="黑体" w:eastAsia="黑体" w:cs="黑体"/>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A3ACA"/>
    <w:rsid w:val="024E5D3E"/>
    <w:rsid w:val="0E3357CA"/>
    <w:rsid w:val="116E7FF1"/>
    <w:rsid w:val="2AC9740B"/>
    <w:rsid w:val="2C53621D"/>
    <w:rsid w:val="317336CD"/>
    <w:rsid w:val="331E1C4B"/>
    <w:rsid w:val="34EA0525"/>
    <w:rsid w:val="442D2BF7"/>
    <w:rsid w:val="453B6458"/>
    <w:rsid w:val="45EE2742"/>
    <w:rsid w:val="46265B65"/>
    <w:rsid w:val="464D4052"/>
    <w:rsid w:val="466F5E15"/>
    <w:rsid w:val="4A927D5A"/>
    <w:rsid w:val="5EE54133"/>
    <w:rsid w:val="66E92559"/>
    <w:rsid w:val="6AFB345F"/>
    <w:rsid w:val="6C675D04"/>
    <w:rsid w:val="6E1570D6"/>
    <w:rsid w:val="79C41BC7"/>
    <w:rsid w:val="7ECA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31"/>
    <w:basedOn w:val="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2025-02-17T03:21:00Z</dcterms:created>
  <dc:creator>匿名用户</dc:creator>
  <cp:lastModifiedBy>132337-陈桃</cp:lastModifiedBy>
  <cp:lastPrinted>2025-02-24T03:55:00Z</cp:lastPrinted>
  <dcterms:modified xsi:type="dcterms:W3CDTF">2025-04-30T02:47:57Z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B34CA6828A21407DA65722C6490C51B8_12</vt:lpwstr>
  </property>
</Properties>
</file>