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line="58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kern w:val="0"/>
          <w:sz w:val="44"/>
          <w:szCs w:val="44"/>
        </w:rPr>
        <w:t>贵州兴仁农村商业银行股份有限公司</w:t>
      </w:r>
      <w:r>
        <w:rPr>
          <w:rFonts w:hint="eastAsia" w:ascii="方正小标宋简体" w:hAnsi="方正小标宋简体" w:eastAsia="方正小标宋简体" w:cs="方正小标宋简体"/>
          <w:kern w:val="0"/>
          <w:sz w:val="44"/>
          <w:szCs w:val="44"/>
          <w:lang w:val="en-US" w:eastAsia="zh-CN"/>
        </w:rPr>
        <w:t>2025年1季度</w:t>
      </w:r>
      <w:r>
        <w:rPr>
          <w:rFonts w:hint="eastAsia" w:ascii="方正小标宋简体" w:hAnsi="方正小标宋简体" w:eastAsia="方正小标宋简体" w:cs="方正小标宋简体"/>
          <w:kern w:val="0"/>
          <w:sz w:val="44"/>
          <w:szCs w:val="44"/>
        </w:rPr>
        <w:t>一般关联交易信息披露报告</w:t>
      </w:r>
    </w:p>
    <w:p>
      <w:pPr>
        <w:widowControl/>
        <w:spacing w:beforeAutospacing="1" w:line="580" w:lineRule="exact"/>
        <w:ind w:firstLine="480" w:firstLineChars="200"/>
        <w:jc w:val="left"/>
        <w:rPr>
          <w:rFonts w:ascii="Times New Roman" w:hAnsi="Times New Roman" w:eastAsia="微软雅黑" w:cs="Times New Roman"/>
          <w:sz w:val="24"/>
        </w:rPr>
      </w:pPr>
    </w:p>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根据原银保监会（现国家金融监督管理总局）《银行保险机构关联交易管理办法》相关规定，贵州兴仁农村商业银行股份有限公司与关联方的交易遵守法律法规和有关监管规定，遵循诚信、公允的原则。现将</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hint="eastAsia" w:ascii="仿宋_GB2312" w:hAnsi="Times New Roman" w:eastAsia="仿宋_GB2312" w:cs="仿宋_GB2312"/>
          <w:kern w:val="0"/>
          <w:sz w:val="32"/>
          <w:szCs w:val="32"/>
        </w:rPr>
        <w:t>年第</w:t>
      </w:r>
      <w:r>
        <w:rPr>
          <w:rFonts w:hint="eastAsia"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季度一般关联交易披露如下：</w:t>
      </w:r>
    </w:p>
    <w:p>
      <w:pPr>
        <w:widowControl/>
        <w:spacing w:line="560" w:lineRule="exact"/>
        <w:ind w:left="5279" w:leftChars="228" w:hanging="4800" w:hangingChars="2000"/>
        <w:jc w:val="center"/>
        <w:rPr>
          <w:rFonts w:ascii="Times New Roman" w:hAnsi="Times New Roman" w:eastAsia="微软雅黑" w:cs="Times New Roman"/>
          <w:sz w:val="24"/>
        </w:rPr>
      </w:pPr>
      <w:r>
        <w:rPr>
          <w:rFonts w:hint="eastAsia" w:ascii="微软雅黑" w:hAnsi="微软雅黑" w:eastAsia="微软雅黑" w:cs="微软雅黑"/>
          <w:kern w:val="0"/>
          <w:sz w:val="24"/>
        </w:rPr>
        <w:t>单位：人民币万元</w:t>
      </w:r>
    </w:p>
    <w:tbl>
      <w:tblPr>
        <w:tblStyle w:val="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微软雅黑" w:hAnsi="微软雅黑" w:eastAsia="微软雅黑" w:cs="微软雅黑"/>
                <w:kern w:val="0"/>
                <w:sz w:val="22"/>
                <w:szCs w:val="22"/>
              </w:rPr>
              <w:t>关联交易类型</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微软雅黑" w:hAnsi="微软雅黑" w:eastAsia="微软雅黑" w:cs="微软雅黑"/>
                <w:kern w:val="0"/>
                <w:sz w:val="22"/>
                <w:szCs w:val="22"/>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微软雅黑" w:hAnsi="微软雅黑" w:eastAsia="微软雅黑" w:cs="微软雅黑"/>
                <w:kern w:val="0"/>
                <w:sz w:val="22"/>
                <w:szCs w:val="22"/>
              </w:rPr>
              <w:t>授信类关联交易</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ascii="Times New Roman" w:hAnsi="Times New Roman" w:eastAsia="微软雅黑" w:cs="Times New Roman"/>
                <w:kern w:val="0"/>
                <w:sz w:val="22"/>
                <w:szCs w:val="22"/>
              </w:rPr>
              <w:t>1233.3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微软雅黑" w:hAnsi="微软雅黑" w:eastAsia="微软雅黑" w:cs="微软雅黑"/>
                <w:kern w:val="0"/>
                <w:sz w:val="22"/>
                <w:szCs w:val="22"/>
              </w:rPr>
              <w:t>资产转移类关联交易</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ascii="Times New Roman" w:hAnsi="Times New Roman" w:eastAsia="微软雅黑" w:cs="Times New Roman"/>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微软雅黑" w:hAnsi="微软雅黑" w:eastAsia="微软雅黑" w:cs="微软雅黑"/>
                <w:kern w:val="0"/>
                <w:sz w:val="22"/>
                <w:szCs w:val="22"/>
              </w:rPr>
              <w:t>服务类关联交易</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ascii="Times New Roman" w:hAnsi="Times New Roman" w:eastAsia="微软雅黑" w:cs="Times New Roman"/>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微软雅黑" w:hAnsi="微软雅黑" w:eastAsia="微软雅黑" w:cs="微软雅黑"/>
                <w:kern w:val="0"/>
                <w:sz w:val="22"/>
                <w:szCs w:val="22"/>
              </w:rPr>
              <w:t>存款和其他类型关联交易</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580" w:lineRule="exact"/>
              <w:jc w:val="center"/>
              <w:rPr>
                <w:rFonts w:ascii="Times New Roman" w:hAnsi="Times New Roman" w:eastAsia="微软雅黑" w:cs="Times New Roman"/>
                <w:sz w:val="22"/>
                <w:szCs w:val="22"/>
              </w:rPr>
            </w:pPr>
            <w:r>
              <w:rPr>
                <w:rFonts w:hint="eastAsia" w:ascii="Times New Roman" w:hAnsi="Times New Roman" w:eastAsia="微软雅黑" w:cs="Times New Roman"/>
                <w:kern w:val="0"/>
                <w:sz w:val="22"/>
                <w:szCs w:val="22"/>
              </w:rPr>
              <w:t>3671.2</w:t>
            </w:r>
          </w:p>
        </w:tc>
      </w:tr>
    </w:tbl>
    <w:p>
      <w:pPr>
        <w:widowControl/>
        <w:spacing w:beforeAutospacing="1" w:line="560"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备注：授信类关联交易为当季表内外授信净额；存款和其他类型关联交易为当季存入的定期存款金额。</w:t>
      </w:r>
    </w:p>
    <w:p>
      <w:pPr>
        <w:widowControl/>
        <w:shd w:val="clear" w:color="auto" w:fill="FFFFFF"/>
        <w:spacing w:beforeAutospacing="1" w:line="580" w:lineRule="exact"/>
        <w:ind w:firstLine="560"/>
        <w:jc w:val="right"/>
        <w:rPr>
          <w:rFonts w:hint="eastAsia" w:ascii="仿宋_GB2312" w:hAnsi="Times New Roman" w:eastAsia="仿宋_GB2312" w:cs="仿宋_GB2312"/>
          <w:kern w:val="0"/>
          <w:sz w:val="32"/>
          <w:szCs w:val="32"/>
          <w:shd w:val="clear" w:color="auto" w:fill="FFFFFF"/>
        </w:rPr>
      </w:pPr>
      <w:bookmarkStart w:id="0" w:name="_GoBack"/>
      <w:bookmarkEnd w:id="0"/>
    </w:p>
    <w:p>
      <w:pPr>
        <w:widowControl/>
        <w:shd w:val="clear" w:color="auto" w:fill="FFFFFF"/>
        <w:spacing w:beforeAutospacing="1" w:line="580" w:lineRule="exact"/>
        <w:ind w:firstLine="560"/>
        <w:jc w:val="right"/>
        <w:rPr>
          <w:rFonts w:hint="eastAsia" w:ascii="仿宋_GB2312" w:hAnsi="Times New Roman" w:eastAsia="仿宋_GB2312" w:cs="仿宋_GB2312"/>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560"/>
        <w:jc w:val="right"/>
        <w:textAlignment w:val="auto"/>
        <w:rPr>
          <w:rFonts w:ascii="Times New Roman" w:hAnsi="Times New Roman" w:eastAsia="仿宋_GB2312" w:cs="Times New Roman"/>
          <w:sz w:val="32"/>
          <w:szCs w:val="32"/>
          <w:shd w:val="clear" w:color="auto" w:fill="FFFFFF"/>
        </w:rPr>
      </w:pPr>
      <w:r>
        <w:rPr>
          <w:rFonts w:hint="eastAsia" w:ascii="仿宋_GB2312" w:hAnsi="Times New Roman" w:eastAsia="仿宋_GB2312" w:cs="仿宋_GB2312"/>
          <w:kern w:val="0"/>
          <w:sz w:val="32"/>
          <w:szCs w:val="32"/>
          <w:shd w:val="clear" w:color="auto" w:fill="FFFFFF"/>
        </w:rPr>
        <w:t>贵州兴仁农村商业银行股份有限公司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4800" w:firstLineChars="15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kern w:val="0"/>
          <w:sz w:val="32"/>
          <w:szCs w:val="32"/>
          <w:shd w:val="clear" w:color="auto" w:fill="FFFFFF"/>
        </w:rPr>
        <w:t>2025</w:t>
      </w:r>
      <w:r>
        <w:rPr>
          <w:rFonts w:hint="eastAsia" w:ascii="仿宋_GB2312" w:hAnsi="Times New Roman" w:eastAsia="仿宋_GB2312" w:cs="仿宋_GB2312"/>
          <w:kern w:val="0"/>
          <w:sz w:val="32"/>
          <w:szCs w:val="32"/>
          <w:shd w:val="clear" w:color="auto" w:fill="FFFFFF"/>
        </w:rPr>
        <w:t>年</w:t>
      </w:r>
      <w:r>
        <w:rPr>
          <w:rFonts w:hint="eastAsia" w:ascii="Times New Roman" w:hAnsi="Times New Roman" w:eastAsia="仿宋_GB2312" w:cs="Times New Roman"/>
          <w:kern w:val="0"/>
          <w:sz w:val="32"/>
          <w:szCs w:val="32"/>
          <w:shd w:val="clear" w:color="auto" w:fill="FFFFFF"/>
        </w:rPr>
        <w:t>4</w:t>
      </w:r>
      <w:r>
        <w:rPr>
          <w:rFonts w:hint="eastAsia" w:ascii="仿宋_GB2312" w:hAnsi="Times New Roman" w:eastAsia="仿宋_GB2312" w:cs="仿宋_GB2312"/>
          <w:kern w:val="0"/>
          <w:sz w:val="32"/>
          <w:szCs w:val="32"/>
          <w:shd w:val="clear" w:color="auto" w:fill="FFFFFF"/>
        </w:rPr>
        <w:t>月</w:t>
      </w:r>
      <w:r>
        <w:rPr>
          <w:rFonts w:ascii="Times New Roman" w:hAnsi="Times New Roman" w:eastAsia="仿宋_GB2312" w:cs="Times New Roman"/>
          <w:kern w:val="0"/>
          <w:sz w:val="32"/>
          <w:szCs w:val="32"/>
          <w:shd w:val="clear" w:color="auto" w:fill="FFFFFF"/>
        </w:rPr>
        <w:t>2</w:t>
      </w:r>
      <w:r>
        <w:rPr>
          <w:rFonts w:hint="eastAsia" w:ascii="Times New Roman" w:hAnsi="Times New Roman" w:eastAsia="仿宋_GB2312" w:cs="Times New Roman"/>
          <w:kern w:val="0"/>
          <w:sz w:val="32"/>
          <w:szCs w:val="32"/>
          <w:shd w:val="clear" w:color="auto" w:fill="FFFFFF"/>
        </w:rPr>
        <w:t>9</w:t>
      </w:r>
      <w:r>
        <w:rPr>
          <w:rFonts w:hint="eastAsia" w:ascii="仿宋_GB2312" w:hAnsi="Times New Roman" w:eastAsia="仿宋_GB2312" w:cs="仿宋_GB2312"/>
          <w:kern w:val="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C1"/>
    <w:rsid w:val="00046BCA"/>
    <w:rsid w:val="000A467F"/>
    <w:rsid w:val="000A7E54"/>
    <w:rsid w:val="00100E27"/>
    <w:rsid w:val="001313C1"/>
    <w:rsid w:val="00151AB4"/>
    <w:rsid w:val="001C49A5"/>
    <w:rsid w:val="001D1B30"/>
    <w:rsid w:val="001D7A08"/>
    <w:rsid w:val="002E5519"/>
    <w:rsid w:val="00316513"/>
    <w:rsid w:val="00412F5E"/>
    <w:rsid w:val="004245DF"/>
    <w:rsid w:val="00456409"/>
    <w:rsid w:val="004B79B4"/>
    <w:rsid w:val="005C27FA"/>
    <w:rsid w:val="006D02D9"/>
    <w:rsid w:val="0075095D"/>
    <w:rsid w:val="00787382"/>
    <w:rsid w:val="0082762F"/>
    <w:rsid w:val="00940D81"/>
    <w:rsid w:val="00967478"/>
    <w:rsid w:val="00AA0FC9"/>
    <w:rsid w:val="00C85F57"/>
    <w:rsid w:val="00E749AA"/>
    <w:rsid w:val="00EA142E"/>
    <w:rsid w:val="00EE7BD9"/>
    <w:rsid w:val="00FB10C0"/>
    <w:rsid w:val="00FB2A94"/>
    <w:rsid w:val="09E81BD7"/>
    <w:rsid w:val="1F320D8E"/>
    <w:rsid w:val="297609DA"/>
    <w:rsid w:val="3BC11D04"/>
    <w:rsid w:val="6574279C"/>
    <w:rsid w:val="664839DE"/>
    <w:rsid w:val="695D5F23"/>
    <w:rsid w:val="6E414A73"/>
    <w:rsid w:val="744B1942"/>
    <w:rsid w:val="764D3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5"/>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uiPriority w:val="0"/>
    <w:rPr>
      <w:sz w:val="21"/>
      <w:szCs w:val="21"/>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character" w:customStyle="1" w:styleId="13">
    <w:name w:val="批注文字 Char"/>
    <w:basedOn w:val="9"/>
    <w:link w:val="2"/>
    <w:uiPriority w:val="0"/>
    <w:rPr>
      <w:rFonts w:asciiTheme="minorHAnsi" w:hAnsiTheme="minorHAnsi" w:eastAsiaTheme="minorEastAsia" w:cstheme="minorBidi"/>
      <w:kern w:val="2"/>
      <w:sz w:val="21"/>
      <w:szCs w:val="24"/>
    </w:rPr>
  </w:style>
  <w:style w:type="character" w:customStyle="1" w:styleId="14">
    <w:name w:val="批注主题 Char"/>
    <w:basedOn w:val="13"/>
    <w:link w:val="6"/>
    <w:uiPriority w:val="0"/>
    <w:rPr>
      <w:b/>
      <w:bCs/>
    </w:rPr>
  </w:style>
  <w:style w:type="character" w:customStyle="1" w:styleId="15">
    <w:name w:val="批注框文本 Char"/>
    <w:basedOn w:val="9"/>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270</Characters>
  <Lines>2</Lines>
  <Paragraphs>1</Paragraphs>
  <TotalTime>14</TotalTime>
  <ScaleCrop>false</ScaleCrop>
  <LinksUpToDate>false</LinksUpToDate>
  <CharactersWithSpaces>316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2025-04-24T06:07:00Z</dcterms:created>
  <dc:creator>YONG</dc:creator>
  <cp:lastModifiedBy>115786-朱隆</cp:lastModifiedBy>
  <dcterms:modified xsi:type="dcterms:W3CDTF">2025-04-29T09:45:12Z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CD0E91C13B2B4D69A4F1AB3243599F20_12</vt:lpwstr>
  </property>
</Properties>
</file>