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锦屏县农村信用合作联社</w:t>
      </w:r>
    </w:p>
    <w:p>
      <w:pPr>
        <w:spacing w:line="360" w:lineRule="auto"/>
        <w:ind w:right="63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环境信息披露报告</w:t>
      </w: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rPr>
          <w:rFonts w:ascii="Times New Roman" w:hAnsi="Times New Roman" w:eastAsia="仿宋_GB2312" w:cs="Times New Roman"/>
          <w:sz w:val="32"/>
          <w:szCs w:val="32"/>
          <w:highlight w:val="none"/>
        </w:rPr>
      </w:pPr>
    </w:p>
    <w:p>
      <w:pPr>
        <w:spacing w:line="360" w:lineRule="auto"/>
        <w:ind w:right="630" w:firstLine="640" w:firstLineChars="200"/>
        <w:rPr>
          <w:rFonts w:ascii="Times New Roman" w:hAnsi="Times New Roman" w:eastAsia="仿宋_GB2312" w:cs="Times New Roman"/>
          <w:sz w:val="32"/>
          <w:szCs w:val="32"/>
          <w:highlight w:val="none"/>
        </w:rPr>
      </w:pPr>
    </w:p>
    <w:p>
      <w:pPr>
        <w:spacing w:line="360" w:lineRule="auto"/>
        <w:ind w:right="630"/>
        <w:rPr>
          <w:rFonts w:ascii="Times New Roman" w:hAnsi="Times New Roman" w:eastAsia="仿宋_GB2312" w:cs="Times New Roman"/>
          <w:sz w:val="32"/>
          <w:szCs w:val="32"/>
          <w:highlight w:val="none"/>
          <w:u w:val="thick"/>
        </w:rPr>
      </w:pPr>
    </w:p>
    <w:p>
      <w:pPr>
        <w:spacing w:line="360" w:lineRule="auto"/>
        <w:ind w:right="630" w:firstLine="640" w:firstLineChars="200"/>
        <w:rPr>
          <w:rFonts w:hint="default" w:ascii="Times New Roman" w:hAnsi="Times New Roman" w:eastAsia="仿宋_GB2312" w:cs="Times New Roman"/>
          <w:color w:val="auto"/>
          <w:sz w:val="32"/>
          <w:szCs w:val="32"/>
          <w:highlight w:val="none"/>
          <w:u w:val="thick"/>
          <w:lang w:val="en-US" w:eastAsia="zh-CN"/>
        </w:rPr>
      </w:pPr>
      <w:r>
        <w:rPr>
          <w:rFonts w:hint="eastAsia" w:ascii="Times New Roman" w:hAnsi="Times New Roman" w:eastAsia="仿宋_GB2312" w:cs="Times New Roman"/>
          <w:sz w:val="32"/>
          <w:szCs w:val="32"/>
          <w:highlight w:val="none"/>
        </w:rPr>
        <w:t>报告年度：</w:t>
      </w:r>
      <w:r>
        <w:rPr>
          <w:rFonts w:hint="eastAsia" w:ascii="Times New Roman" w:hAnsi="Times New Roman" w:eastAsia="仿宋_GB2312" w:cs="Times New Roman"/>
          <w:color w:val="auto"/>
          <w:sz w:val="32"/>
          <w:szCs w:val="32"/>
          <w:highlight w:val="none"/>
          <w:u w:val="single"/>
          <w:lang w:val="en-US" w:eastAsia="zh-CN"/>
        </w:rPr>
        <w:t>2024年度</w:t>
      </w:r>
    </w:p>
    <w:p>
      <w:pPr>
        <w:spacing w:line="360" w:lineRule="auto"/>
        <w:ind w:right="63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编写单位</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rPr>
        <w:t>锦屏县农村信用合作联社（公章）</w:t>
      </w:r>
    </w:p>
    <w:p>
      <w:pPr>
        <w:spacing w:line="360" w:lineRule="auto"/>
        <w:ind w:right="630" w:firstLine="640" w:firstLineChars="200"/>
        <w:rPr>
          <w:rFonts w:hint="eastAsia"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sz w:val="32"/>
          <w:szCs w:val="32"/>
          <w:highlight w:val="none"/>
        </w:rPr>
        <w:t>编制日期：</w:t>
      </w:r>
      <w:r>
        <w:rPr>
          <w:rFonts w:hint="eastAsia" w:ascii="Times New Roman" w:hAnsi="Times New Roman" w:eastAsia="仿宋_GB2312" w:cs="Times New Roman"/>
          <w:color w:val="auto"/>
          <w:sz w:val="32"/>
          <w:szCs w:val="32"/>
          <w:highlight w:val="none"/>
          <w:u w:val="single"/>
          <w:lang w:val="en-US" w:eastAsia="zh-CN"/>
        </w:rPr>
        <w:t>2025年3月</w:t>
      </w:r>
    </w:p>
    <w:p>
      <w:pPr>
        <w:spacing w:line="360" w:lineRule="auto"/>
        <w:ind w:right="630" w:firstLine="640" w:firstLineChars="200"/>
        <w:rPr>
          <w:rFonts w:hint="eastAsia" w:ascii="Times New Roman" w:hAnsi="Times New Roman" w:eastAsia="仿宋_GB2312" w:cs="Times New Roman"/>
          <w:color w:val="auto"/>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仿宋"/>
          <w:sz w:val="28"/>
          <w:szCs w:val="24"/>
          <w:highlight w:val="none"/>
          <w:lang w:eastAsia="zh-CN"/>
        </w:rPr>
      </w:pPr>
      <w:r>
        <w:rPr>
          <w:rFonts w:hint="eastAsia" w:ascii="仿宋" w:hAnsi="仿宋" w:eastAsia="仿宋"/>
          <w:sz w:val="32"/>
          <w:szCs w:val="32"/>
          <w:highlight w:val="none"/>
          <w:lang w:eastAsia="zh-CN"/>
        </w:rPr>
        <w:t>根据《商业银行信息披露办法》、中华人民共和国金融行业标准</w:t>
      </w:r>
      <w:r>
        <w:rPr>
          <w:rFonts w:hint="eastAsia" w:ascii="仿宋" w:hAnsi="仿宋" w:eastAsia="仿宋"/>
          <w:color w:val="auto"/>
          <w:sz w:val="32"/>
          <w:szCs w:val="32"/>
          <w:highlight w:val="none"/>
          <w:lang w:eastAsia="zh-CN"/>
        </w:rPr>
        <w:t>（JR/T 0227—2021）、《</w:t>
      </w:r>
      <w:r>
        <w:rPr>
          <w:rFonts w:hint="eastAsia" w:ascii="仿宋" w:hAnsi="仿宋" w:eastAsia="仿宋"/>
          <w:color w:val="auto"/>
          <w:sz w:val="32"/>
          <w:szCs w:val="32"/>
          <w:highlight w:val="none"/>
        </w:rPr>
        <w:t>锦屏县农村信用合作联社章程》和《锦屏县农村信用合作联社信息披露管理办法(2023版）》的规定</w:t>
      </w:r>
      <w:r>
        <w:rPr>
          <w:rFonts w:hint="eastAsia" w:ascii="仿宋" w:hAnsi="仿宋" w:eastAsia="仿宋"/>
          <w:color w:val="auto"/>
          <w:sz w:val="32"/>
          <w:szCs w:val="32"/>
          <w:highlight w:val="none"/>
          <w:lang w:eastAsia="zh-CN"/>
        </w:rPr>
        <w:t>，为进一步规范和发展绿色金融服务，特向社会公众发布</w:t>
      </w:r>
      <w:r>
        <w:rPr>
          <w:rFonts w:hint="eastAsia" w:ascii="仿宋" w:hAnsi="仿宋" w:eastAsia="仿宋"/>
          <w:color w:val="auto"/>
          <w:sz w:val="32"/>
          <w:szCs w:val="32"/>
          <w:highlight w:val="none"/>
        </w:rPr>
        <w:t>锦屏县农村信用合作联社</w:t>
      </w:r>
      <w:r>
        <w:rPr>
          <w:rFonts w:hint="eastAsia" w:ascii="仿宋" w:hAnsi="仿宋" w:eastAsia="仿宋"/>
          <w:color w:val="auto"/>
          <w:sz w:val="32"/>
          <w:szCs w:val="32"/>
          <w:highlight w:val="none"/>
          <w:lang w:eastAsia="zh-CN"/>
        </w:rPr>
        <w:t>（以下简称“锦屏农信联</w:t>
      </w:r>
      <w:r>
        <w:rPr>
          <w:rFonts w:hint="eastAsia" w:ascii="仿宋" w:hAnsi="仿宋" w:eastAsia="仿宋"/>
          <w:sz w:val="32"/>
          <w:szCs w:val="32"/>
          <w:highlight w:val="none"/>
          <w:lang w:eastAsia="zh-CN"/>
        </w:rPr>
        <w:t>社”）</w:t>
      </w:r>
      <w:r>
        <w:rPr>
          <w:rFonts w:hint="eastAsia" w:ascii="仿宋" w:hAnsi="仿宋" w:eastAsia="仿宋"/>
          <w:sz w:val="32"/>
          <w:szCs w:val="32"/>
          <w:highlight w:val="none"/>
          <w:lang w:val="en-US" w:eastAsia="zh-CN"/>
        </w:rPr>
        <w:t>2024年度信息披露报告</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一、基本信息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color w:val="FF0000"/>
          <w:sz w:val="32"/>
          <w:szCs w:val="32"/>
          <w:highlight w:val="none"/>
          <w:lang w:val="en-US" w:eastAsia="zh-CN"/>
        </w:rPr>
      </w:pPr>
      <w:r>
        <w:rPr>
          <w:rFonts w:hint="eastAsia" w:ascii="仿宋" w:hAnsi="仿宋" w:eastAsia="仿宋"/>
          <w:sz w:val="32"/>
          <w:szCs w:val="32"/>
          <w:highlight w:val="none"/>
        </w:rPr>
        <w:t>本社法定名称为锦屏县农村信用合作联社</w:t>
      </w:r>
      <w:r>
        <w:rPr>
          <w:rFonts w:hint="eastAsia" w:ascii="仿宋" w:hAnsi="仿宋" w:eastAsia="仿宋"/>
          <w:sz w:val="32"/>
          <w:szCs w:val="32"/>
          <w:highlight w:val="none"/>
          <w:lang w:eastAsia="zh-CN"/>
        </w:rPr>
        <w:t>，</w:t>
      </w:r>
      <w:r>
        <w:rPr>
          <w:rFonts w:hint="eastAsia" w:ascii="Times New Roman" w:hAnsi="Times New Roman" w:eastAsia="仿宋_GB2312" w:cs="Times New Roman"/>
          <w:sz w:val="32"/>
          <w:szCs w:val="32"/>
          <w:highlight w:val="none"/>
        </w:rPr>
        <w:t>2004年12月24日中国银监会批准筹建以县（市、区）为单位统一法人机构改革，</w:t>
      </w:r>
      <w:r>
        <w:rPr>
          <w:rFonts w:hint="eastAsia" w:ascii="仿宋" w:hAnsi="仿宋" w:eastAsia="仿宋"/>
          <w:sz w:val="32"/>
          <w:szCs w:val="32"/>
          <w:highlight w:val="none"/>
        </w:rPr>
        <w:t>于2005年11月17日经中国银行业监督管理委员会贵州监管局《关于锦屏县农村信用合作联社开业的批复》（黔银监复〔2005〕238号）文件核准成立</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由</w:t>
      </w:r>
      <w:r>
        <w:rPr>
          <w:rFonts w:hint="eastAsia" w:ascii="Times New Roman" w:hAnsi="Times New Roman" w:eastAsia="仿宋_GB2312" w:cs="Times New Roman"/>
          <w:sz w:val="32"/>
          <w:szCs w:val="32"/>
          <w:highlight w:val="none"/>
        </w:rPr>
        <w:t>“锦屏县农村信用合作社联合社”正式更名为“锦屏县农村信用合作联社”</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截至202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年末，</w:t>
      </w:r>
      <w:r>
        <w:rPr>
          <w:rFonts w:hint="eastAsia" w:ascii="Times New Roman" w:hAnsi="Times New Roman" w:eastAsia="仿宋_GB2312" w:cs="Times New Roman"/>
          <w:color w:val="auto"/>
          <w:sz w:val="32"/>
          <w:szCs w:val="32"/>
          <w:highlight w:val="none"/>
          <w:lang w:eastAsia="zh-CN"/>
        </w:rPr>
        <w:t>共有注册资本</w:t>
      </w:r>
      <w:r>
        <w:rPr>
          <w:rFonts w:hint="eastAsia" w:ascii="Times New Roman" w:hAnsi="Times New Roman" w:eastAsia="仿宋_GB2312" w:cs="Times New Roman"/>
          <w:color w:val="auto"/>
          <w:sz w:val="32"/>
          <w:szCs w:val="32"/>
          <w:highlight w:val="none"/>
          <w:lang w:val="en-US" w:eastAsia="zh-CN"/>
        </w:rPr>
        <w:t>7126.21万元，</w:t>
      </w:r>
      <w:r>
        <w:rPr>
          <w:rFonts w:ascii="Times New Roman" w:hAnsi="Times New Roman" w:eastAsia="仿宋_GB2312" w:cs="Times New Roman"/>
          <w:color w:val="auto"/>
          <w:sz w:val="32"/>
          <w:szCs w:val="32"/>
          <w:highlight w:val="none"/>
        </w:rPr>
        <w:t>设有</w:t>
      </w:r>
      <w:r>
        <w:rPr>
          <w:rFonts w:hint="eastAsia" w:ascii="Times New Roman" w:hAnsi="Times New Roman" w:eastAsia="仿宋_GB2312" w:cs="Times New Roman"/>
          <w:color w:val="auto"/>
          <w:sz w:val="32"/>
          <w:szCs w:val="32"/>
          <w:highlight w:val="none"/>
          <w:lang w:eastAsia="zh-CN"/>
        </w:rPr>
        <w:t>办公室、普惠金融部等</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个部</w:t>
      </w:r>
      <w:r>
        <w:rPr>
          <w:rFonts w:hint="eastAsia" w:ascii="Times New Roman" w:hAnsi="Times New Roman" w:eastAsia="仿宋_GB2312" w:cs="Times New Roman"/>
          <w:color w:val="auto"/>
          <w:sz w:val="32"/>
          <w:szCs w:val="32"/>
          <w:highlight w:val="none"/>
        </w:rPr>
        <w:t>（室）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下设营业部、三江分社等</w:t>
      </w:r>
      <w:r>
        <w:rPr>
          <w:rFonts w:hint="eastAsia" w:ascii="Times New Roman" w:hAnsi="Times New Roman" w:eastAsia="仿宋_GB2312" w:cs="Times New Roman"/>
          <w:color w:val="auto"/>
          <w:sz w:val="32"/>
          <w:szCs w:val="32"/>
          <w:highlight w:val="none"/>
        </w:rPr>
        <w:t>19个</w:t>
      </w:r>
      <w:r>
        <w:rPr>
          <w:rFonts w:ascii="Times New Roman" w:hAnsi="Times New Roman" w:eastAsia="仿宋_GB2312" w:cs="Times New Roman"/>
          <w:color w:val="auto"/>
          <w:sz w:val="32"/>
          <w:szCs w:val="32"/>
          <w:highlight w:val="none"/>
        </w:rPr>
        <w:t>营业</w:t>
      </w:r>
      <w:r>
        <w:rPr>
          <w:rFonts w:hint="eastAsia" w:ascii="Times New Roman" w:hAnsi="Times New Roman" w:eastAsia="仿宋_GB2312" w:cs="Times New Roman"/>
          <w:color w:val="auto"/>
          <w:sz w:val="32"/>
          <w:szCs w:val="32"/>
          <w:highlight w:val="none"/>
        </w:rPr>
        <w:t>机构，</w:t>
      </w:r>
      <w:r>
        <w:rPr>
          <w:rFonts w:ascii="Times New Roman" w:hAnsi="Times New Roman" w:eastAsia="仿宋_GB2312" w:cs="Times New Roman"/>
          <w:color w:val="auto"/>
          <w:sz w:val="32"/>
          <w:szCs w:val="32"/>
          <w:highlight w:val="none"/>
        </w:rPr>
        <w:t>共计有员工</w:t>
      </w:r>
      <w:r>
        <w:rPr>
          <w:rFonts w:hint="eastAsia" w:ascii="Times New Roman" w:hAnsi="Times New Roman" w:eastAsia="仿宋_GB2312" w:cs="Times New Roman"/>
          <w:color w:val="auto"/>
          <w:sz w:val="32"/>
          <w:szCs w:val="32"/>
          <w:highlight w:val="none"/>
          <w:lang w:val="en-US" w:eastAsia="zh-CN"/>
        </w:rPr>
        <w:t>185</w:t>
      </w:r>
      <w:r>
        <w:rPr>
          <w:rFonts w:ascii="Times New Roman" w:hAnsi="Times New Roman" w:eastAsia="仿宋_GB2312" w:cs="Times New Roman"/>
          <w:color w:val="auto"/>
          <w:sz w:val="32"/>
          <w:szCs w:val="32"/>
          <w:highlight w:val="none"/>
        </w:rPr>
        <w:t>人</w:t>
      </w:r>
      <w:r>
        <w:rPr>
          <w:rFonts w:hint="eastAsia" w:ascii="Times New Roman" w:hAnsi="Times New Roman" w:eastAsia="仿宋_GB2312" w:cs="Times New Roman"/>
          <w:color w:val="auto"/>
          <w:sz w:val="32"/>
          <w:szCs w:val="32"/>
          <w:highlight w:val="none"/>
          <w:lang w:eastAsia="zh-CN"/>
        </w:rPr>
        <w:t>，为全县</w:t>
      </w:r>
      <w:r>
        <w:rPr>
          <w:rFonts w:hint="eastAsia" w:ascii="Times New Roman" w:hAnsi="Times New Roman" w:eastAsia="仿宋_GB2312" w:cs="Times New Roman"/>
          <w:color w:val="auto"/>
          <w:sz w:val="32"/>
          <w:szCs w:val="32"/>
          <w:highlight w:val="none"/>
          <w:lang w:val="en-US" w:eastAsia="zh-CN"/>
        </w:rPr>
        <w:t>15个乡镇24万人提供金融服务。主要经营范围有存款、贷款、结算汇兑、银行卡、银行汇票及银行承兑汇票业务、代理保险业务及代理收付款项业务。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年度概况及绿色金融发展战略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（一）年度业务概况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sz w:val="32"/>
          <w:szCs w:val="32"/>
          <w:highlight w:val="none"/>
          <w:lang w:val="en-US" w:eastAsia="zh-CN"/>
        </w:rPr>
        <w:t xml:space="preserve"> 截至2024年末，</w:t>
      </w:r>
      <w:r>
        <w:rPr>
          <w:rFonts w:hint="eastAsia" w:ascii="仿宋_GB2312" w:hAnsi="仿宋_GB2312" w:eastAsia="仿宋_GB2312" w:cs="仿宋_GB2312"/>
          <w:sz w:val="32"/>
          <w:szCs w:val="32"/>
          <w:highlight w:val="none"/>
          <w:lang w:eastAsia="zh-CN"/>
        </w:rPr>
        <w:t>锦屏农信联社</w:t>
      </w:r>
      <w:r>
        <w:rPr>
          <w:rFonts w:hint="eastAsia" w:ascii="仿宋_GB2312" w:hAnsi="仿宋_GB2312" w:eastAsia="仿宋_GB2312" w:cs="仿宋_GB2312"/>
          <w:sz w:val="32"/>
          <w:szCs w:val="32"/>
          <w:highlight w:val="none"/>
        </w:rPr>
        <w:t>各项存款</w:t>
      </w:r>
      <w:r>
        <w:rPr>
          <w:rFonts w:hint="eastAsia" w:ascii="仿宋_GB2312" w:hAnsi="仿宋_GB2312" w:eastAsia="仿宋_GB2312" w:cs="仿宋_GB2312"/>
          <w:sz w:val="32"/>
          <w:szCs w:val="32"/>
          <w:highlight w:val="none"/>
          <w:lang w:val="en-US" w:eastAsia="zh-CN"/>
        </w:rPr>
        <w:t>57.28</w:t>
      </w:r>
      <w:r>
        <w:rPr>
          <w:rFonts w:hint="eastAsia" w:ascii="仿宋_GB2312" w:hAnsi="仿宋_GB2312" w:eastAsia="仿宋_GB2312" w:cs="仿宋_GB2312"/>
          <w:sz w:val="32"/>
          <w:szCs w:val="32"/>
          <w:highlight w:val="none"/>
        </w:rPr>
        <w:t>亿元，增速</w:t>
      </w:r>
      <w:r>
        <w:rPr>
          <w:rFonts w:hint="eastAsia" w:ascii="仿宋_GB2312" w:hAnsi="仿宋_GB2312" w:eastAsia="仿宋_GB2312" w:cs="仿宋_GB2312"/>
          <w:sz w:val="32"/>
          <w:szCs w:val="32"/>
          <w:highlight w:val="none"/>
          <w:lang w:val="en-US" w:eastAsia="zh-CN"/>
        </w:rPr>
        <w:t>4.66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各项贷款余额</w:t>
      </w:r>
      <w:r>
        <w:rPr>
          <w:rFonts w:hint="eastAsia" w:ascii="仿宋_GB2312" w:hAnsi="仿宋_GB2312" w:eastAsia="仿宋_GB2312" w:cs="仿宋_GB2312"/>
          <w:sz w:val="32"/>
          <w:szCs w:val="32"/>
          <w:highlight w:val="none"/>
          <w:lang w:val="en-US" w:eastAsia="zh-CN"/>
        </w:rPr>
        <w:t>44.65</w:t>
      </w:r>
      <w:r>
        <w:rPr>
          <w:rFonts w:hint="eastAsia" w:ascii="仿宋_GB2312" w:hAnsi="仿宋_GB2312" w:eastAsia="仿宋_GB2312" w:cs="仿宋_GB2312"/>
          <w:sz w:val="32"/>
          <w:szCs w:val="32"/>
          <w:highlight w:val="none"/>
        </w:rPr>
        <w:t>亿元，增速</w:t>
      </w:r>
      <w:r>
        <w:rPr>
          <w:rFonts w:hint="eastAsia" w:ascii="仿宋_GB2312" w:hAnsi="仿宋_GB2312" w:eastAsia="仿宋_GB2312" w:cs="仿宋_GB2312"/>
          <w:sz w:val="32"/>
          <w:szCs w:val="32"/>
          <w:highlight w:val="none"/>
          <w:lang w:val="en-US" w:eastAsia="zh-CN"/>
        </w:rPr>
        <w:t>3.63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，其中涉农贷款</w:t>
      </w:r>
      <w:r>
        <w:rPr>
          <w:rFonts w:hint="eastAsia" w:ascii="仿宋_GB2312" w:hAnsi="仿宋_GB2312" w:eastAsia="仿宋_GB2312" w:cs="仿宋_GB2312"/>
          <w:sz w:val="32"/>
          <w:szCs w:val="32"/>
          <w:highlight w:val="none"/>
          <w:lang w:val="en-US" w:eastAsia="zh-CN"/>
        </w:rPr>
        <w:t>38.32</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增速</w:t>
      </w:r>
      <w:r>
        <w:rPr>
          <w:rFonts w:hint="eastAsia" w:ascii="仿宋_GB2312" w:hAnsi="仿宋_GB2312" w:eastAsia="仿宋_GB2312" w:cs="仿宋_GB2312"/>
          <w:sz w:val="32"/>
          <w:szCs w:val="32"/>
          <w:highlight w:val="none"/>
          <w:lang w:val="en-US" w:eastAsia="zh-CN"/>
        </w:rPr>
        <w:t>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绿色贷款余额为</w:t>
      </w:r>
      <w:r>
        <w:rPr>
          <w:rFonts w:hint="eastAsia" w:ascii="仿宋_GB2312" w:hAnsi="仿宋_GB2312" w:eastAsia="仿宋_GB2312" w:cs="仿宋_GB2312"/>
          <w:color w:val="auto"/>
          <w:sz w:val="32"/>
          <w:szCs w:val="32"/>
          <w:highlight w:val="none"/>
          <w:lang w:val="en-US" w:eastAsia="zh-CN"/>
        </w:rPr>
        <w:t>0.88</w:t>
      </w:r>
      <w:r>
        <w:rPr>
          <w:rFonts w:hint="eastAsia" w:ascii="仿宋_GB2312" w:hAnsi="仿宋_GB2312" w:eastAsia="仿宋_GB2312" w:cs="仿宋_GB2312"/>
          <w:color w:val="auto"/>
          <w:sz w:val="32"/>
          <w:szCs w:val="32"/>
          <w:highlight w:val="none"/>
        </w:rPr>
        <w:t>亿元，占比</w:t>
      </w:r>
      <w:r>
        <w:rPr>
          <w:rFonts w:hint="eastAsia" w:ascii="仿宋_GB2312" w:hAnsi="仿宋_GB2312" w:eastAsia="仿宋_GB2312" w:cs="仿宋_GB2312"/>
          <w:color w:val="auto"/>
          <w:sz w:val="32"/>
          <w:szCs w:val="32"/>
          <w:highlight w:val="none"/>
          <w:lang w:val="en-US" w:eastAsia="zh-CN"/>
        </w:rPr>
        <w:t>1.97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，较上年增长</w:t>
      </w:r>
      <w:r>
        <w:rPr>
          <w:rFonts w:hint="eastAsia" w:ascii="仿宋_GB2312" w:hAnsi="仿宋_GB2312" w:eastAsia="仿宋_GB2312" w:cs="仿宋_GB2312"/>
          <w:color w:val="auto"/>
          <w:sz w:val="32"/>
          <w:szCs w:val="32"/>
          <w:highlight w:val="none"/>
          <w:lang w:val="en-US" w:eastAsia="zh-CN"/>
        </w:rPr>
        <w:t>0.03亿元，增速3.53%</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（二）绿色金融发展战略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eastAsia="zh-CN"/>
        </w:rPr>
        <w:t>根据锦屏县人民政府、省联社黔东南审计中心关于印发《金融支持县域经济社会发展实施方案》的通知，抢抓《国务院关于支持贵州在新时代西部大开发上闯新路的意见》（国发</w:t>
      </w: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w:t>
      </w:r>
      <w:r>
        <w:rPr>
          <w:rFonts w:hint="eastAsia" w:ascii="Times New Roman" w:hAnsi="Times New Roman" w:eastAsia="仿宋_GB2312" w:cs="Times New Roman"/>
          <w:bCs/>
          <w:color w:val="auto"/>
          <w:sz w:val="32"/>
          <w:szCs w:val="32"/>
          <w:highlight w:val="none"/>
          <w:lang w:val="en-US" w:eastAsia="zh-CN"/>
        </w:rPr>
        <w:t>2号）和《省人民政府关于支持黔东南州“黎从榕”打造对接融入粤港澳大湾区“桥头堡”的实施意见》（黔府发</w:t>
      </w: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w:t>
      </w:r>
      <w:r>
        <w:rPr>
          <w:rFonts w:hint="eastAsia" w:ascii="Times New Roman" w:hAnsi="Times New Roman" w:eastAsia="仿宋_GB2312" w:cs="Times New Roman"/>
          <w:bCs/>
          <w:color w:val="auto"/>
          <w:sz w:val="32"/>
          <w:szCs w:val="32"/>
          <w:highlight w:val="none"/>
          <w:lang w:val="en-US" w:eastAsia="zh-CN"/>
        </w:rPr>
        <w:t>7号）重大政策机遇，围绕“推动绿色发展”“促进人与自然和谐共生”的愿景目标，</w:t>
      </w:r>
      <w:r>
        <w:rPr>
          <w:rFonts w:hint="eastAsia" w:ascii="仿宋_GB2312" w:hAnsi="黑体" w:eastAsia="仿宋_GB2312"/>
          <w:color w:val="auto"/>
          <w:sz w:val="32"/>
          <w:szCs w:val="32"/>
          <w:highlight w:val="none"/>
          <w:lang w:val="en-US" w:eastAsia="zh-CN"/>
        </w:rPr>
        <w:t>充分发挥地方金融主力军的优势，奋力推进“一示范两样板”，</w:t>
      </w:r>
      <w:r>
        <w:rPr>
          <w:rFonts w:hint="eastAsia" w:ascii="Times New Roman" w:hAnsi="Times New Roman" w:eastAsia="仿宋_GB2312" w:cs="Times New Roman"/>
          <w:bCs/>
          <w:color w:val="auto"/>
          <w:sz w:val="32"/>
          <w:szCs w:val="32"/>
          <w:highlight w:val="none"/>
          <w:lang w:val="en-US" w:eastAsia="zh-CN"/>
        </w:rPr>
        <w:t>大力推动“十四五”时期县域经济社会绿色高质量发展</w:t>
      </w:r>
      <w:r>
        <w:rPr>
          <w:rFonts w:hint="eastAsia" w:ascii="仿宋_GB2312" w:hAnsi="黑体"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三、环境及绿色金融相关治理结构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按照《贵州省农村信用社绿色信贷管理指引》，成立环境信息披露工作领导小组，逐步完善锦屏农信联社绿色贷款制度建设，形成了由理事会</w:t>
      </w:r>
      <w:r>
        <w:rPr>
          <w:rFonts w:hint="eastAsia" w:ascii="仿宋_GB2312" w:eastAsia="仿宋_GB2312"/>
          <w:color w:val="auto"/>
          <w:sz w:val="32"/>
          <w:szCs w:val="32"/>
          <w:highlight w:val="none"/>
          <w:lang w:eastAsia="zh-CN"/>
        </w:rPr>
        <w:t>明确</w:t>
      </w:r>
      <w:r>
        <w:rPr>
          <w:rFonts w:hint="eastAsia" w:ascii="仿宋_GB2312" w:eastAsia="仿宋_GB2312"/>
          <w:color w:val="auto"/>
          <w:sz w:val="32"/>
          <w:szCs w:val="32"/>
          <w:highlight w:val="none"/>
        </w:rPr>
        <w:t>绿色金融战略规划和发展目标，经营层对绿色金融工作统筹领导，各业务部门在</w:t>
      </w:r>
      <w:r>
        <w:rPr>
          <w:rFonts w:hint="eastAsia" w:ascii="仿宋_GB2312" w:eastAsia="仿宋_GB2312"/>
          <w:color w:val="auto"/>
          <w:sz w:val="32"/>
          <w:szCs w:val="32"/>
          <w:highlight w:val="none"/>
          <w:lang w:eastAsia="zh-CN"/>
        </w:rPr>
        <w:t>普惠金融部</w:t>
      </w:r>
      <w:r>
        <w:rPr>
          <w:rFonts w:hint="eastAsia" w:ascii="仿宋_GB2312" w:eastAsia="仿宋_GB2312"/>
          <w:color w:val="auto"/>
          <w:sz w:val="32"/>
          <w:szCs w:val="32"/>
          <w:highlight w:val="none"/>
        </w:rPr>
        <w:t>牵头下，在职责范围内配合落实绿色金融各项工作的运行机制，各营业网点建立绿色金融服务专业通道</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共同推动</w:t>
      </w:r>
      <w:r>
        <w:rPr>
          <w:rFonts w:hint="eastAsia" w:ascii="仿宋" w:hAnsi="仿宋" w:eastAsia="仿宋"/>
          <w:color w:val="auto"/>
          <w:sz w:val="32"/>
          <w:szCs w:val="32"/>
          <w:highlight w:val="none"/>
          <w:lang w:eastAsia="zh-CN"/>
        </w:rPr>
        <w:t>锦屏农信联社</w:t>
      </w:r>
      <w:r>
        <w:rPr>
          <w:rFonts w:hint="eastAsia" w:ascii="仿宋_GB2312" w:eastAsia="仿宋_GB2312"/>
          <w:color w:val="auto"/>
          <w:sz w:val="32"/>
          <w:szCs w:val="32"/>
          <w:highlight w:val="none"/>
        </w:rPr>
        <w:t>绿色金融统筹管理和业务发展，更好推动环境信息披露工作的展开。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理事会层面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理事会负责领导和监督本社绿色金融工作，确定绿色发展战略，指引本社绿色信贷工作方向。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（二）高级管理层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高级管理层负责制定绿色信贷目标，建立机制和流程；明确各绿色金融相关部门职责权限，开展绿色金融内控检查和考核评价；编制年度绿色信贷报告以及报送工作。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（三）绿色金融办公室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由</w:t>
      </w:r>
      <w:r>
        <w:rPr>
          <w:rFonts w:hint="eastAsia" w:ascii="仿宋_GB2312" w:eastAsia="仿宋_GB2312"/>
          <w:color w:val="auto"/>
          <w:sz w:val="32"/>
          <w:szCs w:val="32"/>
          <w:highlight w:val="none"/>
          <w:lang w:eastAsia="zh-CN"/>
        </w:rPr>
        <w:t>普惠金融部</w:t>
      </w:r>
      <w:r>
        <w:rPr>
          <w:rFonts w:hint="eastAsia" w:ascii="仿宋_GB2312" w:eastAsia="仿宋_GB2312"/>
          <w:color w:val="auto"/>
          <w:sz w:val="32"/>
          <w:szCs w:val="32"/>
          <w:highlight w:val="none"/>
        </w:rPr>
        <w:t>经理兼任办公室主任，负责统筹、规划全</w:t>
      </w:r>
      <w:r>
        <w:rPr>
          <w:rFonts w:hint="eastAsia" w:ascii="仿宋_GB2312" w:eastAsia="仿宋_GB2312"/>
          <w:color w:val="auto"/>
          <w:sz w:val="32"/>
          <w:szCs w:val="32"/>
          <w:highlight w:val="none"/>
          <w:lang w:eastAsia="zh-CN"/>
        </w:rPr>
        <w:t>社</w:t>
      </w:r>
      <w:r>
        <w:rPr>
          <w:rFonts w:hint="eastAsia" w:ascii="仿宋_GB2312" w:eastAsia="仿宋_GB2312"/>
          <w:color w:val="auto"/>
          <w:sz w:val="32"/>
          <w:szCs w:val="32"/>
          <w:highlight w:val="none"/>
        </w:rPr>
        <w:t>开展绿色信贷金融服务工作，组织召开相关绿色贷款审批、绿色人才建设、绿色产品、工具等绿色金融议题会议。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（四）专业部门层面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仿宋_GB2312" w:eastAsia="仿宋_GB2312"/>
          <w:color w:val="auto"/>
          <w:sz w:val="32"/>
          <w:szCs w:val="32"/>
          <w:highlight w:val="none"/>
          <w:lang w:eastAsia="zh-CN"/>
        </w:rPr>
        <w:t>绿色金融办公室下设在联社普惠金融部，</w:t>
      </w:r>
      <w:r>
        <w:rPr>
          <w:rFonts w:hint="eastAsia" w:ascii="仿宋_GB2312" w:eastAsia="仿宋_GB2312"/>
          <w:color w:val="auto"/>
          <w:sz w:val="32"/>
          <w:szCs w:val="32"/>
          <w:highlight w:val="none"/>
        </w:rPr>
        <w:t>承担绿色信贷业务的政策制定、风险监控、检查、档案和系统管理、统计分析、征信管理等；负责制定支持贵州绿色十二大产业信贷政策，乡村振兴和支农绿色贷款的审批和管理；及时对绿色信贷业务风险和过程进行有效监控；负责对黔农智慧村村通的升级打造工作，提高农村地区的支付便利水平，负责互联网相关的绿色业务场景的搭建和推广工作，如智慧停车场、智慧医院、智慧学校等生产生活场景；负责绿色金融发展情况的信息披露工作；负责绿色信贷业务的审查审批等工作。各业务部门在</w:t>
      </w:r>
      <w:r>
        <w:rPr>
          <w:rFonts w:hint="eastAsia" w:ascii="仿宋_GB2312" w:eastAsia="仿宋_GB2312"/>
          <w:color w:val="auto"/>
          <w:sz w:val="32"/>
          <w:szCs w:val="32"/>
          <w:highlight w:val="none"/>
          <w:lang w:eastAsia="zh-CN"/>
        </w:rPr>
        <w:t>普惠金融部</w:t>
      </w:r>
      <w:r>
        <w:rPr>
          <w:rFonts w:hint="eastAsia" w:ascii="仿宋_GB2312" w:eastAsia="仿宋_GB2312"/>
          <w:color w:val="auto"/>
          <w:sz w:val="32"/>
          <w:szCs w:val="32"/>
          <w:highlight w:val="none"/>
        </w:rPr>
        <w:t>牵头下，在职责范围内配合落实绿色金融各项工作的运行机制，各营业网点建立绿色金融服务专业通道。共同推动我社绿色金融统筹管理和业务发展，更好</w:t>
      </w:r>
      <w:r>
        <w:rPr>
          <w:rFonts w:hint="eastAsia" w:ascii="仿宋_GB2312" w:eastAsia="仿宋_GB2312"/>
          <w:color w:val="auto"/>
          <w:sz w:val="32"/>
          <w:szCs w:val="32"/>
          <w:highlight w:val="none"/>
          <w:lang w:eastAsia="zh-CN"/>
        </w:rPr>
        <w:t>地</w:t>
      </w:r>
      <w:r>
        <w:rPr>
          <w:rFonts w:hint="eastAsia" w:ascii="仿宋_GB2312" w:eastAsia="仿宋_GB2312"/>
          <w:color w:val="auto"/>
          <w:sz w:val="32"/>
          <w:szCs w:val="32"/>
          <w:highlight w:val="none"/>
        </w:rPr>
        <w:t>推动环境信息披露工作的展开。</w:t>
      </w:r>
      <w:r>
        <w:rPr>
          <w:rFonts w:hint="eastAsia" w:ascii="仿宋_GB2312" w:eastAsia="仿宋_GB2312"/>
          <w:color w:val="auto"/>
          <w:sz w:val="32"/>
          <w:szCs w:val="32"/>
          <w:highlight w:val="none"/>
          <w:lang w:eastAsia="zh-CN"/>
        </w:rPr>
        <w:t>各营业网点</w:t>
      </w:r>
      <w:r>
        <w:rPr>
          <w:rFonts w:hint="eastAsia" w:ascii="仿宋_GB2312" w:eastAsia="仿宋_GB2312"/>
          <w:color w:val="auto"/>
          <w:sz w:val="32"/>
          <w:szCs w:val="32"/>
          <w:highlight w:val="none"/>
        </w:rPr>
        <w:t>负责绿色信贷客户营销、</w:t>
      </w:r>
      <w:r>
        <w:rPr>
          <w:rFonts w:hint="eastAsia" w:ascii="仿宋_GB2312" w:eastAsia="仿宋_GB2312"/>
          <w:color w:val="auto"/>
          <w:sz w:val="32"/>
          <w:szCs w:val="32"/>
          <w:highlight w:val="none"/>
          <w:lang w:eastAsia="zh-CN"/>
        </w:rPr>
        <w:t>信贷</w:t>
      </w:r>
      <w:r>
        <w:rPr>
          <w:rFonts w:hint="eastAsia" w:ascii="仿宋_GB2312" w:eastAsia="仿宋_GB2312"/>
          <w:color w:val="auto"/>
          <w:sz w:val="32"/>
          <w:szCs w:val="32"/>
          <w:highlight w:val="none"/>
        </w:rPr>
        <w:t>需求收集、尽职调查、授信申请，以及对权限内绿色信贷业务的审批等工作，并对相关资产质量和经营成果负责。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四、环境及绿色金融相关政策制度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（一）制定环境及绿色金融相关的政策制度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以习近平新时代中国特色社会主义思想为指导，勤俭办社、厉行节约、反对铺张浪费、乱列滥支，提高能源资源利用效率，引导干部职工养成简约适度、绿色低碳的生活和工作方式，先后制定了一系列绿色金融和低碳产品相关制度和文件，</w:t>
      </w:r>
      <w:r>
        <w:rPr>
          <w:rFonts w:hint="eastAsia" w:ascii="仿宋_GB2312" w:eastAsia="仿宋_GB2312"/>
          <w:color w:val="auto"/>
          <w:sz w:val="32"/>
          <w:szCs w:val="32"/>
          <w:highlight w:val="none"/>
        </w:rPr>
        <w:t>规范低碳经济信贷产品的管理，促进绿色经济发展。</w:t>
      </w:r>
    </w:p>
    <w:p>
      <w:pPr>
        <w:keepNext w:val="0"/>
        <w:keepLines w:val="0"/>
        <w:pageBreakBefore w:val="0"/>
        <w:kinsoku/>
        <w:wordWrap/>
        <w:overflowPunct/>
        <w:topLinePunct w:val="0"/>
        <w:autoSpaceDE/>
        <w:autoSpaceDN/>
        <w:bidi w:val="0"/>
        <w:adjustRightInd/>
        <w:snapToGrid/>
        <w:spacing w:line="560" w:lineRule="exact"/>
        <w:ind w:right="0" w:rightChars="0" w:firstLine="562" w:firstLineChars="200"/>
        <w:jc w:val="center"/>
        <w:textAlignment w:val="auto"/>
        <w:rPr>
          <w:rFonts w:hint="eastAsia" w:ascii="仿宋_GB2312" w:eastAsia="仿宋_GB2312"/>
          <w:b/>
          <w:bCs/>
          <w:color w:val="auto"/>
          <w:sz w:val="28"/>
          <w:szCs w:val="28"/>
          <w:highlight w:val="none"/>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562" w:firstLineChars="200"/>
        <w:jc w:val="center"/>
        <w:textAlignment w:val="auto"/>
        <w:rPr>
          <w:rFonts w:hint="eastAsia"/>
          <w:lang w:eastAsia="zh-CN"/>
        </w:rPr>
      </w:pPr>
      <w:r>
        <w:rPr>
          <w:rFonts w:hint="eastAsia" w:ascii="仿宋_GB2312" w:eastAsia="仿宋_GB2312"/>
          <w:b/>
          <w:bCs/>
          <w:color w:val="auto"/>
          <w:sz w:val="28"/>
          <w:szCs w:val="28"/>
          <w:highlight w:val="none"/>
          <w:lang w:eastAsia="zh-CN"/>
        </w:rPr>
        <w:t>锦屏农信联社绿色金融相关制度列表</w:t>
      </w:r>
    </w:p>
    <w:tbl>
      <w:tblPr>
        <w:tblStyle w:val="8"/>
        <w:tblW w:w="854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06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文件名称</w:t>
            </w:r>
          </w:p>
        </w:tc>
        <w:tc>
          <w:tcPr>
            <w:tcW w:w="2060"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文号</w:t>
            </w:r>
          </w:p>
        </w:tc>
        <w:tc>
          <w:tcPr>
            <w:tcW w:w="434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139"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rPr>
              <w:t>锦屏县农村信用合作联社绿色信贷管理办法</w:t>
            </w:r>
          </w:p>
        </w:tc>
        <w:tc>
          <w:tcPr>
            <w:tcW w:w="2060"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hAnsi="仿宋" w:eastAsia="仿宋_GB2312" w:cs="Times New Roman"/>
                <w:color w:val="auto"/>
                <w:sz w:val="24"/>
                <w:szCs w:val="24"/>
                <w:highlight w:val="none"/>
              </w:rPr>
              <w:t>锦农信办发〔2018〕245号</w:t>
            </w:r>
          </w:p>
        </w:tc>
        <w:tc>
          <w:tcPr>
            <w:tcW w:w="434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rPr>
              <w:t>积极推进绿色信贷，对不同行业的绿色经济、低碳经济、循环经济加大支持力度，从信贷投放上严格控制破坏生态环境和引发社会风险的贷款业务，同时优化存量信贷结构，提高服务水平，由粗放型经营向精细化管理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lang w:eastAsia="zh-CN"/>
              </w:rPr>
              <w:t>锦屏县农村信用合作联社历行节约打造绿色银行工作措施</w:t>
            </w:r>
          </w:p>
        </w:tc>
        <w:tc>
          <w:tcPr>
            <w:tcW w:w="2060"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val="en-US" w:eastAsia="zh-CN"/>
              </w:rPr>
            </w:pPr>
            <w:r>
              <w:rPr>
                <w:rFonts w:hint="eastAsia" w:ascii="仿宋_GB2312" w:eastAsia="仿宋_GB2312"/>
                <w:color w:val="auto"/>
                <w:sz w:val="24"/>
                <w:szCs w:val="32"/>
                <w:highlight w:val="none"/>
                <w:lang w:eastAsia="zh-CN"/>
              </w:rPr>
              <w:t>锦农信办发</w:t>
            </w:r>
            <w:r>
              <w:rPr>
                <w:rFonts w:hint="eastAsia" w:ascii="仿宋_GB2312" w:hAnsi="仿宋" w:eastAsia="仿宋_GB2312" w:cs="Times New Roman"/>
                <w:color w:val="auto"/>
                <w:sz w:val="24"/>
                <w:szCs w:val="24"/>
                <w:highlight w:val="none"/>
              </w:rPr>
              <w:t>〔20</w:t>
            </w:r>
            <w:r>
              <w:rPr>
                <w:rFonts w:hint="eastAsia" w:ascii="仿宋_GB2312" w:hAnsi="仿宋" w:eastAsia="仿宋_GB2312" w:cs="Times New Roman"/>
                <w:color w:val="auto"/>
                <w:sz w:val="24"/>
                <w:szCs w:val="24"/>
                <w:highlight w:val="none"/>
                <w:lang w:val="en-US" w:eastAsia="zh-CN"/>
              </w:rPr>
              <w:t>23</w:t>
            </w:r>
            <w:r>
              <w:rPr>
                <w:rFonts w:hint="eastAsia" w:ascii="仿宋_GB2312" w:hAnsi="仿宋" w:eastAsia="仿宋_GB2312" w:cs="Times New Roman"/>
                <w:color w:val="auto"/>
                <w:sz w:val="24"/>
                <w:szCs w:val="24"/>
                <w:highlight w:val="none"/>
              </w:rPr>
              <w:t>〕</w:t>
            </w:r>
            <w:r>
              <w:rPr>
                <w:rFonts w:hint="eastAsia" w:ascii="仿宋_GB2312" w:eastAsia="仿宋_GB2312"/>
                <w:color w:val="auto"/>
                <w:sz w:val="24"/>
                <w:szCs w:val="32"/>
                <w:highlight w:val="none"/>
                <w:lang w:val="en-US" w:eastAsia="zh-CN"/>
              </w:rPr>
              <w:t>97号</w:t>
            </w:r>
          </w:p>
        </w:tc>
        <w:tc>
          <w:tcPr>
            <w:tcW w:w="434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lang w:eastAsia="zh-CN"/>
              </w:rPr>
              <w:t>强化设备管理、杜绝设备无序采买更新，严控未到折旧年限、经济年限的设备更新。根据物品归口管理，建立设备提前更新台账、重要设备和物资台账。在公务交通补贴覆盖区域的公务出行，除机要通行外不得安排公务车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lang w:eastAsia="zh-CN"/>
              </w:rPr>
              <w:t>锦屏县农村信用合作联社关于打造县域绿色普惠银行标杆的工作实施方案</w:t>
            </w:r>
          </w:p>
        </w:tc>
        <w:tc>
          <w:tcPr>
            <w:tcW w:w="2060"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仿宋_GB2312" w:eastAsia="仿宋_GB2312"/>
                <w:color w:val="auto"/>
                <w:sz w:val="32"/>
                <w:szCs w:val="32"/>
                <w:highlight w:val="none"/>
                <w:vertAlign w:val="baseline"/>
                <w:lang w:val="en-US" w:eastAsia="zh-CN"/>
              </w:rPr>
            </w:pPr>
            <w:r>
              <w:rPr>
                <w:rFonts w:hint="eastAsia" w:ascii="仿宋_GB2312" w:eastAsia="仿宋_GB2312"/>
                <w:color w:val="auto"/>
                <w:sz w:val="24"/>
                <w:szCs w:val="32"/>
                <w:highlight w:val="none"/>
                <w:lang w:eastAsia="zh-CN"/>
              </w:rPr>
              <w:t>锦农信办发</w:t>
            </w:r>
            <w:r>
              <w:rPr>
                <w:rFonts w:hint="eastAsia" w:ascii="仿宋_GB2312" w:hAnsi="仿宋" w:eastAsia="仿宋_GB2312" w:cs="Times New Roman"/>
                <w:color w:val="auto"/>
                <w:sz w:val="24"/>
                <w:szCs w:val="24"/>
                <w:highlight w:val="none"/>
              </w:rPr>
              <w:t>〔20</w:t>
            </w:r>
            <w:r>
              <w:rPr>
                <w:rFonts w:hint="eastAsia" w:ascii="仿宋_GB2312" w:hAnsi="仿宋" w:eastAsia="仿宋_GB2312" w:cs="Times New Roman"/>
                <w:color w:val="auto"/>
                <w:sz w:val="24"/>
                <w:szCs w:val="24"/>
                <w:highlight w:val="none"/>
                <w:lang w:val="en-US" w:eastAsia="zh-CN"/>
              </w:rPr>
              <w:t>23</w:t>
            </w:r>
            <w:r>
              <w:rPr>
                <w:rFonts w:hint="eastAsia" w:ascii="仿宋_GB2312" w:hAnsi="仿宋" w:eastAsia="仿宋_GB2312" w:cs="Times New Roman"/>
                <w:color w:val="auto"/>
                <w:sz w:val="24"/>
                <w:szCs w:val="24"/>
                <w:highlight w:val="none"/>
              </w:rPr>
              <w:t>〕</w:t>
            </w:r>
            <w:r>
              <w:rPr>
                <w:rFonts w:hint="eastAsia" w:ascii="仿宋_GB2312" w:eastAsia="仿宋_GB2312"/>
                <w:color w:val="auto"/>
                <w:sz w:val="24"/>
                <w:szCs w:val="32"/>
                <w:highlight w:val="none"/>
                <w:lang w:val="en-US" w:eastAsia="zh-CN"/>
              </w:rPr>
              <w:t>149号</w:t>
            </w:r>
          </w:p>
        </w:tc>
        <w:tc>
          <w:tcPr>
            <w:tcW w:w="434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olor w:val="auto"/>
                <w:sz w:val="32"/>
                <w:szCs w:val="32"/>
                <w:highlight w:val="none"/>
                <w:vertAlign w:val="baseline"/>
                <w:lang w:eastAsia="zh-CN"/>
              </w:rPr>
            </w:pPr>
            <w:r>
              <w:rPr>
                <w:rFonts w:hint="eastAsia" w:ascii="仿宋_GB2312" w:eastAsia="仿宋_GB2312"/>
                <w:color w:val="auto"/>
                <w:sz w:val="24"/>
                <w:szCs w:val="32"/>
                <w:highlight w:val="none"/>
                <w:lang w:eastAsia="zh-CN"/>
              </w:rPr>
              <w:t>推动绿色发展、促进人与自然和谐共生，大力推动“十四五”时期县域经济社会绿色高质量发展。</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（二）对国家环境政策的贯彻落实情况</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深入贯彻落实《中共中央国务院关于加快推进生态文明建设的意见》《中共中央国务院关于完整准确全面贯彻新发展理念做好碳达峰碳中和工作的意见》《关于构建绿色金融体系的指导意见》《省联社办公室关于印发贵州省农村信用社加强绿色金融建设助力碳达峰碳中和指导意见（2021-2025年）的通知》以及《省联社关于打造县域绿色普惠银行标杆支持贵州省生态文明先行区建设的意见》（黔农信发〔2023〕11号）等文件精神，推动绿色发展</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lang w:eastAsia="zh-CN"/>
        </w:rPr>
        <w:t>锦屏农信联社始终聚焦三农，全力支持县域经济发展，发挥农村金融主力军作用，截至</w:t>
      </w:r>
      <w:r>
        <w:rPr>
          <w:rFonts w:hint="eastAsia" w:ascii="仿宋_GB2312" w:hAnsi="仿宋_GB2312" w:eastAsia="仿宋_GB2312" w:cs="仿宋_GB2312"/>
          <w:color w:val="auto"/>
          <w:sz w:val="32"/>
          <w:szCs w:val="32"/>
          <w:highlight w:val="none"/>
          <w:lang w:val="en-US" w:eastAsia="zh-CN"/>
        </w:rPr>
        <w:t>2024年末，各项贷款余额44.65亿元，涉农贷款38.32亿元，</w:t>
      </w:r>
      <w:r>
        <w:rPr>
          <w:rFonts w:hint="eastAsia" w:ascii="仿宋_GB2312" w:hAnsi="仿宋_GB2312" w:eastAsia="仿宋_GB2312" w:cs="仿宋_GB2312"/>
          <w:color w:val="auto"/>
          <w:sz w:val="32"/>
          <w:szCs w:val="32"/>
          <w:highlight w:val="none"/>
        </w:rPr>
        <w:t>贷款市场份额</w:t>
      </w:r>
      <w:r>
        <w:rPr>
          <w:rFonts w:hint="eastAsia" w:ascii="仿宋_GB2312" w:hAnsi="仿宋_GB2312" w:eastAsia="仿宋_GB2312" w:cs="仿宋_GB2312"/>
          <w:color w:val="auto"/>
          <w:sz w:val="32"/>
          <w:szCs w:val="32"/>
          <w:highlight w:val="none"/>
          <w:lang w:val="en-US" w:eastAsia="zh-CN"/>
        </w:rPr>
        <w:t>39.46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color w:val="auto"/>
          <w:sz w:val="32"/>
          <w:szCs w:val="32"/>
          <w:highlight w:val="none"/>
          <w:lang w:val="en-US" w:eastAsia="zh-CN"/>
        </w:rPr>
        <w:t>加强制度体系建设。推进绿色信贷分类识别、绿色信贷环境与社会风险评审、绿色信用体系等制度落地，在信贷结构、授信前端、客户评级、利率定价等环节做好规范化、标准化改造，制定并实施了绿色信贷授信、绿色贷款利率定价、绿色信贷分类等一系列体系制度。</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积极向绿色发展转型，大力打造绿色金融发展体系，持续将更多资金配置到绿色低碳领域。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五、环境风险管理及机遇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（一）加强环境风险识别，落实环境保护政策。</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锦屏农信联社在对客户选择、授信审查审批和贷后监控时，高度关注客户的生产经营和项目对环境可能存在的风险及间接影响，并列入贷款“三查”重点。在受理贷款项目时，重点审查环保部门批复或验收报告、各项污染排放等各项指标达标情况，对高能耗、高污染企业和限制类、淘汰类等存量“两高一剩”行业贷款，不予任何形式新增贷款。对存量高耗能、重污染企业和出现重大环境和社会风险的客户，实行名单制管理并逐步退出。</w:t>
      </w:r>
    </w:p>
    <w:p>
      <w:pPr>
        <w:pStyle w:val="6"/>
        <w:keepNext w:val="0"/>
        <w:keepLines w:val="0"/>
        <w:pageBreakBefore w:val="0"/>
        <w:widowControl/>
        <w:numPr>
          <w:ilvl w:val="0"/>
          <w:numId w:val="1"/>
        </w:numPr>
        <w:suppressLineNumbers w:val="0"/>
        <w:tabs>
          <w:tab w:val="left" w:pos="1746"/>
          <w:tab w:val="clear" w:pos="1832"/>
          <w:tab w:val="clear" w:pos="3664"/>
          <w:tab w:val="clear" w:pos="5496"/>
          <w:tab w:val="clear" w:pos="7328"/>
          <w:tab w:val="clear" w:pos="9160"/>
          <w:tab w:val="clear" w:pos="10992"/>
          <w:tab w:val="clear" w:pos="12824"/>
          <w:tab w:val="clear" w:pos="14656"/>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抓住绿色金融机遇，推动业务高质量发展。</w:t>
      </w:r>
    </w:p>
    <w:p>
      <w:pPr>
        <w:pStyle w:val="6"/>
        <w:keepNext w:val="0"/>
        <w:keepLines w:val="0"/>
        <w:pageBreakBefore w:val="0"/>
        <w:widowControl/>
        <w:numPr>
          <w:ilvl w:val="0"/>
          <w:numId w:val="0"/>
        </w:numPr>
        <w:suppressLineNumbers w:val="0"/>
        <w:tabs>
          <w:tab w:val="left" w:pos="1746"/>
          <w:tab w:val="clear" w:pos="1832"/>
          <w:tab w:val="clear" w:pos="3664"/>
          <w:tab w:val="clear" w:pos="5496"/>
          <w:tab w:val="clear" w:pos="7328"/>
          <w:tab w:val="clear" w:pos="9160"/>
          <w:tab w:val="clear" w:pos="10992"/>
          <w:tab w:val="clear" w:pos="12824"/>
          <w:tab w:val="clear" w:pos="14656"/>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color w:val="auto"/>
          <w:highlight w:val="none"/>
          <w:lang w:val="en-US"/>
        </w:rPr>
      </w:pPr>
      <w:r>
        <w:rPr>
          <w:rFonts w:hint="default" w:ascii="仿宋_GB2312" w:hAnsi="仿宋_GB2312" w:eastAsia="仿宋_GB2312" w:cs="仿宋_GB2312"/>
          <w:color w:val="auto"/>
          <w:sz w:val="32"/>
          <w:szCs w:val="32"/>
          <w:highlight w:val="none"/>
          <w:lang w:val="en-US" w:eastAsia="zh-CN"/>
        </w:rPr>
        <w:t>围绕大数据、大生态、大文旅、大健康、新能源、新材料、生态农业、节能环保、低碳减排等绿色产业，</w:t>
      </w:r>
      <w:r>
        <w:rPr>
          <w:rFonts w:hint="eastAsia" w:ascii="仿宋_GB2312" w:hAnsi="仿宋_GB2312" w:eastAsia="仿宋_GB2312" w:cs="仿宋_GB2312"/>
          <w:color w:val="auto"/>
          <w:sz w:val="32"/>
          <w:szCs w:val="32"/>
          <w:highlight w:val="none"/>
          <w:lang w:val="en-US" w:eastAsia="zh-CN"/>
        </w:rPr>
        <w:t>结合</w:t>
      </w:r>
      <w:r>
        <w:rPr>
          <w:rFonts w:hint="eastAsia" w:ascii="Times New Roman" w:hAnsi="Times New Roman" w:eastAsia="仿宋_GB2312" w:cs="Times New Roman"/>
          <w:bCs/>
          <w:color w:val="auto"/>
          <w:sz w:val="32"/>
          <w:szCs w:val="32"/>
          <w:highlight w:val="none"/>
          <w:lang w:val="en-US" w:eastAsia="zh-CN"/>
        </w:rPr>
        <w:t>“黎从榕”打造对接融入粤港澳大湾区“桥头堡”的政策，以及我县的“一示范两样板”的实施方案，</w:t>
      </w:r>
      <w:r>
        <w:rPr>
          <w:rFonts w:hint="default" w:ascii="仿宋_GB2312" w:hAnsi="仿宋_GB2312" w:eastAsia="仿宋_GB2312" w:cs="仿宋_GB2312"/>
          <w:color w:val="auto"/>
          <w:sz w:val="32"/>
          <w:szCs w:val="32"/>
          <w:highlight w:val="none"/>
          <w:lang w:val="en-US" w:eastAsia="zh-CN"/>
        </w:rPr>
        <w:t>引导信贷资金重点向绿色信贷领域倾斜</w:t>
      </w:r>
      <w:r>
        <w:rPr>
          <w:rFonts w:hint="eastAsia" w:ascii="仿宋_GB2312" w:hAnsi="仿宋_GB2312" w:eastAsia="仿宋_GB2312" w:cs="仿宋_GB2312"/>
          <w:color w:val="auto"/>
          <w:sz w:val="32"/>
          <w:szCs w:val="32"/>
          <w:highlight w:val="none"/>
          <w:lang w:val="en-US" w:eastAsia="zh-CN"/>
        </w:rPr>
        <w:t>。以推动金融“五篇大文章”为契机，加大信贷支持绿色金融领域力度，重点支持绿色食品、特色种植、生态养殖业等绿色生态产业，推动我社业务持续健康、高质量发展</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六、经营活动的环境影响</w:t>
      </w:r>
    </w:p>
    <w:p>
      <w:pPr>
        <w:pStyle w:val="6"/>
        <w:keepNext w:val="0"/>
        <w:keepLines w:val="0"/>
        <w:pageBreakBefore w:val="0"/>
        <w:widowControl/>
        <w:suppressLineNumbers w:val="0"/>
        <w:tabs>
          <w:tab w:val="left" w:pos="1746"/>
          <w:tab w:val="clear" w:pos="1832"/>
          <w:tab w:val="clear" w:pos="3664"/>
          <w:tab w:val="clear" w:pos="5496"/>
          <w:tab w:val="clear" w:pos="7328"/>
          <w:tab w:val="clear" w:pos="9160"/>
          <w:tab w:val="clear" w:pos="10992"/>
          <w:tab w:val="clear" w:pos="12824"/>
          <w:tab w:val="clear" w:pos="14656"/>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color w:val="auto"/>
          <w:sz w:val="32"/>
          <w:highlight w:val="none"/>
        </w:rPr>
      </w:pPr>
      <w:r>
        <w:rPr>
          <w:rFonts w:hint="eastAsia" w:ascii="仿宋_GB2312" w:eastAsia="仿宋_GB2312"/>
          <w:bCs/>
          <w:color w:val="auto"/>
          <w:sz w:val="32"/>
          <w:szCs w:val="32"/>
          <w:highlight w:val="none"/>
          <w:lang w:eastAsia="zh-CN"/>
        </w:rPr>
        <w:t>（一）</w:t>
      </w:r>
      <w:r>
        <w:rPr>
          <w:rFonts w:hint="eastAsia" w:ascii="楷体_GB2312" w:hAnsi="楷体_GB2312" w:eastAsia="楷体_GB2312" w:cs="楷体_GB2312"/>
          <w:color w:val="auto"/>
          <w:sz w:val="32"/>
          <w:highlight w:val="none"/>
        </w:rPr>
        <w:t>金融机构经营活动及其环境影响</w:t>
      </w:r>
    </w:p>
    <w:p>
      <w:pPr>
        <w:pStyle w:val="6"/>
        <w:keepNext w:val="0"/>
        <w:keepLines w:val="0"/>
        <w:pageBreakBefore w:val="0"/>
        <w:widowControl/>
        <w:suppressLineNumbers w:val="0"/>
        <w:tabs>
          <w:tab w:val="left" w:pos="1746"/>
          <w:tab w:val="clear" w:pos="1832"/>
          <w:tab w:val="clear" w:pos="3664"/>
          <w:tab w:val="clear" w:pos="5496"/>
          <w:tab w:val="clear" w:pos="7328"/>
          <w:tab w:val="clear" w:pos="9160"/>
          <w:tab w:val="clear" w:pos="10992"/>
          <w:tab w:val="clear" w:pos="12824"/>
          <w:tab w:val="clear" w:pos="14656"/>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bCs/>
          <w:color w:val="auto"/>
          <w:sz w:val="32"/>
          <w:szCs w:val="32"/>
          <w:highlight w:val="none"/>
          <w:lang w:eastAsia="zh-CN"/>
        </w:rPr>
      </w:pPr>
      <w:r>
        <w:rPr>
          <w:rFonts w:hint="eastAsia" w:ascii="仿宋_GB2312" w:eastAsia="仿宋_GB2312"/>
          <w:bCs/>
          <w:color w:val="auto"/>
          <w:sz w:val="32"/>
          <w:szCs w:val="32"/>
          <w:highlight w:val="none"/>
          <w:lang w:eastAsia="zh-CN"/>
        </w:rPr>
        <w:t>我社经营活动产生了自然资源消耗，经营活动的二氧化碳排放主要来源于各类能源、资源消耗产生的二氧化碳排放。</w:t>
      </w:r>
    </w:p>
    <w:p>
      <w:pPr>
        <w:widowControl/>
        <w:snapToGrid w:val="0"/>
        <w:spacing w:line="240" w:lineRule="auto"/>
        <w:ind w:right="0" w:rightChars="0" w:firstLine="0" w:firstLineChars="0"/>
        <w:jc w:val="center"/>
        <w:rPr>
          <w:rFonts w:hint="eastAsia" w:ascii="仿宋_GB2312" w:hAnsi="仿宋_GB2312" w:eastAsia="仿宋_GB2312" w:cs="仿宋_GB2312"/>
          <w:b/>
          <w:bCs/>
          <w:color w:val="auto"/>
          <w:kern w:val="0"/>
          <w:sz w:val="28"/>
          <w:szCs w:val="28"/>
          <w:highlight w:val="none"/>
          <w:lang w:val="en-US" w:eastAsia="zh-CN"/>
        </w:rPr>
      </w:pPr>
    </w:p>
    <w:p>
      <w:pPr>
        <w:widowControl/>
        <w:snapToGrid w:val="0"/>
        <w:spacing w:line="240" w:lineRule="auto"/>
        <w:ind w:right="0" w:rightChars="0" w:firstLine="0" w:firstLineChars="0"/>
        <w:jc w:val="center"/>
        <w:rPr>
          <w:rFonts w:hint="eastAsia"/>
          <w:lang w:val="en-US" w:eastAsia="zh-CN"/>
        </w:rPr>
      </w:pPr>
      <w:r>
        <w:rPr>
          <w:rFonts w:hint="eastAsia" w:ascii="仿宋_GB2312" w:hAnsi="仿宋_GB2312" w:eastAsia="仿宋_GB2312" w:cs="仿宋_GB2312"/>
          <w:b/>
          <w:bCs/>
          <w:color w:val="auto"/>
          <w:kern w:val="0"/>
          <w:sz w:val="28"/>
          <w:szCs w:val="28"/>
          <w:highlight w:val="none"/>
          <w:lang w:val="en-US" w:eastAsia="zh-CN"/>
        </w:rPr>
        <w:t>2024年度经营活动产生的自然资源消耗</w:t>
      </w:r>
    </w:p>
    <w:tbl>
      <w:tblPr>
        <w:tblStyle w:val="7"/>
        <w:tblW w:w="8708"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4"/>
        <w:gridCol w:w="2240"/>
        <w:gridCol w:w="1947"/>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441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环境指标</w:t>
            </w:r>
          </w:p>
        </w:tc>
        <w:tc>
          <w:tcPr>
            <w:tcW w:w="19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23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2024年消耗量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经营活动产生的直接自然资源消耗</w:t>
            </w:r>
          </w:p>
        </w:tc>
        <w:tc>
          <w:tcPr>
            <w:tcW w:w="2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液化石油气</w:t>
            </w:r>
          </w:p>
        </w:tc>
        <w:tc>
          <w:tcPr>
            <w:tcW w:w="19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千克</w:t>
            </w:r>
          </w:p>
        </w:tc>
        <w:tc>
          <w:tcPr>
            <w:tcW w:w="23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74"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right="0" w:rightChars="0" w:firstLine="0" w:firstLineChars="0"/>
              <w:jc w:val="center"/>
              <w:rPr>
                <w:rFonts w:hint="eastAsia" w:ascii="仿宋_GB2312" w:hAnsi="宋体" w:eastAsia="仿宋_GB2312" w:cs="仿宋_GB2312"/>
                <w:i w:val="0"/>
                <w:iCs w:val="0"/>
                <w:color w:val="000000"/>
                <w:sz w:val="24"/>
                <w:szCs w:val="24"/>
                <w:u w:val="none"/>
              </w:rPr>
            </w:pPr>
          </w:p>
        </w:tc>
        <w:tc>
          <w:tcPr>
            <w:tcW w:w="2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公车用汽油</w:t>
            </w:r>
          </w:p>
        </w:tc>
        <w:tc>
          <w:tcPr>
            <w:tcW w:w="19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升</w:t>
            </w:r>
          </w:p>
        </w:tc>
        <w:tc>
          <w:tcPr>
            <w:tcW w:w="2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21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经营活动产生的间接自然资源消耗</w:t>
            </w:r>
          </w:p>
        </w:tc>
        <w:tc>
          <w:tcPr>
            <w:tcW w:w="2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外购电力</w:t>
            </w:r>
          </w:p>
        </w:tc>
        <w:tc>
          <w:tcPr>
            <w:tcW w:w="19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千瓦时</w:t>
            </w:r>
          </w:p>
        </w:tc>
        <w:tc>
          <w:tcPr>
            <w:tcW w:w="2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74"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right="0" w:rightChars="0" w:firstLine="0" w:firstLineChars="0"/>
              <w:jc w:val="center"/>
              <w:rPr>
                <w:rFonts w:hint="eastAsia" w:ascii="仿宋_GB2312" w:hAnsi="宋体" w:eastAsia="仿宋_GB2312" w:cs="仿宋_GB2312"/>
                <w:i w:val="0"/>
                <w:iCs w:val="0"/>
                <w:color w:val="000000"/>
                <w:sz w:val="24"/>
                <w:szCs w:val="24"/>
                <w:u w:val="none"/>
              </w:rPr>
            </w:pPr>
          </w:p>
        </w:tc>
        <w:tc>
          <w:tcPr>
            <w:tcW w:w="2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办公用水消耗</w:t>
            </w:r>
          </w:p>
        </w:tc>
        <w:tc>
          <w:tcPr>
            <w:tcW w:w="19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吨</w:t>
            </w:r>
          </w:p>
        </w:tc>
        <w:tc>
          <w:tcPr>
            <w:tcW w:w="2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74"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ind w:right="0" w:rightChars="0" w:firstLine="0" w:firstLineChars="0"/>
              <w:jc w:val="center"/>
              <w:rPr>
                <w:rFonts w:hint="eastAsia" w:ascii="仿宋_GB2312" w:hAnsi="宋体" w:eastAsia="仿宋_GB2312" w:cs="仿宋_GB2312"/>
                <w:i w:val="0"/>
                <w:iCs w:val="0"/>
                <w:color w:val="000000"/>
                <w:sz w:val="24"/>
                <w:szCs w:val="24"/>
                <w:u w:val="none"/>
              </w:rPr>
            </w:pPr>
          </w:p>
        </w:tc>
        <w:tc>
          <w:tcPr>
            <w:tcW w:w="2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办公用纸消耗量</w:t>
            </w:r>
          </w:p>
        </w:tc>
        <w:tc>
          <w:tcPr>
            <w:tcW w:w="19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2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737300</w:t>
            </w:r>
          </w:p>
        </w:tc>
      </w:tr>
    </w:tbl>
    <w:p>
      <w:pPr>
        <w:pStyle w:val="2"/>
        <w:spacing w:after="0" w:line="240" w:lineRule="auto"/>
        <w:ind w:left="0" w:leftChars="0" w:right="0" w:rightChars="0" w:firstLine="0" w:firstLineChars="0"/>
        <w:rPr>
          <w:rFonts w:hint="eastAsia"/>
          <w:lang w:val="en-US" w:eastAsia="zh-CN"/>
        </w:rPr>
      </w:pPr>
    </w:p>
    <w:p>
      <w:pPr>
        <w:widowControl/>
        <w:snapToGrid w:val="0"/>
        <w:spacing w:line="240" w:lineRule="auto"/>
        <w:ind w:right="0" w:rightChars="0" w:firstLine="0" w:firstLineChars="0"/>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2024年度经营活动产生的温室气体排放</w:t>
      </w:r>
    </w:p>
    <w:tbl>
      <w:tblPr>
        <w:tblStyle w:val="7"/>
        <w:tblW w:w="8719"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304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5679" w:type="dxa"/>
            <w:gridSpan w:val="2"/>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环境指标</w:t>
            </w: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二氧化碳排放量</w:t>
            </w:r>
            <w:r>
              <w:rPr>
                <w:rFonts w:hint="eastAsia" w:ascii="仿宋_GB2312" w:hAnsi="仿宋_GB2312" w:eastAsia="仿宋_GB2312" w:cs="仿宋_GB2312"/>
                <w:b/>
                <w:bCs/>
                <w:color w:val="auto"/>
                <w:kern w:val="0"/>
                <w:sz w:val="24"/>
                <w:szCs w:val="24"/>
                <w:highlight w:val="none"/>
                <w:lang w:val="en-US" w:eastAsia="zh-CN"/>
              </w:rPr>
              <w:t xml:space="preserve"> </w:t>
            </w:r>
            <w:r>
              <w:rPr>
                <w:rFonts w:hint="eastAsia" w:ascii="仿宋_GB2312" w:hAnsi="仿宋_GB2312" w:eastAsia="仿宋_GB2312" w:cs="仿宋_GB2312"/>
                <w:b/>
                <w:bCs/>
                <w:color w:val="auto"/>
                <w:kern w:val="0"/>
                <w:sz w:val="24"/>
                <w:szCs w:val="24"/>
                <w:highlight w:val="non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39" w:type="dxa"/>
            <w:vMerge w:val="restart"/>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直接温室气体排放量</w:t>
            </w: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液化石油气</w:t>
            </w:r>
          </w:p>
        </w:tc>
        <w:tc>
          <w:tcPr>
            <w:tcW w:w="3040" w:type="dxa"/>
            <w:shd w:val="clear" w:color="auto" w:fill="auto"/>
            <w:vAlign w:val="center"/>
          </w:tcPr>
          <w:p>
            <w:pPr>
              <w:widowControl/>
              <w:snapToGrid w:val="0"/>
              <w:spacing w:line="240" w:lineRule="auto"/>
              <w:ind w:right="0" w:rightChars="0" w:firstLine="0" w:firstLineChars="0"/>
              <w:jc w:val="center"/>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39" w:type="dxa"/>
            <w:vMerge w:val="continue"/>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公车用汽油</w:t>
            </w:r>
          </w:p>
        </w:tc>
        <w:tc>
          <w:tcPr>
            <w:tcW w:w="3040" w:type="dxa"/>
            <w:shd w:val="clear" w:color="auto" w:fill="auto"/>
            <w:vAlign w:val="center"/>
          </w:tcPr>
          <w:p>
            <w:pPr>
              <w:widowControl/>
              <w:snapToGrid w:val="0"/>
              <w:spacing w:line="240" w:lineRule="auto"/>
              <w:ind w:right="0" w:rightChars="0" w:firstLine="0" w:firstLineChars="0"/>
              <w:jc w:val="center"/>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39" w:type="dxa"/>
            <w:vMerge w:val="restart"/>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间接温室气体排放量</w:t>
            </w: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外购电力</w:t>
            </w:r>
          </w:p>
        </w:tc>
        <w:tc>
          <w:tcPr>
            <w:tcW w:w="3040" w:type="dxa"/>
            <w:shd w:val="clear" w:color="auto" w:fill="auto"/>
            <w:vAlign w:val="center"/>
          </w:tcPr>
          <w:p>
            <w:pPr>
              <w:widowControl/>
              <w:snapToGrid w:val="0"/>
              <w:spacing w:line="240" w:lineRule="auto"/>
              <w:ind w:right="0" w:rightChars="0" w:firstLine="0" w:firstLineChars="0"/>
              <w:jc w:val="center"/>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595.24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639" w:type="dxa"/>
            <w:vMerge w:val="continue"/>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办公用水消耗</w:t>
            </w:r>
          </w:p>
        </w:tc>
        <w:tc>
          <w:tcPr>
            <w:tcW w:w="3040" w:type="dxa"/>
            <w:shd w:val="clear" w:color="auto" w:fill="auto"/>
            <w:vAlign w:val="center"/>
          </w:tcPr>
          <w:p>
            <w:pPr>
              <w:widowControl/>
              <w:snapToGrid w:val="0"/>
              <w:spacing w:line="240" w:lineRule="auto"/>
              <w:ind w:right="0" w:rightChars="0" w:firstLine="0" w:firstLineChars="0"/>
              <w:jc w:val="center"/>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39" w:type="dxa"/>
            <w:vMerge w:val="continue"/>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p>
        </w:tc>
        <w:tc>
          <w:tcPr>
            <w:tcW w:w="3040" w:type="dxa"/>
            <w:shd w:val="clear" w:color="auto" w:fill="auto"/>
            <w:vAlign w:val="center"/>
          </w:tcPr>
          <w:p>
            <w:pPr>
              <w:widowControl/>
              <w:snapToGrid w:val="0"/>
              <w:spacing w:line="240" w:lineRule="auto"/>
              <w:ind w:right="0" w:rightChars="0"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办公用纸消耗量</w:t>
            </w:r>
          </w:p>
        </w:tc>
        <w:tc>
          <w:tcPr>
            <w:tcW w:w="3040" w:type="dxa"/>
            <w:shd w:val="clear" w:color="auto" w:fill="auto"/>
            <w:vAlign w:val="center"/>
          </w:tcPr>
          <w:p>
            <w:pPr>
              <w:widowControl/>
              <w:snapToGrid w:val="0"/>
              <w:spacing w:line="240" w:lineRule="auto"/>
              <w:ind w:right="0" w:rightChars="0" w:firstLine="0" w:firstLineChars="0"/>
              <w:jc w:val="center"/>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5.66</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highlight w:val="none"/>
          <w:lang w:eastAsia="zh-CN"/>
        </w:rPr>
      </w:pPr>
      <w:r>
        <w:rPr>
          <w:rFonts w:hint="eastAsia" w:ascii="楷体_GB2312" w:hAnsi="楷体_GB2312" w:eastAsia="楷体_GB2312" w:cs="楷体_GB2312"/>
          <w:color w:val="auto"/>
          <w:sz w:val="32"/>
          <w:highlight w:val="none"/>
          <w:lang w:eastAsia="zh-CN"/>
        </w:rPr>
        <w:t>（二）金融机构环保措施产生的效果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我社坚持绿色运营，为实现自身绿色、可持续发展而努力奋斗。通过完善手机银行、自助设备等电子服务渠道功能，提高电子渠道的使用替代率，引导客户通过低碳方式获取优质的金融服务。积极推行绿色办公，对内部员工倡导绿色理念，切实履行社会责任。通过深化制度管理改革，倡导绿色金融发展。进一步推进无纸化办公、节水节电、规范公车使用等政策与措。施一系列行之有效的措施，全面做实、做细办公绿色化和节能减排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七、投融资活动的环境影响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highlight w:val="none"/>
          <w:lang w:eastAsia="zh-CN"/>
        </w:rPr>
        <w:t>锦屏农信联社积极推进绿色信贷战略，加强对清洁能源、节能环保等绿色产业的资金支持。将资金从高污染、高排放、高耗能项目引导到绿色环保、清洁能源和污染防治等领域，停止对环境有害项目的投资，合理分配资源，推动绿色发展。在投融资活动中，始终践行“绿色发展”理念，加强对投资项目的审查，高度关注项目对环境可能存在的风险及其对环境的间接影响。杜绝信贷资金流向对环境有较大负面影响的项目，降低我社投融资活动对环境的不利影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八、绿色金融创新做法及成果奖项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我</w:t>
      </w:r>
      <w:r>
        <w:rPr>
          <w:rFonts w:hint="eastAsia" w:ascii="仿宋_GB2312" w:hAnsi="Calibri" w:eastAsia="仿宋_GB2312" w:cs="Times New Roman"/>
          <w:color w:val="auto"/>
          <w:sz w:val="32"/>
          <w:szCs w:val="32"/>
          <w:highlight w:val="none"/>
        </w:rPr>
        <w:t>社</w:t>
      </w:r>
      <w:r>
        <w:rPr>
          <w:rFonts w:hint="eastAsia" w:ascii="仿宋_GB2312" w:hAnsi="Calibri" w:eastAsia="仿宋_GB2312" w:cs="Times New Roman"/>
          <w:color w:val="auto"/>
          <w:sz w:val="32"/>
          <w:szCs w:val="32"/>
          <w:highlight w:val="none"/>
          <w:lang w:eastAsia="zh-CN"/>
        </w:rPr>
        <w:t>始终</w:t>
      </w:r>
      <w:r>
        <w:rPr>
          <w:rFonts w:hint="eastAsia" w:ascii="仿宋_GB2312" w:hAnsi="Calibri" w:eastAsia="仿宋_GB2312" w:cs="Times New Roman"/>
          <w:color w:val="auto"/>
          <w:sz w:val="32"/>
          <w:szCs w:val="32"/>
          <w:highlight w:val="none"/>
        </w:rPr>
        <w:t>践行绿色金融发展理念，</w:t>
      </w:r>
      <w:r>
        <w:rPr>
          <w:rFonts w:hint="eastAsia" w:ascii="仿宋_GB2312" w:hAnsi="Calibri" w:eastAsia="仿宋_GB2312" w:cs="Times New Roman"/>
          <w:color w:val="auto"/>
          <w:sz w:val="32"/>
          <w:szCs w:val="32"/>
          <w:highlight w:val="none"/>
          <w:lang w:eastAsia="zh-CN"/>
        </w:rPr>
        <w:t>结合“</w:t>
      </w:r>
      <w:r>
        <w:rPr>
          <w:rFonts w:hint="eastAsia" w:ascii="仿宋_GB2312" w:hAnsi="Calibri" w:eastAsia="仿宋_GB2312" w:cs="Times New Roman"/>
          <w:color w:val="auto"/>
          <w:sz w:val="32"/>
          <w:szCs w:val="32"/>
          <w:highlight w:val="none"/>
          <w:lang w:val="en-US" w:eastAsia="zh-CN"/>
        </w:rPr>
        <w:t>一示范两样板”的政策</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CN"/>
        </w:rPr>
        <w:t>着力支持</w:t>
      </w:r>
      <w:r>
        <w:rPr>
          <w:rFonts w:hint="eastAsia" w:ascii="仿宋_GB2312" w:hAnsi="Calibri" w:eastAsia="仿宋_GB2312" w:cs="Times New Roman"/>
          <w:color w:val="auto"/>
          <w:sz w:val="32"/>
          <w:szCs w:val="32"/>
          <w:highlight w:val="none"/>
        </w:rPr>
        <w:t>服务地方经济发展</w:t>
      </w:r>
      <w:r>
        <w:rPr>
          <w:rFonts w:hint="eastAsia" w:ascii="Times New Roman" w:hAnsi="Times New Roman" w:eastAsia="仿宋_GB2312" w:cs="Times New Roman"/>
          <w:bCs/>
          <w:color w:val="auto"/>
          <w:sz w:val="32"/>
          <w:szCs w:val="32"/>
          <w:highlight w:val="none"/>
        </w:rPr>
        <w:t>。</w:t>
      </w:r>
      <w:r>
        <w:rPr>
          <w:rFonts w:hint="eastAsia" w:ascii="仿宋_GB2312" w:hAnsi="Calibri" w:eastAsia="仿宋_GB2312" w:cs="Times New Roman"/>
          <w:color w:val="auto"/>
          <w:sz w:val="32"/>
          <w:szCs w:val="32"/>
          <w:highlight w:val="none"/>
        </w:rPr>
        <w:t>在风险可控、商业可持续</w:t>
      </w:r>
      <w:r>
        <w:rPr>
          <w:rFonts w:hint="eastAsia" w:ascii="仿宋_GB2312" w:hAnsi="Calibri" w:eastAsia="仿宋_GB2312" w:cs="Times New Roman"/>
          <w:color w:val="auto"/>
          <w:sz w:val="32"/>
          <w:szCs w:val="32"/>
          <w:highlight w:val="none"/>
          <w:lang w:eastAsia="zh-CN"/>
        </w:rPr>
        <w:t>发展</w:t>
      </w:r>
      <w:r>
        <w:rPr>
          <w:rFonts w:hint="eastAsia" w:ascii="仿宋_GB2312" w:hAnsi="Calibri" w:eastAsia="仿宋_GB2312" w:cs="Times New Roman"/>
          <w:color w:val="auto"/>
          <w:sz w:val="32"/>
          <w:szCs w:val="32"/>
          <w:highlight w:val="none"/>
        </w:rPr>
        <w:t>的原则下，积极寻找机会参与县域绿色投融资活动，探索新型的绿色金融产品和服务，</w:t>
      </w:r>
      <w:r>
        <w:rPr>
          <w:rFonts w:hint="eastAsia" w:ascii="仿宋_GB2312" w:hAnsi="Calibri" w:eastAsia="仿宋_GB2312" w:cs="Times New Roman"/>
          <w:color w:val="auto"/>
          <w:sz w:val="32"/>
          <w:szCs w:val="32"/>
          <w:highlight w:val="none"/>
          <w:lang w:eastAsia="zh-CN"/>
        </w:rPr>
        <w:t>加大对清洁能源、节能环保、生态种养殖等绿色产业的资金支持</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在</w:t>
      </w:r>
      <w:r>
        <w:rPr>
          <w:rFonts w:hint="eastAsia" w:ascii="Times New Roman" w:hAnsi="Times New Roman" w:eastAsia="仿宋_GB2312" w:cs="Times New Roman"/>
          <w:color w:val="auto"/>
          <w:sz w:val="32"/>
          <w:szCs w:val="32"/>
          <w:highlight w:val="none"/>
          <w:lang w:eastAsia="zh-CN"/>
        </w:rPr>
        <w:t>给客户带来</w:t>
      </w:r>
      <w:r>
        <w:rPr>
          <w:rFonts w:hint="eastAsia" w:ascii="Times New Roman" w:hAnsi="Times New Roman" w:eastAsia="仿宋_GB2312" w:cs="Times New Roman"/>
          <w:color w:val="auto"/>
          <w:sz w:val="32"/>
          <w:szCs w:val="32"/>
          <w:highlight w:val="none"/>
        </w:rPr>
        <w:t>可观的经济效益的同时，也带来了较好的生态效益和社会效益</w:t>
      </w:r>
      <w:r>
        <w:rPr>
          <w:rFonts w:hint="eastAsia" w:ascii="Times New Roman" w:hAnsi="Times New Roman" w:eastAsia="仿宋_GB2312" w:cs="Times New Roman"/>
          <w:color w:val="auto"/>
          <w:sz w:val="32"/>
          <w:szCs w:val="32"/>
          <w:highlight w:val="none"/>
          <w:lang w:eastAsia="zh-CN"/>
        </w:rPr>
        <w:t>，保护我们的青山绿水，促进就业创收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同时我社对</w:t>
      </w:r>
      <w:r>
        <w:rPr>
          <w:rFonts w:hint="eastAsia" w:ascii="Times New Roman" w:hAnsi="Times New Roman" w:eastAsia="仿宋_GB2312" w:cs="Times New Roman"/>
          <w:color w:val="auto"/>
          <w:sz w:val="32"/>
          <w:szCs w:val="32"/>
          <w:highlight w:val="none"/>
        </w:rPr>
        <w:t>内部员工倡导绿色理念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积极推行绿色办公、节水节电、规范</w:t>
      </w:r>
      <w:r>
        <w:rPr>
          <w:rFonts w:hint="eastAsia" w:ascii="Times New Roman" w:hAnsi="Times New Roman" w:eastAsia="仿宋_GB2312" w:cs="Times New Roman"/>
          <w:color w:val="auto"/>
          <w:sz w:val="32"/>
          <w:szCs w:val="32"/>
          <w:highlight w:val="none"/>
          <w:lang w:eastAsia="zh-CN"/>
        </w:rPr>
        <w:t>用车</w:t>
      </w:r>
      <w:r>
        <w:rPr>
          <w:rFonts w:hint="eastAsia" w:ascii="Times New Roman" w:hAnsi="Times New Roman" w:eastAsia="仿宋_GB2312" w:cs="Times New Roman"/>
          <w:color w:val="auto"/>
          <w:sz w:val="32"/>
          <w:szCs w:val="32"/>
          <w:highlight w:val="none"/>
        </w:rPr>
        <w:t>等措施，减少</w:t>
      </w:r>
      <w:r>
        <w:rPr>
          <w:rFonts w:hint="eastAsia" w:ascii="Times New Roman" w:hAnsi="Times New Roman" w:eastAsia="仿宋_GB2312" w:cs="Times New Roman"/>
          <w:color w:val="auto"/>
          <w:sz w:val="32"/>
          <w:szCs w:val="32"/>
          <w:highlight w:val="none"/>
          <w:lang w:eastAsia="zh-CN"/>
        </w:rPr>
        <w:t>办公</w:t>
      </w:r>
      <w:r>
        <w:rPr>
          <w:rFonts w:hint="eastAsia" w:ascii="Times New Roman" w:hAnsi="Times New Roman" w:eastAsia="仿宋_GB2312" w:cs="Times New Roman"/>
          <w:color w:val="auto"/>
          <w:sz w:val="32"/>
          <w:szCs w:val="32"/>
          <w:highlight w:val="none"/>
        </w:rPr>
        <w:t>资源消耗和二氧化碳的排放</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九、转型金融业务发展情况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我社作为服务地方经济、支持"三农"和小微企业的农村金融主力军，积极响应国家政策，加大对绿色低碳领域的支持力度，推动我社业务的绿色低碳转型。</w:t>
      </w:r>
    </w:p>
    <w:p>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完善绿色信贷机制，推动绿色金融体系建设</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我社成立了由联社党委书记为组长，其他领导班子为副组长，各部室负责人、各营业网点负责人为成员的绿色普惠金融领导小组，建立由联社党委书记为“一把手”总负责，联社党委副书记抓具体落实，职能部室分工负责、协同推进的工作机制，打造县域绿色普惠银行标杆。成立了绿色金融信贷办公室，负责统筹、协调、规划全社开展绿色信贷各项工作。明确“持续做好绿色金融和普惠金融服务，开通绿色信贷服务通道，将锦屏联社打造成为乡村振兴特色银行”的工作目标，将乡村振兴特色银行的“底色做绿”，着重支持绿色食品、特色种植、生态养殖业等绿色生态产业，探索建立绿色信贷长效机制。加强绿色金融人才队伍建设，提升</w:t>
      </w:r>
      <w:r>
        <w:rPr>
          <w:rFonts w:hint="eastAsia" w:ascii="仿宋" w:hAnsi="仿宋" w:eastAsia="仿宋" w:cs="仿宋"/>
          <w:color w:val="auto"/>
          <w:sz w:val="32"/>
          <w:szCs w:val="32"/>
          <w:lang w:eastAsia="zh-CN"/>
        </w:rPr>
        <w:t>员工的绿色金融素养，为绿色信贷业务发展提供人才支撑</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探索产品创新，优化绿色信贷金融服务</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我社积极探索创新绿色金融产品和服务，开展绿色担保方式创新，助推绿色低碳转型金融业务发展，为实现可持续发展贡献力量。</w:t>
      </w:r>
      <w:r>
        <w:rPr>
          <w:rFonts w:hint="eastAsia" w:ascii="Times New Roman" w:hAnsi="Times New Roman" w:eastAsia="仿宋_GB2312" w:cs="Times New Roman"/>
          <w:b/>
          <w:bCs/>
          <w:color w:val="auto"/>
          <w:sz w:val="32"/>
          <w:szCs w:val="32"/>
          <w:highlight w:val="none"/>
          <w:lang w:eastAsia="zh-CN"/>
        </w:rPr>
        <w:t>一是</w:t>
      </w:r>
      <w:r>
        <w:rPr>
          <w:rFonts w:hint="eastAsia" w:ascii="Times New Roman" w:hAnsi="Times New Roman" w:eastAsia="仿宋_GB2312" w:cs="Times New Roman"/>
          <w:color w:val="auto"/>
          <w:sz w:val="32"/>
          <w:szCs w:val="32"/>
          <w:highlight w:val="none"/>
          <w:lang w:eastAsia="zh-CN"/>
        </w:rPr>
        <w:t>积极推广绿色农业金融服务，创新推出了“三社联建贷”、“兴业贷”等贷款产品，用于支持辖内开展“三社联建+反租倒包”的新型农业经营主体</w:t>
      </w:r>
      <w:r>
        <w:rPr>
          <w:rFonts w:hint="eastAsia" w:ascii="仿宋_GB2312" w:hAnsi="仿宋_GB2312" w:eastAsia="仿宋_GB2312" w:cs="仿宋_GB2312"/>
          <w:color w:val="auto"/>
          <w:sz w:val="32"/>
          <w:szCs w:val="32"/>
          <w:highlight w:val="none"/>
          <w:lang w:eastAsia="zh-CN"/>
        </w:rPr>
        <w:t>和12个农</w:t>
      </w:r>
      <w:r>
        <w:rPr>
          <w:rFonts w:hint="eastAsia" w:ascii="Times New Roman" w:hAnsi="Times New Roman" w:eastAsia="仿宋_GB2312" w:cs="Times New Roman"/>
          <w:color w:val="auto"/>
          <w:sz w:val="32"/>
          <w:szCs w:val="32"/>
          <w:highlight w:val="none"/>
          <w:lang w:eastAsia="zh-CN"/>
        </w:rPr>
        <w:t>业特色优势产业及县域优势产业发展主体，支持农业领域经营主体从粗放型转为生态种养殖模式，助力农业面源污染治理</w:t>
      </w:r>
      <w:r>
        <w:rPr>
          <w:rFonts w:hint="eastAsia" w:ascii="Times New Roman" w:hAnsi="Times New Roman" w:eastAsia="仿宋_GB2312" w:cs="Times New Roman"/>
          <w:color w:val="auto"/>
          <w:sz w:val="32"/>
          <w:szCs w:val="32"/>
          <w:highlight w:val="none"/>
          <w:lang w:val="en-US" w:eastAsia="zh-CN"/>
        </w:rPr>
        <w:t>。创新担保方式，修订“林权贷”贷款实施办法、制定活体抵押贷款管理办法，改善农村金融服务，支持县域林业、畜牧业发展，让良好的森林、畜牧资源发挥更大的经济、生态和社会效益，推进生态文明建设，积极助力乡村振兴。</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积极推进绿色信贷，对不同行业的绿色经济、低碳经济、循环经济加大支持力度，对符合绿色信贷鼓励类项目，简化贷款手续，实行“三优先”，即优先调查，优先审批，优先发放，同时有效利用央行支农再贷款资金，在利率执行方面给予优惠。对高能耗、高污染企业和限制类、淘汰类等存量“两高一剩”行业贷款，不予任何形式新增贷款。</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sz w:val="32"/>
          <w:szCs w:val="32"/>
          <w:highlight w:val="none"/>
          <w:lang w:val="en-US" w:eastAsia="zh-CN"/>
        </w:rPr>
        <w:t>（三）积极参与绿色项目与产业支持</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lang w:val="en-US" w:eastAsia="zh-CN"/>
        </w:rPr>
      </w:pPr>
      <w:r>
        <w:rPr>
          <w:rFonts w:hint="eastAsia" w:ascii="仿宋" w:hAnsi="仿宋" w:eastAsia="仿宋" w:cs="仿宋"/>
          <w:color w:val="auto"/>
          <w:sz w:val="32"/>
          <w:szCs w:val="32"/>
          <w:highlight w:val="none"/>
          <w:lang w:val="en-US" w:eastAsia="zh-CN"/>
        </w:rPr>
        <w:t>锦屏农信联社积极响应国家绿色发展、绿色金融理念，大力支持环保节能、清洁能源、生态农业等绿色产业项目的融资需求</w:t>
      </w:r>
      <w:r>
        <w:rPr>
          <w:rFonts w:hint="eastAsia" w:ascii="仿宋" w:hAnsi="仿宋" w:eastAsia="仿宋" w:cs="仿宋"/>
          <w:color w:val="auto"/>
          <w:sz w:val="32"/>
          <w:szCs w:val="32"/>
          <w:highlight w:val="none"/>
          <w:lang w:eastAsia="zh-CN"/>
        </w:rPr>
        <w:t>。如我社向“购置新能源车”项目发放</w:t>
      </w:r>
      <w:r>
        <w:rPr>
          <w:rFonts w:hint="eastAsia" w:ascii="仿宋" w:hAnsi="仿宋" w:eastAsia="仿宋" w:cs="仿宋"/>
          <w:color w:val="auto"/>
          <w:sz w:val="32"/>
          <w:szCs w:val="32"/>
          <w:highlight w:val="none"/>
          <w:lang w:val="en-US" w:eastAsia="zh-CN"/>
        </w:rPr>
        <w:t>300万元，有效帮助企业降低运营成本，助力锦屏县新能源产业发展，“贷”动新能源出租车“驶”向低碳绿色出行。向多家生态养</w:t>
      </w:r>
      <w:bookmarkStart w:id="0" w:name="_GoBack"/>
      <w:bookmarkEnd w:id="0"/>
      <w:r>
        <w:rPr>
          <w:rFonts w:hint="eastAsia" w:ascii="仿宋" w:hAnsi="仿宋" w:eastAsia="仿宋" w:cs="仿宋"/>
          <w:color w:val="auto"/>
          <w:sz w:val="32"/>
          <w:szCs w:val="32"/>
          <w:highlight w:val="none"/>
          <w:lang w:val="en-US" w:eastAsia="zh-CN"/>
        </w:rPr>
        <w:t>殖龙头企业提供信贷资金支持5290万元，为促进县域经济绿色发展贡献力量。</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、支持普惠主体及中小企业绿色发展情况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我</w:t>
      </w:r>
      <w:r>
        <w:rPr>
          <w:rFonts w:hint="eastAsia" w:ascii="Times New Roman" w:hAnsi="Times New Roman" w:eastAsia="仿宋_GB2312" w:cs="Times New Roman"/>
          <w:bCs/>
          <w:color w:val="auto"/>
          <w:sz w:val="32"/>
          <w:szCs w:val="32"/>
          <w:highlight w:val="none"/>
        </w:rPr>
        <w:t>社积极响应国家绿色发展、绿色金融理念，大力支持环保、节能</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种养殖</w:t>
      </w:r>
      <w:r>
        <w:rPr>
          <w:rFonts w:hint="eastAsia" w:ascii="仿宋_GB2312" w:hAnsi="仿宋_GB2312" w:eastAsia="仿宋_GB2312" w:cs="仿宋_GB2312"/>
          <w:bCs/>
          <w:color w:val="auto"/>
          <w:sz w:val="32"/>
          <w:szCs w:val="32"/>
          <w:highlight w:val="none"/>
        </w:rPr>
        <w:t>等绿色产业项目的融资需求，</w:t>
      </w:r>
      <w:r>
        <w:rPr>
          <w:rFonts w:hint="eastAsia" w:ascii="仿宋_GB2312" w:hAnsi="仿宋_GB2312" w:eastAsia="仿宋_GB2312" w:cs="仿宋_GB2312"/>
          <w:bCs/>
          <w:color w:val="auto"/>
          <w:sz w:val="32"/>
          <w:szCs w:val="32"/>
          <w:highlight w:val="none"/>
          <w:lang w:eastAsia="zh-CN"/>
        </w:rPr>
        <w:t>结合“一示范两样板”政策，大力支持县内经济发展。</w:t>
      </w:r>
      <w:r>
        <w:rPr>
          <w:rFonts w:hint="eastAsia" w:ascii="仿宋_GB2312" w:hAnsi="仿宋_GB2312" w:eastAsia="仿宋_GB2312" w:cs="仿宋_GB2312"/>
          <w:b/>
          <w:bCs w:val="0"/>
          <w:color w:val="auto"/>
          <w:sz w:val="32"/>
          <w:szCs w:val="32"/>
          <w:highlight w:val="none"/>
          <w:lang w:eastAsia="zh-CN"/>
        </w:rPr>
        <w:t>一是</w:t>
      </w:r>
      <w:r>
        <w:rPr>
          <w:rFonts w:hint="eastAsia" w:ascii="仿宋_GB2312" w:hAnsi="仿宋_GB2312" w:eastAsia="仿宋_GB2312" w:cs="仿宋_GB2312"/>
          <w:bCs/>
          <w:color w:val="auto"/>
          <w:sz w:val="32"/>
          <w:szCs w:val="32"/>
          <w:highlight w:val="none"/>
          <w:lang w:eastAsia="zh-CN"/>
        </w:rPr>
        <w:t>我社推出“乡村振兴贷”、“三社联建贷”、“兴业贷”等多个产品，在保障风险可控的前提下，适当降低准入条件，对小微企业、农户等普惠主体发展绿色产业提供资金支持，</w:t>
      </w:r>
      <w:r>
        <w:rPr>
          <w:rFonts w:hint="eastAsia" w:ascii="仿宋_GB2312" w:hAnsi="仿宋_GB2312" w:eastAsia="仿宋_GB2312" w:cs="仿宋_GB2312"/>
          <w:bCs/>
          <w:color w:val="auto"/>
          <w:sz w:val="32"/>
          <w:szCs w:val="32"/>
          <w:highlight w:val="none"/>
          <w:lang w:val="en-US" w:eastAsia="zh-CN"/>
        </w:rPr>
        <w:t>2024年我社对发放绿色贷款744笔，金额3332.68万元，惠及488户，截至2024年末绿色贷款余额共计0.88亿元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val="0"/>
          <w:color w:val="auto"/>
          <w:sz w:val="32"/>
          <w:szCs w:val="32"/>
          <w:highlight w:val="none"/>
          <w:lang w:eastAsia="zh-CN"/>
        </w:rPr>
        <w:t>二是</w:t>
      </w:r>
      <w:r>
        <w:rPr>
          <w:rFonts w:hint="eastAsia" w:ascii="仿宋_GB2312" w:hAnsi="仿宋_GB2312" w:eastAsia="仿宋_GB2312" w:cs="仿宋_GB2312"/>
          <w:bCs/>
          <w:color w:val="auto"/>
          <w:sz w:val="32"/>
          <w:szCs w:val="32"/>
          <w:highlight w:val="none"/>
          <w:lang w:eastAsia="zh-CN"/>
        </w:rPr>
        <w:t>在定价策略上坚持“服务优惠和利率优惠”的原则，积极运用再贷款等低成本资金支持绿色产业发展，绿色信贷平均利率持续降低，同时加大推广线上产品力度，提高获得信贷的及时性和便捷度，降低办理信贷业务成本。</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数据梳理、校验及保护</w:t>
      </w:r>
    </w:p>
    <w:p>
      <w:pPr>
        <w:pStyle w:val="6"/>
        <w:keepNext w:val="0"/>
        <w:keepLines w:val="0"/>
        <w:pageBreakBefore w:val="0"/>
        <w:widowControl/>
        <w:suppressLineNumbers w:val="0"/>
        <w:tabs>
          <w:tab w:val="left" w:pos="1746"/>
          <w:tab w:val="clear" w:pos="1832"/>
          <w:tab w:val="clear" w:pos="3664"/>
          <w:tab w:val="clear" w:pos="5496"/>
          <w:tab w:val="clear" w:pos="7328"/>
          <w:tab w:val="clear" w:pos="9160"/>
          <w:tab w:val="clear" w:pos="10992"/>
          <w:tab w:val="clear" w:pos="12824"/>
          <w:tab w:val="clear" w:pos="14656"/>
        </w:tabs>
        <w:kinsoku/>
        <w:wordWrap/>
        <w:overflowPunct/>
        <w:topLinePunct w:val="0"/>
        <w:autoSpaceDE/>
        <w:autoSpaceDN/>
        <w:bidi w:val="0"/>
        <w:adjustRightInd/>
        <w:snapToGrid/>
        <w:spacing w:line="560" w:lineRule="exact"/>
        <w:ind w:right="0" w:rightChars="0" w:firstLine="640" w:firstLineChars="200"/>
        <w:jc w:val="both"/>
        <w:textAlignment w:val="auto"/>
      </w:pPr>
      <w:r>
        <w:rPr>
          <w:rFonts w:hint="eastAsia" w:ascii="仿宋_GB2312" w:hAnsi="仿宋_GB2312" w:eastAsia="仿宋_GB2312" w:cs="仿宋_GB2312"/>
          <w:bCs/>
          <w:kern w:val="2"/>
          <w:sz w:val="32"/>
          <w:szCs w:val="32"/>
          <w:highlight w:val="none"/>
          <w:lang w:eastAsia="zh-CN"/>
        </w:rPr>
        <w:t>我</w:t>
      </w:r>
      <w:r>
        <w:rPr>
          <w:rFonts w:ascii="仿宋_GB2312" w:hAnsi="仿宋_GB2312" w:eastAsia="仿宋_GB2312" w:cs="仿宋_GB2312"/>
          <w:bCs/>
          <w:kern w:val="2"/>
          <w:sz w:val="32"/>
          <w:szCs w:val="32"/>
          <w:highlight w:val="none"/>
        </w:rPr>
        <w:t>社</w:t>
      </w:r>
      <w:r>
        <w:rPr>
          <w:rFonts w:hint="eastAsia" w:ascii="仿宋_GB2312" w:hAnsi="仿宋_GB2312" w:eastAsia="仿宋_GB2312" w:cs="仿宋_GB2312"/>
          <w:bCs/>
          <w:kern w:val="2"/>
          <w:sz w:val="32"/>
          <w:szCs w:val="32"/>
          <w:highlight w:val="none"/>
          <w:lang w:val="en-US" w:eastAsia="zh-CN" w:bidi="ar-SA"/>
        </w:rPr>
        <w:t>在数据信息安全管理、应急管理等组织架构，以及确保数据安全性的相关管理制度和技术手段等方面，</w:t>
      </w:r>
      <w:r>
        <w:rPr>
          <w:rFonts w:ascii="仿宋_GB2312" w:hAnsi="仿宋_GB2312" w:eastAsia="仿宋_GB2312" w:cs="仿宋_GB2312"/>
          <w:bCs/>
          <w:kern w:val="2"/>
          <w:sz w:val="32"/>
          <w:szCs w:val="32"/>
          <w:highlight w:val="none"/>
        </w:rPr>
        <w:t>制定</w:t>
      </w:r>
      <w:r>
        <w:rPr>
          <w:rFonts w:hint="eastAsia" w:ascii="仿宋_GB2312" w:hAnsi="仿宋_GB2312" w:eastAsia="仿宋_GB2312" w:cs="仿宋_GB2312"/>
          <w:bCs/>
          <w:kern w:val="2"/>
          <w:sz w:val="32"/>
          <w:szCs w:val="32"/>
          <w:highlight w:val="none"/>
          <w:lang w:eastAsia="zh-CN"/>
        </w:rPr>
        <w:t>了</w:t>
      </w:r>
      <w:r>
        <w:rPr>
          <w:rFonts w:ascii="仿宋_GB2312" w:hAnsi="仿宋_GB2312" w:eastAsia="仿宋_GB2312" w:cs="仿宋_GB2312"/>
          <w:bCs/>
          <w:kern w:val="2"/>
          <w:sz w:val="32"/>
          <w:szCs w:val="32"/>
          <w:highlight w:val="none"/>
        </w:rPr>
        <w:t>《</w:t>
      </w:r>
      <w:r>
        <w:rPr>
          <w:rFonts w:ascii="仿宋_GB2312" w:eastAsia="仿宋_GB2312"/>
          <w:sz w:val="32"/>
          <w:highlight w:val="none"/>
        </w:rPr>
        <w:t>锦屏县农村信用合作联社重要存储及备份介质维护、销毁管理制度</w:t>
      </w:r>
      <w:r>
        <w:rPr>
          <w:rFonts w:ascii="仿宋_GB2312" w:hAnsi="仿宋_GB2312" w:eastAsia="仿宋_GB2312" w:cs="仿宋_GB2312"/>
          <w:bCs/>
          <w:kern w:val="2"/>
          <w:sz w:val="32"/>
          <w:szCs w:val="32"/>
          <w:highlight w:val="none"/>
        </w:rPr>
        <w:t>》《</w:t>
      </w:r>
      <w:r>
        <w:rPr>
          <w:rFonts w:ascii="仿宋_GB2312" w:eastAsia="仿宋_GB2312"/>
          <w:sz w:val="32"/>
          <w:highlight w:val="none"/>
        </w:rPr>
        <w:t>锦屏县农村信用合作联社信息系统数据备份暂行办法</w:t>
      </w:r>
      <w:r>
        <w:rPr>
          <w:rFonts w:ascii="仿宋_GB2312" w:hAnsi="仿宋_GB2312" w:eastAsia="仿宋_GB2312" w:cs="仿宋_GB2312"/>
          <w:bCs/>
          <w:kern w:val="2"/>
          <w:sz w:val="32"/>
          <w:szCs w:val="32"/>
          <w:highlight w:val="none"/>
        </w:rPr>
        <w:t>》</w:t>
      </w:r>
      <w:r>
        <w:rPr>
          <w:rFonts w:hint="eastAsia" w:ascii="仿宋_GB2312" w:hAnsi="仿宋_GB2312" w:eastAsia="仿宋_GB2312" w:cs="仿宋_GB2312"/>
          <w:bCs/>
          <w:kern w:val="2"/>
          <w:sz w:val="32"/>
          <w:szCs w:val="32"/>
          <w:highlight w:val="none"/>
          <w:lang w:eastAsia="zh-CN"/>
        </w:rPr>
        <w:t>等相关制度，</w:t>
      </w:r>
      <w:r>
        <w:rPr>
          <w:rFonts w:hint="eastAsia" w:ascii="仿宋_GB2312" w:eastAsia="仿宋_GB2312"/>
          <w:sz w:val="32"/>
          <w:szCs w:val="32"/>
          <w:highlight w:val="none"/>
          <w:lang w:eastAsia="zh-CN"/>
        </w:rPr>
        <w:t>从数据管理过程、</w:t>
      </w:r>
      <w:r>
        <w:rPr>
          <w:rFonts w:hint="eastAsia" w:ascii="仿宋_GB2312" w:eastAsia="仿宋_GB2312"/>
          <w:sz w:val="32"/>
          <w:szCs w:val="32"/>
          <w:highlight w:val="none"/>
        </w:rPr>
        <w:t>职责与分工</w:t>
      </w:r>
      <w:r>
        <w:rPr>
          <w:rFonts w:hint="eastAsia" w:ascii="仿宋_GB2312" w:eastAsia="仿宋_GB2312"/>
          <w:sz w:val="32"/>
          <w:szCs w:val="32"/>
          <w:highlight w:val="none"/>
          <w:lang w:eastAsia="zh-CN"/>
        </w:rPr>
        <w:t>、数据分发与传输、数据脱敏、数据存储与备份数据恢复、抽检、</w:t>
      </w:r>
      <w:r>
        <w:rPr>
          <w:rFonts w:ascii="仿宋_GB2312" w:hAnsi="仿宋_GB2312" w:eastAsia="仿宋_GB2312" w:cs="仿宋_GB2312"/>
          <w:bCs/>
          <w:kern w:val="2"/>
          <w:sz w:val="32"/>
          <w:szCs w:val="32"/>
          <w:highlight w:val="none"/>
        </w:rPr>
        <w:t>数据提取、使用、销毁等环节</w:t>
      </w:r>
      <w:r>
        <w:rPr>
          <w:rFonts w:hint="eastAsia" w:ascii="仿宋_GB2312" w:eastAsia="仿宋_GB2312"/>
          <w:sz w:val="32"/>
          <w:szCs w:val="32"/>
          <w:highlight w:val="none"/>
          <w:lang w:eastAsia="zh-CN"/>
        </w:rPr>
        <w:t>进行规范管理；通过网络隔离、终端管控、堡垒机、数据中心人员出入管理等手段，实行严格的认证措施，</w:t>
      </w:r>
      <w:r>
        <w:rPr>
          <w:rFonts w:hint="eastAsia" w:ascii="仿宋_GB2312" w:eastAsia="仿宋_GB2312"/>
          <w:sz w:val="32"/>
          <w:szCs w:val="32"/>
          <w:highlight w:val="none"/>
        </w:rPr>
        <w:t>保障信息系统生产数据安全，确保各类数据的完整性、安全性及可靠性</w:t>
      </w:r>
      <w:r>
        <w:rPr>
          <w:rFonts w:hint="eastAsia" w:ascii="仿宋_GB2312" w:eastAsia="仿宋_GB2312"/>
          <w:sz w:val="32"/>
          <w:szCs w:val="32"/>
          <w:highlight w:val="none"/>
          <w:lang w:eastAsia="zh-CN"/>
        </w:rPr>
        <w:t>。</w:t>
      </w:r>
    </w:p>
    <w:p>
      <w:pPr>
        <w:pStyle w:val="2"/>
        <w:numPr>
          <w:ilvl w:val="0"/>
          <w:numId w:val="0"/>
        </w:numPr>
        <w:spacing w:after="0" w:line="240" w:lineRule="auto"/>
        <w:ind w:right="0" w:rightChars="0" w:firstLine="0" w:firstLineChars="0"/>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630"/>
      </w:pPr>
      <w:r>
        <w:separator/>
      </w:r>
    </w:p>
  </w:endnote>
  <w:endnote w:type="continuationSeparator" w:id="1">
    <w:p>
      <w:pPr>
        <w:ind w:righ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12633"/>
    </w:sdtPr>
    <w:sdtContent>
      <w:p>
        <w:pPr>
          <w:pStyle w:val="4"/>
          <w:ind w:right="630"/>
          <w:jc w:val="right"/>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30"/>
    </w:pPr>
    <w:r>
      <w:rPr>
        <w:rFonts w:hint="eastAsia" w:ascii="宋体" w:hAnsi="宋体" w:eastAsia="宋体"/>
        <w:sz w:val="28"/>
        <w:szCs w:val="28"/>
      </w:rPr>
      <w:t>—</w:t>
    </w:r>
    <w:sdt>
      <w:sdtPr>
        <w:rPr>
          <w:rFonts w:ascii="宋体" w:hAnsi="宋体" w:eastAsia="宋体"/>
          <w:sz w:val="28"/>
          <w:szCs w:val="28"/>
        </w:rPr>
        <w:id w:val="23812646"/>
      </w:sdtPr>
      <w:sdtEndPr>
        <w:rPr>
          <w:rFonts w:asciiTheme="minorHAnsi" w:hAnsiTheme="minorHAnsi" w:eastAsiaTheme="minorEastAsia"/>
          <w:sz w:val="18"/>
          <w:szCs w:val="1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ind w:righ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630"/>
      </w:pPr>
      <w:r>
        <w:separator/>
      </w:r>
    </w:p>
  </w:footnote>
  <w:footnote w:type="continuationSeparator" w:id="1">
    <w:p>
      <w:pPr>
        <w:ind w:right="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63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36200"/>
    <w:multiLevelType w:val="singleLevel"/>
    <w:tmpl w:val="AD836200"/>
    <w:lvl w:ilvl="0" w:tentative="0">
      <w:start w:val="2"/>
      <w:numFmt w:val="chineseCounting"/>
      <w:suff w:val="nothing"/>
      <w:lvlText w:val="（%1）"/>
      <w:lvlJc w:val="left"/>
      <w:rPr>
        <w:rFonts w:hint="eastAsia"/>
      </w:rPr>
    </w:lvl>
  </w:abstractNum>
  <w:abstractNum w:abstractNumId="1">
    <w:nsid w:val="F58E7EDF"/>
    <w:multiLevelType w:val="singleLevel"/>
    <w:tmpl w:val="F58E7ED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76.22.99/sys/attachment/sys_att_main/jg_service.jsp"/>
  </w:docVars>
  <w:rsids>
    <w:rsidRoot w:val="00172A27"/>
    <w:rsid w:val="000644A5"/>
    <w:rsid w:val="000A19C8"/>
    <w:rsid w:val="000B4BFD"/>
    <w:rsid w:val="000B5B67"/>
    <w:rsid w:val="00211551"/>
    <w:rsid w:val="002F36C0"/>
    <w:rsid w:val="003052E9"/>
    <w:rsid w:val="003C2E96"/>
    <w:rsid w:val="004077D1"/>
    <w:rsid w:val="00442B36"/>
    <w:rsid w:val="00632243"/>
    <w:rsid w:val="00660A71"/>
    <w:rsid w:val="00661FA6"/>
    <w:rsid w:val="00684E40"/>
    <w:rsid w:val="00692F81"/>
    <w:rsid w:val="006B7B1F"/>
    <w:rsid w:val="007705C7"/>
    <w:rsid w:val="00771A48"/>
    <w:rsid w:val="008E398B"/>
    <w:rsid w:val="00931603"/>
    <w:rsid w:val="009C2950"/>
    <w:rsid w:val="00A4796E"/>
    <w:rsid w:val="00A52FBA"/>
    <w:rsid w:val="00AE0571"/>
    <w:rsid w:val="00B001A8"/>
    <w:rsid w:val="00B13F8F"/>
    <w:rsid w:val="00B55D38"/>
    <w:rsid w:val="00BD04AD"/>
    <w:rsid w:val="00C15868"/>
    <w:rsid w:val="00C21DB9"/>
    <w:rsid w:val="00C3740C"/>
    <w:rsid w:val="00D85FEB"/>
    <w:rsid w:val="00DD6A2F"/>
    <w:rsid w:val="00DE640E"/>
    <w:rsid w:val="00DF7F7D"/>
    <w:rsid w:val="00E302EE"/>
    <w:rsid w:val="00E44E7A"/>
    <w:rsid w:val="00EA248F"/>
    <w:rsid w:val="00EE38FC"/>
    <w:rsid w:val="00EF4518"/>
    <w:rsid w:val="00F63E6A"/>
    <w:rsid w:val="00FA12A1"/>
    <w:rsid w:val="00FF5490"/>
    <w:rsid w:val="018510F0"/>
    <w:rsid w:val="04277AB4"/>
    <w:rsid w:val="0596659D"/>
    <w:rsid w:val="085654F6"/>
    <w:rsid w:val="087109D0"/>
    <w:rsid w:val="09AD1AF3"/>
    <w:rsid w:val="09B574F6"/>
    <w:rsid w:val="0AE1441A"/>
    <w:rsid w:val="0AE55115"/>
    <w:rsid w:val="0AE83AC1"/>
    <w:rsid w:val="0B024FBE"/>
    <w:rsid w:val="0C8079BE"/>
    <w:rsid w:val="0E272914"/>
    <w:rsid w:val="0F182447"/>
    <w:rsid w:val="0FE66647"/>
    <w:rsid w:val="10103E4C"/>
    <w:rsid w:val="10736DED"/>
    <w:rsid w:val="10BA0768"/>
    <w:rsid w:val="11FE583E"/>
    <w:rsid w:val="13A643A5"/>
    <w:rsid w:val="14C71AD3"/>
    <w:rsid w:val="152B4234"/>
    <w:rsid w:val="16453631"/>
    <w:rsid w:val="16A547A9"/>
    <w:rsid w:val="16BF624A"/>
    <w:rsid w:val="186B6269"/>
    <w:rsid w:val="19B32468"/>
    <w:rsid w:val="19E03D22"/>
    <w:rsid w:val="1A965070"/>
    <w:rsid w:val="1BA25918"/>
    <w:rsid w:val="1DAA3223"/>
    <w:rsid w:val="1E090A76"/>
    <w:rsid w:val="20A35501"/>
    <w:rsid w:val="21751904"/>
    <w:rsid w:val="252B2CAA"/>
    <w:rsid w:val="253109CA"/>
    <w:rsid w:val="255A0BC4"/>
    <w:rsid w:val="261F46C6"/>
    <w:rsid w:val="283163FF"/>
    <w:rsid w:val="294D3769"/>
    <w:rsid w:val="2973228F"/>
    <w:rsid w:val="299074D1"/>
    <w:rsid w:val="29F872AD"/>
    <w:rsid w:val="2A647011"/>
    <w:rsid w:val="2AE35313"/>
    <w:rsid w:val="2AEF5F76"/>
    <w:rsid w:val="2D3146CE"/>
    <w:rsid w:val="2DA16BDE"/>
    <w:rsid w:val="30655FAD"/>
    <w:rsid w:val="307D3315"/>
    <w:rsid w:val="3114098F"/>
    <w:rsid w:val="314D322F"/>
    <w:rsid w:val="33495538"/>
    <w:rsid w:val="344F1A49"/>
    <w:rsid w:val="350A6FB4"/>
    <w:rsid w:val="357C4772"/>
    <w:rsid w:val="35A07E2A"/>
    <w:rsid w:val="365E001B"/>
    <w:rsid w:val="36CA2093"/>
    <w:rsid w:val="3765112A"/>
    <w:rsid w:val="381D5BF1"/>
    <w:rsid w:val="39091C72"/>
    <w:rsid w:val="3AD20169"/>
    <w:rsid w:val="3C253B83"/>
    <w:rsid w:val="3DA6585D"/>
    <w:rsid w:val="3F9C0FCD"/>
    <w:rsid w:val="3FDE2A8B"/>
    <w:rsid w:val="401A18A8"/>
    <w:rsid w:val="43056FBD"/>
    <w:rsid w:val="443A563E"/>
    <w:rsid w:val="446C3AB7"/>
    <w:rsid w:val="469079DC"/>
    <w:rsid w:val="46D6249D"/>
    <w:rsid w:val="4A6D0FCC"/>
    <w:rsid w:val="4A93303E"/>
    <w:rsid w:val="4CB571EA"/>
    <w:rsid w:val="4D5D3551"/>
    <w:rsid w:val="4EEF140F"/>
    <w:rsid w:val="4F0622F3"/>
    <w:rsid w:val="513B5476"/>
    <w:rsid w:val="52A021D5"/>
    <w:rsid w:val="52FE525C"/>
    <w:rsid w:val="5340523F"/>
    <w:rsid w:val="53DE3597"/>
    <w:rsid w:val="55D134A0"/>
    <w:rsid w:val="56B33514"/>
    <w:rsid w:val="579F706A"/>
    <w:rsid w:val="587B176F"/>
    <w:rsid w:val="58E608E9"/>
    <w:rsid w:val="5BAA7707"/>
    <w:rsid w:val="5C2B27C8"/>
    <w:rsid w:val="5C4652DB"/>
    <w:rsid w:val="5C5E3EDD"/>
    <w:rsid w:val="5DD55C0E"/>
    <w:rsid w:val="5DFC2C8F"/>
    <w:rsid w:val="5E250537"/>
    <w:rsid w:val="5E6C6865"/>
    <w:rsid w:val="5F4510DB"/>
    <w:rsid w:val="5F8966EF"/>
    <w:rsid w:val="5FF21D7A"/>
    <w:rsid w:val="601B6106"/>
    <w:rsid w:val="60BE23D0"/>
    <w:rsid w:val="611A4B77"/>
    <w:rsid w:val="619807FA"/>
    <w:rsid w:val="626252D5"/>
    <w:rsid w:val="647F1318"/>
    <w:rsid w:val="657A26BB"/>
    <w:rsid w:val="68B40662"/>
    <w:rsid w:val="6A8C7EF2"/>
    <w:rsid w:val="6B386E11"/>
    <w:rsid w:val="6C05596A"/>
    <w:rsid w:val="6D052759"/>
    <w:rsid w:val="700730DA"/>
    <w:rsid w:val="70ED62F4"/>
    <w:rsid w:val="70EE12BA"/>
    <w:rsid w:val="719A7700"/>
    <w:rsid w:val="7255640A"/>
    <w:rsid w:val="73915118"/>
    <w:rsid w:val="73B36472"/>
    <w:rsid w:val="740D0132"/>
    <w:rsid w:val="74346A6D"/>
    <w:rsid w:val="75284DCB"/>
    <w:rsid w:val="75CE4DE4"/>
    <w:rsid w:val="76B8428D"/>
    <w:rsid w:val="77FB53E3"/>
    <w:rsid w:val="790B1249"/>
    <w:rsid w:val="79E72D90"/>
    <w:rsid w:val="7A7F33C6"/>
    <w:rsid w:val="7BFA54DB"/>
    <w:rsid w:val="7C047536"/>
    <w:rsid w:val="7D6601AC"/>
    <w:rsid w:val="7E221512"/>
    <w:rsid w:val="7EEF2171"/>
    <w:rsid w:val="7F45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300" w:rightChars="3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190</Characters>
  <Lines>1</Lines>
  <Paragraphs>1</Paragraphs>
  <TotalTime>50</TotalTime>
  <ScaleCrop>false</ScaleCrop>
  <LinksUpToDate>false</LinksUpToDate>
  <CharactersWithSpaces>222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2024-01-29T02:13:00Z</dcterms:created>
  <dc:creator>罗尹晗</dc:creator>
  <cp:lastModifiedBy>Administrator</cp:lastModifiedBy>
  <cp:lastPrinted>2024-01-30T07:52:00Z</cp:lastPrinted>
  <dcterms:modified xsi:type="dcterms:W3CDTF">2025-03-25T01:57:48Z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