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240" w:lineRule="auto"/>
        <w:jc w:val="both"/>
        <w:rPr>
          <w:rFonts w:hint="eastAsia"/>
          <w:lang w:val="en-US" w:eastAsia="zh-CN"/>
        </w:rPr>
      </w:pPr>
      <w:bookmarkStart w:id="7" w:name="_GoBack"/>
      <w:bookmarkStart w:id="0" w:name="_Toc135539142"/>
      <w:bookmarkStart w:id="1" w:name="_Toc512937852"/>
      <w:bookmarkStart w:id="2" w:name="_Toc23270"/>
      <w:bookmarkStart w:id="3" w:name="_Toc147776570"/>
      <w:bookmarkStart w:id="4" w:name="_Toc32075"/>
      <w:bookmarkStart w:id="5" w:name="_Toc230079355"/>
      <w:bookmarkStart w:id="6" w:name="_Toc263411462"/>
      <w:r>
        <w:rPr>
          <w:rFonts w:hint="eastAsia" w:ascii="仿宋" w:hAnsi="仿宋" w:eastAsia="仿宋" w:cs="仿宋"/>
          <w:highlight w:val="none"/>
          <w:lang w:val="en-US" w:eastAsia="zh-CN"/>
        </w:rPr>
        <w:t>附件1：</w:t>
      </w:r>
      <w:r>
        <w:rPr>
          <w:rFonts w:hint="eastAsia" w:ascii="仿宋" w:hAnsi="仿宋" w:eastAsia="仿宋" w:cs="仿宋"/>
          <w:highlight w:val="none"/>
          <w:lang w:eastAsia="zh-CN"/>
        </w:rPr>
        <w:t xml:space="preserve">  </w:t>
      </w:r>
      <w:bookmarkEnd w:id="0"/>
      <w:bookmarkEnd w:id="1"/>
      <w:bookmarkEnd w:id="2"/>
      <w:bookmarkEnd w:id="3"/>
      <w:bookmarkEnd w:id="4"/>
      <w:bookmarkEnd w:id="5"/>
      <w:bookmarkEnd w:id="6"/>
      <w:r>
        <w:rPr>
          <w:rFonts w:hint="eastAsia"/>
          <w:lang w:val="en-US" w:eastAsia="zh-CN"/>
        </w:rPr>
        <w:t>评审方案</w:t>
      </w:r>
    </w:p>
    <w:bookmarkEnd w:id="7"/>
    <w:p>
      <w:pPr>
        <w:rPr>
          <w:rFonts w:hint="eastAsia"/>
          <w:lang w:val="en-US" w:eastAsia="zh-CN"/>
        </w:rPr>
      </w:pPr>
    </w:p>
    <w:p>
      <w:pPr>
        <w:pStyle w:val="2"/>
        <w:rPr>
          <w:rFonts w:hint="eastAsia"/>
          <w:lang w:val="en-US"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highlight w:val="none"/>
          <w:lang w:val="en-US" w:eastAsia="zh-CN" w:bidi="ar-SA"/>
        </w:rPr>
        <w:t>项目名称：武装押运守护服务</w:t>
      </w:r>
    </w:p>
    <w:p>
      <w:pPr>
        <w:pStyle w:val="2"/>
        <w:ind w:firstLine="562" w:firstLineChars="200"/>
        <w:rPr>
          <w:rFonts w:hint="default" w:ascii="仿宋" w:hAnsi="仿宋" w:eastAsia="仿宋" w:cs="仿宋"/>
          <w:b/>
          <w:bCs/>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highlight w:val="none"/>
          <w:lang w:val="en-US" w:eastAsia="zh-CN" w:bidi="ar-SA"/>
        </w:rPr>
        <w:t>项目编号：2025013</w:t>
      </w:r>
    </w:p>
    <w:p>
      <w:pPr>
        <w:pStyle w:val="14"/>
        <w:spacing w:before="0" w:beforeAutospacing="0" w:after="0" w:afterAutospacing="0" w:line="276" w:lineRule="auto"/>
        <w:ind w:firstLine="562" w:firstLineChars="200"/>
        <w:rPr>
          <w:rFonts w:hint="eastAsia" w:ascii="仿宋" w:hAnsi="仿宋" w:eastAsia="仿宋" w:cs="仿宋"/>
          <w:b/>
          <w:bCs/>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highlight w:val="none"/>
          <w:lang w:val="en-US" w:eastAsia="zh-CN" w:bidi="ar-SA"/>
        </w:rPr>
        <w:t>招标方式：公开招标</w:t>
      </w:r>
    </w:p>
    <w:p>
      <w:pPr>
        <w:pStyle w:val="14"/>
        <w:spacing w:before="0" w:beforeAutospacing="0" w:after="0" w:afterAutospacing="0" w:line="273" w:lineRule="auto"/>
        <w:ind w:firstLine="562" w:firstLineChars="200"/>
        <w:rPr>
          <w:rFonts w:hint="eastAsia" w:ascii="仿宋" w:hAnsi="仿宋" w:eastAsia="仿宋" w:cs="仿宋"/>
          <w:b/>
          <w:bCs/>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highlight w:val="none"/>
          <w:lang w:val="en-US" w:eastAsia="zh-CN" w:bidi="ar-SA"/>
        </w:rPr>
        <w:t>评标办法：综合评分法</w:t>
      </w:r>
    </w:p>
    <w:p>
      <w:pPr>
        <w:pStyle w:val="14"/>
        <w:spacing w:before="0" w:beforeAutospacing="0" w:after="0" w:afterAutospacing="0"/>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t>评标参数</w:t>
      </w:r>
    </w:p>
    <w:p>
      <w:pPr>
        <w:pStyle w:val="14"/>
        <w:spacing w:before="0" w:beforeAutospacing="0" w:after="0" w:afterAutospacing="0"/>
        <w:rPr>
          <w:rStyle w:val="18"/>
          <w:rFonts w:hint="eastAsia" w:ascii="仿宋" w:hAnsi="仿宋" w:eastAsia="仿宋" w:cs="仿宋"/>
          <w:sz w:val="28"/>
          <w:szCs w:val="28"/>
          <w:highlight w:val="none"/>
        </w:rPr>
      </w:pPr>
    </w:p>
    <w:p>
      <w:pPr>
        <w:pStyle w:val="14"/>
        <w:spacing w:before="0" w:beforeAutospacing="0" w:after="0" w:afterAutospacing="0"/>
        <w:rPr>
          <w:rFonts w:hint="eastAsia" w:ascii="仿宋" w:hAnsi="仿宋" w:eastAsia="仿宋" w:cs="仿宋"/>
          <w:sz w:val="28"/>
          <w:szCs w:val="28"/>
          <w:highlight w:val="none"/>
        </w:rPr>
      </w:pPr>
      <w:r>
        <w:rPr>
          <w:rStyle w:val="18"/>
          <w:rFonts w:hint="eastAsia" w:ascii="仿宋" w:hAnsi="仿宋" w:eastAsia="仿宋" w:cs="仿宋"/>
          <w:sz w:val="28"/>
          <w:szCs w:val="28"/>
          <w:highlight w:val="none"/>
        </w:rPr>
        <w:t>评标分值组成</w:t>
      </w:r>
    </w:p>
    <w:tbl>
      <w:tblPr>
        <w:tblStyle w:val="16"/>
        <w:tblW w:w="9201"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834"/>
        <w:gridCol w:w="4970"/>
        <w:gridCol w:w="2129"/>
        <w:gridCol w:w="1268"/>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4"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497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评审步骤</w:t>
            </w:r>
          </w:p>
        </w:tc>
        <w:tc>
          <w:tcPr>
            <w:tcW w:w="2129"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是否报价评审</w:t>
            </w:r>
          </w:p>
        </w:tc>
        <w:tc>
          <w:tcPr>
            <w:tcW w:w="1268"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分值（分）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资格性审查</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符合性审查</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商务评审</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40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技术评审</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30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5</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报价评审</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是</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30</w:t>
            </w:r>
          </w:p>
        </w:tc>
      </w:tr>
    </w:tbl>
    <w:p>
      <w:pPr>
        <w:pStyle w:val="14"/>
        <w:spacing w:before="0" w:beforeAutospacing="0" w:after="0" w:afterAutospacing="0"/>
        <w:rPr>
          <w:rFonts w:hint="eastAsia" w:ascii="仿宋" w:hAnsi="仿宋" w:eastAsia="仿宋" w:cs="仿宋"/>
          <w:sz w:val="28"/>
          <w:szCs w:val="28"/>
          <w:highlight w:val="none"/>
        </w:rPr>
      </w:pPr>
    </w:p>
    <w:p>
      <w:pPr>
        <w:pStyle w:val="11"/>
        <w:rPr>
          <w:rFonts w:hint="eastAsia" w:ascii="仿宋" w:hAnsi="仿宋" w:eastAsia="仿宋" w:cs="仿宋"/>
          <w:highlight w:val="none"/>
        </w:rPr>
      </w:pPr>
      <w:r>
        <w:rPr>
          <w:rFonts w:hint="eastAsia" w:ascii="仿宋" w:hAnsi="仿宋" w:eastAsia="仿宋" w:cs="仿宋"/>
          <w:highlight w:val="none"/>
        </w:rPr>
        <w:br w:type="page"/>
      </w:r>
    </w:p>
    <w:p>
      <w:pPr>
        <w:pStyle w:val="14"/>
        <w:spacing w:before="0" w:beforeAutospacing="0" w:after="0" w:afterAutospacing="0"/>
        <w:rPr>
          <w:rFonts w:hint="eastAsia" w:ascii="仿宋" w:hAnsi="仿宋" w:eastAsia="仿宋" w:cs="仿宋"/>
          <w:sz w:val="28"/>
          <w:szCs w:val="28"/>
          <w:highlight w:val="none"/>
        </w:rPr>
      </w:pPr>
      <w:r>
        <w:rPr>
          <w:rStyle w:val="18"/>
          <w:rFonts w:hint="eastAsia" w:ascii="仿宋" w:hAnsi="仿宋" w:eastAsia="仿宋" w:cs="仿宋"/>
          <w:sz w:val="28"/>
          <w:szCs w:val="28"/>
          <w:highlight w:val="none"/>
        </w:rPr>
        <w:t>资格性审查</w:t>
      </w:r>
    </w:p>
    <w:tbl>
      <w:tblPr>
        <w:tblStyle w:val="16"/>
        <w:tblW w:w="10057"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462"/>
        <w:gridCol w:w="2354"/>
        <w:gridCol w:w="7241"/>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354"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241"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具有独立承担民事责任的能力</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bCs/>
                <w:sz w:val="28"/>
                <w:szCs w:val="28"/>
                <w:highlight w:val="none"/>
              </w:rPr>
              <w:t>提供法人或其他组织有效的营业执照或执业许可证等证明文件（复印件或扫描件加盖投标单位公章）</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具有良好的商业信誉和健全的财务会计制度</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年度</w:t>
            </w:r>
            <w:r>
              <w:rPr>
                <w:rFonts w:hint="eastAsia" w:ascii="仿宋" w:hAnsi="仿宋" w:eastAsia="仿宋" w:cs="仿宋"/>
                <w:sz w:val="28"/>
                <w:szCs w:val="28"/>
                <w:highlight w:val="none"/>
                <w:lang w:val="en-US" w:eastAsia="zh-CN"/>
              </w:rPr>
              <w:t>或2024年度</w:t>
            </w:r>
            <w:r>
              <w:rPr>
                <w:rFonts w:hint="eastAsia" w:ascii="仿宋" w:hAnsi="仿宋" w:eastAsia="仿宋" w:cs="仿宋"/>
                <w:sz w:val="28"/>
                <w:szCs w:val="28"/>
                <w:highlight w:val="none"/>
              </w:rPr>
              <w:t>第三方财务审计报告或202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年任意月份开户银行出具的资信证明（复印件（或扫描件）加盖投标单位公章）</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具有履行合同所必需的设备和专业技术能力</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bCs/>
                <w:sz w:val="28"/>
                <w:szCs w:val="28"/>
                <w:highlight w:val="none"/>
              </w:rPr>
              <w:t>提供具备履行合同所必需的设备和专业技术能力的书面承诺</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有依法缴纳税收和社会保障资金的良好记录</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提供2024年至今任意三个月依法缴纳税收（非纳税组织或纳税零申报的投标供应商提供相关佐证证明材料）的证明材料和提供2024年至今任意三个月依法缴纳社会保障资金的证明材料；新成立不满三个月的投标供应商提供依法缴纳税收和社会保障金的书面承诺，如不需缴纳的，需出具有效的证明材料</w:t>
            </w:r>
            <w:r>
              <w:rPr>
                <w:rFonts w:hint="eastAsia" w:ascii="仿宋" w:hAnsi="仿宋" w:eastAsia="仿宋" w:cs="仿宋"/>
                <w:sz w:val="28"/>
                <w:szCs w:val="28"/>
                <w:highlight w:val="none"/>
                <w:lang w:val="en-US"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5</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参加本次采购活动前3年内在经营活动中未被行政或行业相关主管部门限制投标、承接业务的情况</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提供参加本次采购活动前3年内在经营活动中未被行政或行业相关主管部门限制投标、承接业务的情况的书面声明（格式文件</w:t>
            </w:r>
            <w:r>
              <w:rPr>
                <w:rFonts w:hint="eastAsia" w:ascii="仿宋" w:hAnsi="仿宋" w:eastAsia="仿宋" w:cs="仿宋"/>
                <w:sz w:val="28"/>
                <w:szCs w:val="28"/>
                <w:highlight w:val="none"/>
                <w:lang w:val="en-US" w:eastAsia="zh-CN"/>
              </w:rPr>
              <w:t>自拟</w:t>
            </w:r>
            <w:r>
              <w:rPr>
                <w:rFonts w:hint="eastAsia" w:ascii="仿宋" w:hAnsi="仿宋" w:eastAsia="仿宋" w:cs="仿宋"/>
                <w:sz w:val="28"/>
                <w:szCs w:val="28"/>
                <w:highlight w:val="none"/>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6</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法律、行政法规规定的其他条件</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在“信用中国”网站（www.creditchina.gov.cn）、中国政府采购网（www.ccgp.gov.cn）等渠道查询并提供截图，在响应文件递交截止之日前未被列入失信被执行人名单、重大税收违法失信主体、政府采购严重违法失信行为记录名单中，如被列入名单中其投标做无效处理，并承担由此造成的一切法律责任及后果。</w:t>
            </w:r>
          </w:p>
          <w:p>
            <w:pPr>
              <w:spacing w:line="276" w:lineRule="auto"/>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rPr>
              <w:t>注：相关网站查询时间为本项目公告发布后至响应文件递交前任一时间</w:t>
            </w:r>
            <w:r>
              <w:rPr>
                <w:rFonts w:hint="eastAsia" w:ascii="仿宋" w:hAnsi="仿宋" w:eastAsia="仿宋" w:cs="仿宋"/>
                <w:bCs/>
                <w:sz w:val="28"/>
                <w:szCs w:val="28"/>
                <w:highlight w:val="none"/>
                <w:lang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7</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特殊资格要求</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bCs/>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具有贵州省公安厅颁发的有效《保安服务许可证》，服务范围</w:t>
            </w:r>
            <w:r>
              <w:rPr>
                <w:rFonts w:hint="eastAsia" w:ascii="仿宋" w:hAnsi="仿宋" w:eastAsia="仿宋" w:cs="仿宋"/>
                <w:b w:val="0"/>
                <w:bCs w:val="0"/>
                <w:sz w:val="28"/>
                <w:szCs w:val="28"/>
                <w:highlight w:val="none"/>
                <w:lang w:val="en-US" w:eastAsia="zh-CN"/>
              </w:rPr>
              <w:t>至少包含金融机构武装押运或武装押运。</w:t>
            </w:r>
          </w:p>
        </w:tc>
      </w:tr>
    </w:tbl>
    <w:p>
      <w:pPr>
        <w:pStyle w:val="11"/>
        <w:rPr>
          <w:rFonts w:hint="eastAsia" w:ascii="仿宋" w:hAnsi="仿宋" w:eastAsia="仿宋" w:cs="仿宋"/>
          <w:highlight w:val="none"/>
        </w:rPr>
      </w:pPr>
      <w:r>
        <w:rPr>
          <w:rFonts w:hint="eastAsia" w:ascii="仿宋" w:hAnsi="仿宋" w:eastAsia="仿宋" w:cs="仿宋"/>
          <w:highlight w:val="none"/>
        </w:rPr>
        <w:br w:type="page"/>
      </w:r>
    </w:p>
    <w:p>
      <w:pPr>
        <w:pStyle w:val="14"/>
        <w:spacing w:before="0" w:beforeAutospacing="0" w:after="0" w:afterAutospacing="0"/>
        <w:rPr>
          <w:rFonts w:hint="eastAsia" w:ascii="仿宋" w:hAnsi="仿宋" w:eastAsia="仿宋" w:cs="仿宋"/>
          <w:sz w:val="28"/>
          <w:szCs w:val="28"/>
          <w:highlight w:val="none"/>
        </w:rPr>
      </w:pPr>
      <w:r>
        <w:rPr>
          <w:rStyle w:val="18"/>
          <w:rFonts w:hint="eastAsia" w:ascii="仿宋" w:hAnsi="仿宋" w:eastAsia="仿宋" w:cs="仿宋"/>
          <w:sz w:val="28"/>
          <w:szCs w:val="28"/>
          <w:highlight w:val="none"/>
        </w:rPr>
        <w:t>符合性审查</w:t>
      </w:r>
    </w:p>
    <w:tbl>
      <w:tblPr>
        <w:tblStyle w:val="16"/>
        <w:tblW w:w="9923"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588"/>
        <w:gridCol w:w="1681"/>
        <w:gridCol w:w="7654"/>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681" w:type="dxa"/>
            <w:tcBorders>
              <w:top w:val="outset" w:color="auto" w:sz="6" w:space="0"/>
              <w:left w:val="outset" w:color="auto" w:sz="6" w:space="0"/>
              <w:bottom w:val="outset" w:color="auto" w:sz="6" w:space="0"/>
              <w:right w:val="outset" w:color="auto" w:sz="6" w:space="0"/>
            </w:tcBorders>
            <w:vAlign w:val="center"/>
          </w:tcPr>
          <w:p>
            <w:pPr>
              <w:wordWrap w:val="0"/>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654" w:type="dxa"/>
            <w:tcBorders>
              <w:top w:val="outset" w:color="auto" w:sz="6" w:space="0"/>
              <w:left w:val="outset" w:color="auto" w:sz="6" w:space="0"/>
              <w:bottom w:val="outset" w:color="auto" w:sz="6" w:space="0"/>
              <w:right w:val="outset" w:color="auto" w:sz="6" w:space="0"/>
            </w:tcBorders>
            <w:vAlign w:val="center"/>
          </w:tcPr>
          <w:p>
            <w:pPr>
              <w:wordWrap w:val="0"/>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服务期限</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lang w:val="en-US" w:eastAsia="zh-CN"/>
              </w:rPr>
            </w:pPr>
            <w:r>
              <w:rPr>
                <w:rFonts w:hint="eastAsia" w:ascii="仿宋" w:hAnsi="仿宋" w:eastAsia="仿宋" w:cs="仿宋"/>
                <w:bCs/>
                <w:sz w:val="28"/>
                <w:szCs w:val="28"/>
                <w:highlight w:val="none"/>
                <w:lang w:val="en-US" w:eastAsia="zh-CN"/>
              </w:rPr>
              <w:t>一年</w:t>
            </w:r>
            <w:r>
              <w:rPr>
                <w:rFonts w:hint="eastAsia" w:ascii="仿宋" w:hAnsi="仿宋" w:eastAsia="仿宋" w:cs="仿宋"/>
                <w:bCs/>
                <w:sz w:val="28"/>
                <w:szCs w:val="28"/>
                <w:highlight w:val="none"/>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服务地点</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招标人</w:t>
            </w:r>
            <w:r>
              <w:rPr>
                <w:rFonts w:hint="eastAsia" w:ascii="仿宋" w:hAnsi="仿宋" w:eastAsia="仿宋" w:cs="仿宋"/>
                <w:sz w:val="28"/>
                <w:szCs w:val="28"/>
                <w:highlight w:val="none"/>
              </w:rPr>
              <w:t>指定地点</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投标价格</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投标总报价超过最高投标限价，异常低价审查</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投标有效期</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90日历天</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5</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商务、技术条款响应</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符合招标文件要求（无负偏离或承诺无偏离）</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val="en-US" w:eastAsia="zh-CN" w:bidi="ar"/>
              </w:rPr>
              <w:t>6</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无效标审查</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按本项目招标文件无效标条款的规定，审查是否通过</w:t>
            </w:r>
          </w:p>
        </w:tc>
      </w:tr>
    </w:tbl>
    <w:p>
      <w:pPr>
        <w:pStyle w:val="14"/>
        <w:spacing w:before="0" w:beforeAutospacing="0" w:after="0" w:afterAutospacing="0"/>
        <w:rPr>
          <w:rStyle w:val="18"/>
          <w:rFonts w:hint="eastAsia" w:ascii="仿宋" w:hAnsi="仿宋" w:eastAsia="仿宋" w:cs="仿宋"/>
          <w:sz w:val="28"/>
          <w:szCs w:val="28"/>
          <w:highlight w:val="none"/>
        </w:rPr>
      </w:pPr>
    </w:p>
    <w:p>
      <w:pPr>
        <w:pStyle w:val="14"/>
        <w:spacing w:before="0" w:beforeAutospacing="0" w:after="0" w:afterAutospacing="0"/>
        <w:rPr>
          <w:rFonts w:hint="eastAsia" w:ascii="仿宋" w:hAnsi="仿宋" w:eastAsia="仿宋" w:cs="仿宋"/>
          <w:sz w:val="28"/>
          <w:szCs w:val="28"/>
          <w:highlight w:val="none"/>
        </w:rPr>
      </w:pPr>
    </w:p>
    <w:p>
      <w:pPr>
        <w:pStyle w:val="11"/>
        <w:rPr>
          <w:rFonts w:hint="eastAsia" w:ascii="仿宋" w:hAnsi="仿宋" w:eastAsia="仿宋" w:cs="仿宋"/>
          <w:highlight w:val="none"/>
        </w:rPr>
      </w:pPr>
      <w:r>
        <w:rPr>
          <w:rFonts w:hint="eastAsia" w:ascii="仿宋" w:hAnsi="仿宋" w:eastAsia="仿宋" w:cs="仿宋"/>
          <w:highlight w:val="none"/>
        </w:rPr>
        <w:br w:type="page"/>
      </w:r>
    </w:p>
    <w:p>
      <w:pPr>
        <w:pStyle w:val="14"/>
        <w:spacing w:before="0" w:beforeAutospacing="0" w:after="0" w:afterAutospacing="0"/>
        <w:rPr>
          <w:rFonts w:hint="eastAsia" w:ascii="仿宋" w:hAnsi="仿宋" w:eastAsia="仿宋" w:cs="仿宋"/>
          <w:sz w:val="28"/>
          <w:szCs w:val="28"/>
          <w:highlight w:val="none"/>
        </w:rPr>
      </w:pPr>
      <w:r>
        <w:rPr>
          <w:rStyle w:val="18"/>
          <w:rFonts w:hint="eastAsia" w:ascii="仿宋" w:hAnsi="仿宋" w:eastAsia="仿宋" w:cs="仿宋"/>
          <w:sz w:val="28"/>
          <w:szCs w:val="28"/>
          <w:highlight w:val="none"/>
        </w:rPr>
        <w:t>商务评审</w:t>
      </w:r>
      <w:r>
        <w:rPr>
          <w:rStyle w:val="18"/>
          <w:rFonts w:hint="eastAsia" w:ascii="仿宋" w:hAnsi="仿宋" w:eastAsia="仿宋" w:cs="仿宋"/>
          <w:sz w:val="28"/>
          <w:szCs w:val="28"/>
          <w:highlight w:val="none"/>
          <w:lang w:eastAsia="zh-CN"/>
        </w:rPr>
        <w:t>（</w:t>
      </w:r>
      <w:r>
        <w:rPr>
          <w:rStyle w:val="18"/>
          <w:rFonts w:hint="eastAsia" w:ascii="仿宋" w:hAnsi="仿宋" w:eastAsia="仿宋" w:cs="仿宋"/>
          <w:sz w:val="28"/>
          <w:szCs w:val="28"/>
          <w:highlight w:val="none"/>
          <w:lang w:val="en-US" w:eastAsia="zh-CN"/>
        </w:rPr>
        <w:t>40分</w:t>
      </w:r>
      <w:r>
        <w:rPr>
          <w:rStyle w:val="18"/>
          <w:rFonts w:hint="eastAsia" w:ascii="仿宋" w:hAnsi="仿宋" w:eastAsia="仿宋" w:cs="仿宋"/>
          <w:sz w:val="28"/>
          <w:szCs w:val="28"/>
          <w:highlight w:val="none"/>
          <w:lang w:eastAsia="zh-CN"/>
        </w:rPr>
        <w:t>）</w:t>
      </w:r>
    </w:p>
    <w:tbl>
      <w:tblPr>
        <w:tblStyle w:val="16"/>
        <w:tblW w:w="10117"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597"/>
        <w:gridCol w:w="1810"/>
        <w:gridCol w:w="7037"/>
        <w:gridCol w:w="673"/>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597"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81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037"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c>
          <w:tcPr>
            <w:tcW w:w="67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分值</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项目负责人</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拟派项目负责人（1人）：具有</w:t>
            </w:r>
            <w:r>
              <w:rPr>
                <w:rFonts w:hint="eastAsia" w:ascii="仿宋" w:hAnsi="仿宋" w:eastAsia="仿宋" w:cs="仿宋"/>
                <w:sz w:val="28"/>
                <w:szCs w:val="28"/>
                <w:highlight w:val="none"/>
                <w:lang w:val="en-US" w:eastAsia="zh-CN"/>
              </w:rPr>
              <w:t>大专</w:t>
            </w:r>
            <w:r>
              <w:rPr>
                <w:rFonts w:hint="eastAsia" w:ascii="仿宋" w:hAnsi="仿宋" w:eastAsia="仿宋" w:cs="仿宋"/>
                <w:sz w:val="28"/>
                <w:szCs w:val="28"/>
                <w:highlight w:val="none"/>
              </w:rPr>
              <w:t>及以上学历（提供毕业证书或学位证书）、退伍军人（提供退伍证）、</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年及以上同岗位管理经验（押运或含押运相关服务项目的项目负责人任职经验，提供承诺书并加盖单位公章）。</w:t>
            </w:r>
            <w:r>
              <w:rPr>
                <w:rFonts w:hint="eastAsia" w:ascii="仿宋" w:hAnsi="仿宋" w:eastAsia="仿宋" w:cs="仿宋"/>
                <w:sz w:val="28"/>
                <w:szCs w:val="28"/>
                <w:highlight w:val="none"/>
                <w:lang w:val="en-US" w:eastAsia="zh-CN"/>
              </w:rPr>
              <w:t>提供大专</w:t>
            </w:r>
            <w:r>
              <w:rPr>
                <w:rFonts w:hint="eastAsia" w:ascii="仿宋" w:hAnsi="仿宋" w:eastAsia="仿宋" w:cs="仿宋"/>
                <w:sz w:val="28"/>
                <w:szCs w:val="28"/>
                <w:highlight w:val="none"/>
              </w:rPr>
              <w:t>及以上学历</w:t>
            </w:r>
            <w:r>
              <w:rPr>
                <w:rFonts w:hint="eastAsia" w:ascii="仿宋" w:hAnsi="仿宋" w:eastAsia="仿宋" w:cs="仿宋"/>
                <w:sz w:val="28"/>
                <w:szCs w:val="28"/>
                <w:highlight w:val="none"/>
                <w:lang w:val="en-US" w:eastAsia="zh-CN"/>
              </w:rPr>
              <w:t>证明</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退伍证</w:t>
            </w:r>
            <w:r>
              <w:rPr>
                <w:rFonts w:hint="eastAsia" w:ascii="仿宋" w:hAnsi="仿宋" w:eastAsia="仿宋" w:cs="仿宋"/>
                <w:sz w:val="28"/>
                <w:szCs w:val="28"/>
                <w:highlight w:val="none"/>
                <w:lang w:val="en-US" w:eastAsia="zh-CN"/>
              </w:rPr>
              <w:t>得3分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提供三</w:t>
            </w:r>
            <w:r>
              <w:rPr>
                <w:rFonts w:hint="eastAsia" w:ascii="仿宋" w:hAnsi="仿宋" w:eastAsia="仿宋" w:cs="仿宋"/>
                <w:sz w:val="28"/>
                <w:szCs w:val="28"/>
                <w:highlight w:val="none"/>
              </w:rPr>
              <w:t>年及以上同岗位管理经验</w:t>
            </w:r>
            <w:r>
              <w:rPr>
                <w:rFonts w:hint="eastAsia" w:ascii="仿宋" w:hAnsi="仿宋" w:eastAsia="仿宋" w:cs="仿宋"/>
                <w:sz w:val="28"/>
                <w:szCs w:val="28"/>
                <w:highlight w:val="none"/>
                <w:lang w:val="en-US" w:eastAsia="zh-CN"/>
              </w:rPr>
              <w:t>证明得4分，</w:t>
            </w:r>
            <w:r>
              <w:rPr>
                <w:rFonts w:hint="eastAsia" w:ascii="仿宋" w:hAnsi="仿宋" w:eastAsia="仿宋" w:cs="仿宋"/>
                <w:sz w:val="28"/>
                <w:szCs w:val="28"/>
                <w:highlight w:val="none"/>
              </w:rPr>
              <w:t>末提供不得分。</w:t>
            </w:r>
          </w:p>
          <w:p>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注</w:t>
            </w:r>
            <w:r>
              <w:rPr>
                <w:rFonts w:hint="eastAsia" w:ascii="仿宋" w:hAnsi="仿宋" w:eastAsia="仿宋" w:cs="仿宋"/>
                <w:sz w:val="28"/>
                <w:szCs w:val="28"/>
                <w:highlight w:val="none"/>
              </w:rPr>
              <w:t>：以上管理人员除</w:t>
            </w:r>
            <w:r>
              <w:rPr>
                <w:rFonts w:hint="eastAsia" w:ascii="仿宋" w:hAnsi="仿宋" w:eastAsia="仿宋" w:cs="仿宋"/>
                <w:sz w:val="28"/>
                <w:szCs w:val="28"/>
                <w:highlight w:val="none"/>
                <w:lang w:val="en-US" w:eastAsia="zh-CN"/>
              </w:rPr>
              <w:t>按</w:t>
            </w:r>
            <w:r>
              <w:rPr>
                <w:rFonts w:hint="eastAsia" w:ascii="仿宋" w:hAnsi="仿宋" w:eastAsia="仿宋" w:cs="仿宋"/>
                <w:sz w:val="28"/>
                <w:szCs w:val="28"/>
                <w:highlight w:val="none"/>
              </w:rPr>
              <w:t>评分要求提供相头佐证材料外，还 需提供劳动合同复印件（扫描件）及投标单位为其缴纳的</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2024 年01 月至投标截止时间前任意3个月的社保证明材料并加盖投标单位公章，未提供劳动合同及社保证明材料的不得分。</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10分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2</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服务人员配备</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拟投入人员中至少5人拥有省公安厅颁布的《持枪证》的得 3 分，每增加一名拥有《持枪证》的人员储备人员的加1分，本项最多得10分。（提供与人员匹配的保安员证、持枪证复印件）</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10分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val="en-US" w:eastAsia="zh-CN" w:bidi="ar"/>
              </w:rPr>
              <w:t>3</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default"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指挥中心</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在</w:t>
            </w:r>
            <w:r>
              <w:rPr>
                <w:rFonts w:hint="eastAsia" w:ascii="仿宋" w:hAnsi="仿宋" w:eastAsia="仿宋" w:cs="仿宋"/>
                <w:sz w:val="28"/>
                <w:szCs w:val="28"/>
                <w:highlight w:val="none"/>
                <w:lang w:val="en-US" w:eastAsia="zh-CN"/>
              </w:rPr>
              <w:t>贵阳市内</w:t>
            </w:r>
            <w:r>
              <w:rPr>
                <w:rFonts w:hint="eastAsia" w:ascii="仿宋" w:hAnsi="仿宋" w:eastAsia="仿宋" w:cs="仿宋"/>
                <w:sz w:val="28"/>
                <w:szCs w:val="28"/>
                <w:highlight w:val="none"/>
                <w:lang w:eastAsia="zh-CN"/>
              </w:rPr>
              <w:t>具有实时指挥中心（实时调度中心）的得10分。（提供监控中心现场照片、房屋租赁合同或产权证），不提供或提供不全不得分）</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10分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val="en-US" w:eastAsia="zh-CN" w:bidi="ar"/>
              </w:rPr>
              <w:t>4</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default" w:ascii="仿宋" w:hAnsi="仿宋" w:eastAsia="仿宋" w:cs="仿宋"/>
                <w:b/>
                <w:sz w:val="28"/>
                <w:szCs w:val="28"/>
                <w:highlight w:val="none"/>
                <w:lang w:val="en-US" w:eastAsia="zh-CN"/>
              </w:rPr>
            </w:pPr>
            <w:r>
              <w:rPr>
                <w:rFonts w:hint="eastAsia" w:ascii="仿宋" w:hAnsi="仿宋" w:eastAsia="仿宋" w:cs="仿宋"/>
                <w:b w:val="0"/>
                <w:bCs/>
                <w:sz w:val="28"/>
                <w:szCs w:val="28"/>
                <w:highlight w:val="none"/>
                <w:lang w:val="en-US" w:eastAsia="zh-CN"/>
              </w:rPr>
              <w:t>业绩</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年1月至今类似</w:t>
            </w:r>
            <w:r>
              <w:rPr>
                <w:rFonts w:hint="eastAsia" w:ascii="仿宋" w:hAnsi="仿宋" w:eastAsia="仿宋" w:cs="仿宋"/>
                <w:sz w:val="28"/>
                <w:szCs w:val="28"/>
                <w:highlight w:val="none"/>
                <w:lang w:val="en-US" w:eastAsia="zh-CN"/>
              </w:rPr>
              <w:t>武装</w:t>
            </w:r>
            <w:r>
              <w:rPr>
                <w:rFonts w:hint="eastAsia" w:ascii="仿宋" w:hAnsi="仿宋" w:eastAsia="仿宋" w:cs="仿宋"/>
                <w:sz w:val="28"/>
                <w:szCs w:val="28"/>
                <w:highlight w:val="none"/>
              </w:rPr>
              <w:t>押运业绩，每提供一个得</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分。最多得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（提供合同首末页及关键信息页复印件，涉及商业秘密部分可覆盖）提供与业绩相匹配的用户评价意见反馈（须加盖甲方公章或业务部门章）。</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10分</w:t>
            </w:r>
          </w:p>
        </w:tc>
      </w:tr>
    </w:tbl>
    <w:p>
      <w:pPr>
        <w:pStyle w:val="15"/>
        <w:ind w:firstLine="280"/>
        <w:rPr>
          <w:rStyle w:val="18"/>
          <w:rFonts w:hint="eastAsia" w:ascii="仿宋" w:hAnsi="仿宋" w:eastAsia="仿宋" w:cs="仿宋"/>
          <w:b w:val="0"/>
          <w:bCs w:val="0"/>
          <w:sz w:val="28"/>
          <w:szCs w:val="28"/>
          <w:highlight w:val="none"/>
        </w:rPr>
      </w:pPr>
    </w:p>
    <w:p>
      <w:pPr>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br w:type="page"/>
      </w:r>
    </w:p>
    <w:p>
      <w:pPr>
        <w:pStyle w:val="14"/>
        <w:spacing w:before="0" w:beforeAutospacing="0" w:after="0" w:afterAutospacing="0"/>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t>技术评审</w:t>
      </w:r>
      <w:r>
        <w:rPr>
          <w:rStyle w:val="18"/>
          <w:rFonts w:hint="eastAsia" w:ascii="仿宋" w:hAnsi="仿宋" w:eastAsia="仿宋" w:cs="仿宋"/>
          <w:sz w:val="28"/>
          <w:szCs w:val="28"/>
          <w:highlight w:val="none"/>
          <w:lang w:eastAsia="zh-CN"/>
        </w:rPr>
        <w:t>（</w:t>
      </w:r>
      <w:r>
        <w:rPr>
          <w:rStyle w:val="18"/>
          <w:rFonts w:hint="eastAsia" w:ascii="仿宋" w:hAnsi="仿宋" w:eastAsia="仿宋" w:cs="仿宋"/>
          <w:sz w:val="28"/>
          <w:szCs w:val="28"/>
          <w:highlight w:val="none"/>
          <w:lang w:val="en-US" w:eastAsia="zh-CN"/>
        </w:rPr>
        <w:t>30分</w:t>
      </w:r>
      <w:r>
        <w:rPr>
          <w:rStyle w:val="18"/>
          <w:rFonts w:hint="eastAsia" w:ascii="仿宋" w:hAnsi="仿宋" w:eastAsia="仿宋" w:cs="仿宋"/>
          <w:sz w:val="28"/>
          <w:szCs w:val="28"/>
          <w:highlight w:val="none"/>
          <w:lang w:eastAsia="zh-CN"/>
        </w:rPr>
        <w:t>）</w:t>
      </w:r>
    </w:p>
    <w:tbl>
      <w:tblPr>
        <w:tblStyle w:val="16"/>
        <w:tblW w:w="10116"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710"/>
        <w:gridCol w:w="1349"/>
        <w:gridCol w:w="7320"/>
        <w:gridCol w:w="737"/>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59" w:hRule="atLeast"/>
          <w:jc w:val="center"/>
        </w:trPr>
        <w:tc>
          <w:tcPr>
            <w:tcW w:w="710"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349"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320"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分值</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134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服务方案</w:t>
            </w:r>
          </w:p>
        </w:tc>
        <w:tc>
          <w:tcPr>
            <w:tcW w:w="732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供应商根据采购文件结合贵州</w:t>
            </w:r>
            <w:r>
              <w:rPr>
                <w:rFonts w:hint="eastAsia" w:ascii="仿宋" w:hAnsi="仿宋" w:eastAsia="仿宋" w:cs="仿宋"/>
                <w:sz w:val="28"/>
                <w:szCs w:val="28"/>
                <w:highlight w:val="none"/>
                <w:lang w:val="en-US" w:eastAsia="zh-CN"/>
              </w:rPr>
              <w:t>修文农村商业银行股份有限公司的</w:t>
            </w:r>
            <w:r>
              <w:rPr>
                <w:rFonts w:hint="eastAsia" w:ascii="仿宋" w:hAnsi="仿宋" w:eastAsia="仿宋" w:cs="仿宋"/>
                <w:sz w:val="28"/>
                <w:szCs w:val="28"/>
                <w:highlight w:val="none"/>
              </w:rPr>
              <w:t>要求，制定服务方案，服务方案包括但不限于对项目服务内容的实施计划、措施安排，合同制的用工管理、操作人员岗位纪律、业务操作及管理实施措施、组织管理、人员仪容风纪、接送钞服务、进度安排等,由评委进行横向评议：</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（1）服务方案整体优秀、内容全面、可行性强、措施详尽具体、思路清晰，得 12-15 分；</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（2）整体良好、可行性较强、措施比较详尽具体，得 8-11 分；</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（3）整体一般、可行性一般、措施不够详尽具体，得 4-7 分；</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（4）整体较差、不具有可行性、无具体措施，得 1-3 分；</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（5）方案内容与本项目无关或未提供不得分。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15分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w:t>
            </w:r>
          </w:p>
        </w:tc>
        <w:tc>
          <w:tcPr>
            <w:tcW w:w="134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保密要求</w:t>
            </w:r>
          </w:p>
        </w:tc>
        <w:tc>
          <w:tcPr>
            <w:tcW w:w="732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评委根据供应商针对本项目提供的保密方案，由评委进行评议：</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（1）方案详细完善，有具体措施，保密流程完整的，得 4-5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（2）方案包含主要防控要点但仅笼统描述，或针对性措施不够具体的，得 2-3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（3）方案基本包含主要要点，但出现少量内容有缺漏、表达不清的，得1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（4）未提供方案，或提供的内容存在明显不足或与本项目情况不符的，不得分。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5分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3</w:t>
            </w:r>
          </w:p>
        </w:tc>
        <w:tc>
          <w:tcPr>
            <w:tcW w:w="134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应急预案</w:t>
            </w:r>
          </w:p>
        </w:tc>
        <w:tc>
          <w:tcPr>
            <w:tcW w:w="732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评委根据供应商针对本项目提供的突发事件应急反应措施方案，包括：自然灾害应急预案、突发事件应急预案、反抢防暴应急预案、安全事故应急预案、车辆春冬季应急预案、金库（保管库）异常情况处置预案。由评委根据投标人提供的应急预案进行评议：</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（1）应急措施全面、事故处理程序与方法科学的，得 4-5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（2）应急措施较详细、事故处理程序与方法得体的，得 2-3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（3）应急措施一般、事故处理程序与方法不完善的，得 1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（4）未提供方案的，不得分。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5分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4</w:t>
            </w:r>
          </w:p>
        </w:tc>
        <w:tc>
          <w:tcPr>
            <w:tcW w:w="134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设备与工具管理措施</w:t>
            </w:r>
          </w:p>
        </w:tc>
        <w:tc>
          <w:tcPr>
            <w:tcW w:w="732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评委根据供应商对运钞车配备、枪支弹药的管理及保管措施进行打分，提供为本项目配备的车辆设备图片、行驶证、枪支相关证件复印件，提供证明材料清晰明辨，评委无法辨别辨识的不予计分。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 xml:space="preserve">（1）运钞车配备≥10 台、枪支弹药管理及保管措施优于规范书服务指标标准，得 </w:t>
            </w:r>
            <w:r>
              <w:rPr>
                <w:rFonts w:hint="eastAsia" w:ascii="仿宋" w:hAnsi="仿宋" w:eastAsia="仿宋" w:cs="仿宋"/>
                <w:kern w:val="2"/>
                <w:sz w:val="28"/>
                <w:szCs w:val="28"/>
                <w:highlight w:val="none"/>
                <w:lang w:val="en-US" w:eastAsia="zh-CN"/>
              </w:rPr>
              <w:t>4</w:t>
            </w:r>
            <w:r>
              <w:rPr>
                <w:rFonts w:hint="eastAsia" w:ascii="仿宋" w:hAnsi="仿宋" w:eastAsia="仿宋" w:cs="仿宋"/>
                <w:kern w:val="2"/>
                <w:sz w:val="28"/>
                <w:szCs w:val="28"/>
                <w:highlight w:val="none"/>
              </w:rPr>
              <w:t>-</w:t>
            </w:r>
            <w:r>
              <w:rPr>
                <w:rFonts w:hint="eastAsia" w:ascii="仿宋" w:hAnsi="仿宋" w:eastAsia="仿宋" w:cs="仿宋"/>
                <w:kern w:val="2"/>
                <w:sz w:val="28"/>
                <w:szCs w:val="28"/>
                <w:highlight w:val="none"/>
                <w:lang w:val="en-US" w:eastAsia="zh-CN"/>
              </w:rPr>
              <w:t>5</w:t>
            </w:r>
            <w:r>
              <w:rPr>
                <w:rFonts w:hint="eastAsia" w:ascii="仿宋" w:hAnsi="仿宋" w:eastAsia="仿宋" w:cs="仿宋"/>
                <w:kern w:val="2"/>
                <w:sz w:val="28"/>
                <w:szCs w:val="28"/>
                <w:highlight w:val="none"/>
              </w:rPr>
              <w:t>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 xml:space="preserve">（2）运钞车配备 6-8 台、枪支弹药管理及保管措施基本满足规范书服务指标标准的，得 </w:t>
            </w:r>
            <w:r>
              <w:rPr>
                <w:rFonts w:hint="eastAsia" w:ascii="仿宋" w:hAnsi="仿宋" w:eastAsia="仿宋" w:cs="仿宋"/>
                <w:kern w:val="2"/>
                <w:sz w:val="28"/>
                <w:szCs w:val="28"/>
                <w:highlight w:val="none"/>
                <w:lang w:val="en-US" w:eastAsia="zh-CN"/>
              </w:rPr>
              <w:t>2</w:t>
            </w:r>
            <w:r>
              <w:rPr>
                <w:rFonts w:hint="eastAsia" w:ascii="仿宋" w:hAnsi="仿宋" w:eastAsia="仿宋" w:cs="仿宋"/>
                <w:kern w:val="2"/>
                <w:sz w:val="28"/>
                <w:szCs w:val="28"/>
                <w:highlight w:val="none"/>
              </w:rPr>
              <w:t>-</w:t>
            </w: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（3）运钞车配备 5 台、枪支弹药管理及保管措施不完全满足规范书服务指标标准，得</w:t>
            </w:r>
            <w:r>
              <w:rPr>
                <w:rFonts w:hint="eastAsia" w:ascii="仿宋" w:hAnsi="仿宋" w:eastAsia="仿宋" w:cs="仿宋"/>
                <w:kern w:val="2"/>
                <w:sz w:val="28"/>
                <w:szCs w:val="28"/>
                <w:highlight w:val="none"/>
                <w:lang w:val="en-US" w:eastAsia="zh-CN"/>
              </w:rPr>
              <w:t>1</w:t>
            </w:r>
            <w:r>
              <w:rPr>
                <w:rFonts w:hint="eastAsia" w:ascii="仿宋" w:hAnsi="仿宋" w:eastAsia="仿宋" w:cs="仿宋"/>
                <w:kern w:val="2"/>
                <w:sz w:val="28"/>
                <w:szCs w:val="28"/>
                <w:highlight w:val="none"/>
              </w:rPr>
              <w:t>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（4）运钞车配备不充足、枪支弹药无管理及保管措施的，不得分。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5分</w:t>
            </w:r>
          </w:p>
        </w:tc>
      </w:tr>
    </w:tbl>
    <w:p>
      <w:pPr>
        <w:pStyle w:val="15"/>
        <w:ind w:firstLine="0" w:firstLineChars="0"/>
        <w:rPr>
          <w:rStyle w:val="18"/>
          <w:rFonts w:hint="eastAsia" w:ascii="仿宋" w:hAnsi="仿宋" w:eastAsia="仿宋" w:cs="仿宋"/>
          <w:b w:val="0"/>
          <w:bCs w:val="0"/>
          <w:kern w:val="0"/>
          <w:sz w:val="28"/>
          <w:szCs w:val="28"/>
          <w:highlight w:val="none"/>
        </w:rPr>
      </w:pPr>
    </w:p>
    <w:p>
      <w:pPr>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br w:type="page"/>
      </w:r>
    </w:p>
    <w:p>
      <w:pPr>
        <w:pStyle w:val="14"/>
        <w:spacing w:before="0" w:beforeAutospacing="0" w:after="0" w:afterAutospacing="0"/>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t>报价评审</w:t>
      </w:r>
      <w:r>
        <w:rPr>
          <w:rStyle w:val="18"/>
          <w:rFonts w:hint="eastAsia" w:ascii="仿宋" w:hAnsi="仿宋" w:eastAsia="仿宋" w:cs="仿宋"/>
          <w:sz w:val="28"/>
          <w:szCs w:val="28"/>
          <w:highlight w:val="none"/>
          <w:lang w:eastAsia="zh-CN"/>
        </w:rPr>
        <w:t>（</w:t>
      </w:r>
      <w:r>
        <w:rPr>
          <w:rStyle w:val="18"/>
          <w:rFonts w:hint="eastAsia" w:ascii="仿宋" w:hAnsi="仿宋" w:eastAsia="仿宋" w:cs="仿宋"/>
          <w:sz w:val="28"/>
          <w:szCs w:val="28"/>
          <w:highlight w:val="none"/>
          <w:lang w:val="en-US" w:eastAsia="zh-CN"/>
        </w:rPr>
        <w:t>30分</w:t>
      </w:r>
      <w:r>
        <w:rPr>
          <w:rStyle w:val="18"/>
          <w:rFonts w:hint="eastAsia" w:ascii="仿宋" w:hAnsi="仿宋" w:eastAsia="仿宋" w:cs="仿宋"/>
          <w:sz w:val="28"/>
          <w:szCs w:val="28"/>
          <w:highlight w:val="none"/>
          <w:lang w:eastAsia="zh-CN"/>
        </w:rPr>
        <w:t>）</w:t>
      </w:r>
    </w:p>
    <w:tbl>
      <w:tblPr>
        <w:tblStyle w:val="16"/>
        <w:tblW w:w="10243"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710"/>
        <w:gridCol w:w="1701"/>
        <w:gridCol w:w="7052"/>
        <w:gridCol w:w="780"/>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59" w:hRule="atLeast"/>
          <w:jc w:val="center"/>
        </w:trPr>
        <w:tc>
          <w:tcPr>
            <w:tcW w:w="710"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701"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052"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c>
          <w:tcPr>
            <w:tcW w:w="7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分值</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170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报价得分</w:t>
            </w:r>
          </w:p>
        </w:tc>
        <w:tc>
          <w:tcPr>
            <w:tcW w:w="705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pStyle w:val="22"/>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投标人报价得分＝（评标基准价/投标报价）×</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％×100；</w:t>
            </w:r>
          </w:p>
          <w:p>
            <w:pPr>
              <w:pStyle w:val="22"/>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评标基准价为满足招标文件要求且投标价格最低的投标报价；</w:t>
            </w:r>
          </w:p>
          <w:p>
            <w:pPr>
              <w:pStyle w:val="22"/>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投标人报价为投标函中投标总价。</w:t>
            </w:r>
          </w:p>
          <w:p>
            <w:pPr>
              <w:pStyle w:val="22"/>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（商务报价分计算至小数点后第二位、小数点后第三位四舍五入）</w:t>
            </w:r>
          </w:p>
        </w:tc>
        <w:tc>
          <w:tcPr>
            <w:tcW w:w="78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30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0695B"/>
    <w:multiLevelType w:val="multilevel"/>
    <w:tmpl w:val="9340695B"/>
    <w:lvl w:ilvl="0" w:tentative="0">
      <w:start w:val="1"/>
      <w:numFmt w:val="upperRoman"/>
      <w:lvlText w:val="第 %1 条"/>
      <w:lvlJc w:val="left"/>
      <w:pPr>
        <w:tabs>
          <w:tab w:val="left" w:pos="1080"/>
        </w:tabs>
      </w:pPr>
      <w:rPr>
        <w:rFonts w:cs="Times New Roman"/>
      </w:rPr>
    </w:lvl>
    <w:lvl w:ilvl="1" w:tentative="0">
      <w:start w:val="1"/>
      <w:numFmt w:val="decimalZero"/>
      <w:isLgl/>
      <w:lvlText w:val="节 %1.%2"/>
      <w:lvlJc w:val="left"/>
      <w:pPr>
        <w:tabs>
          <w:tab w:val="left" w:pos="720"/>
        </w:tabs>
      </w:pPr>
      <w:rPr>
        <w:rFonts w:cs="Times New Roman"/>
      </w:rPr>
    </w:lvl>
    <w:lvl w:ilvl="2" w:tentative="0">
      <w:start w:val="1"/>
      <w:numFmt w:val="lowerLetter"/>
      <w:lvlText w:val="(%3)"/>
      <w:lvlJc w:val="left"/>
      <w:pPr>
        <w:tabs>
          <w:tab w:val="left" w:pos="720"/>
        </w:tabs>
        <w:ind w:left="720" w:hanging="432"/>
      </w:pPr>
      <w:rPr>
        <w:rFonts w:cs="Times New Roman"/>
      </w:rPr>
    </w:lvl>
    <w:lvl w:ilvl="3" w:tentative="0">
      <w:start w:val="1"/>
      <w:numFmt w:val="lowerRoman"/>
      <w:pStyle w:val="5"/>
      <w:lvlText w:val="(%4)"/>
      <w:lvlJc w:val="right"/>
      <w:pPr>
        <w:tabs>
          <w:tab w:val="left" w:pos="864"/>
        </w:tabs>
        <w:ind w:left="864" w:hanging="144"/>
      </w:pPr>
      <w:rPr>
        <w:rFonts w:cs="Times New Roman"/>
      </w:rPr>
    </w:lvl>
    <w:lvl w:ilvl="4" w:tentative="0">
      <w:start w:val="1"/>
      <w:numFmt w:val="decimal"/>
      <w:pStyle w:val="6"/>
      <w:lvlText w:val="%5)"/>
      <w:lvlJc w:val="left"/>
      <w:pPr>
        <w:tabs>
          <w:tab w:val="left" w:pos="1008"/>
        </w:tabs>
        <w:ind w:left="1008" w:hanging="432"/>
      </w:pPr>
      <w:rPr>
        <w:rFonts w:cs="Times New Roman"/>
      </w:rPr>
    </w:lvl>
    <w:lvl w:ilvl="5" w:tentative="0">
      <w:start w:val="1"/>
      <w:numFmt w:val="lowerLetter"/>
      <w:pStyle w:val="7"/>
      <w:lvlText w:val="%6)"/>
      <w:lvlJc w:val="left"/>
      <w:pPr>
        <w:tabs>
          <w:tab w:val="left" w:pos="1152"/>
        </w:tabs>
        <w:ind w:left="1152" w:hanging="432"/>
      </w:pPr>
      <w:rPr>
        <w:rFonts w:cs="Times New Roman"/>
      </w:rPr>
    </w:lvl>
    <w:lvl w:ilvl="6" w:tentative="0">
      <w:start w:val="1"/>
      <w:numFmt w:val="lowerRoman"/>
      <w:pStyle w:val="8"/>
      <w:lvlText w:val="%7)"/>
      <w:lvlJc w:val="right"/>
      <w:pPr>
        <w:tabs>
          <w:tab w:val="left" w:pos="1296"/>
        </w:tabs>
        <w:ind w:left="1296" w:hanging="288"/>
      </w:pPr>
      <w:rPr>
        <w:rFonts w:cs="Times New Roman"/>
      </w:rPr>
    </w:lvl>
    <w:lvl w:ilvl="7" w:tentative="0">
      <w:start w:val="1"/>
      <w:numFmt w:val="lowerLetter"/>
      <w:pStyle w:val="9"/>
      <w:lvlText w:val="%8."/>
      <w:lvlJc w:val="left"/>
      <w:pPr>
        <w:tabs>
          <w:tab w:val="left" w:pos="1440"/>
        </w:tabs>
        <w:ind w:left="1440" w:hanging="432"/>
      </w:pPr>
      <w:rPr>
        <w:rFonts w:cs="Times New Roman"/>
      </w:rPr>
    </w:lvl>
    <w:lvl w:ilvl="8" w:tentative="0">
      <w:start w:val="1"/>
      <w:numFmt w:val="lowerRoman"/>
      <w:pStyle w:val="10"/>
      <w:lvlText w:val="%9."/>
      <w:lvlJc w:val="right"/>
      <w:pPr>
        <w:tabs>
          <w:tab w:val="left" w:pos="1584"/>
        </w:tabs>
        <w:ind w:left="1584" w:hanging="14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FBE"/>
    <w:rsid w:val="01235DDC"/>
    <w:rsid w:val="0132521F"/>
    <w:rsid w:val="02514E22"/>
    <w:rsid w:val="036F1CF9"/>
    <w:rsid w:val="049D25A3"/>
    <w:rsid w:val="062175DB"/>
    <w:rsid w:val="07860A6E"/>
    <w:rsid w:val="07E845A4"/>
    <w:rsid w:val="07F86FD0"/>
    <w:rsid w:val="08297F72"/>
    <w:rsid w:val="08C65281"/>
    <w:rsid w:val="08DB0AA2"/>
    <w:rsid w:val="0A4D5570"/>
    <w:rsid w:val="0E1A66E1"/>
    <w:rsid w:val="10256AF3"/>
    <w:rsid w:val="11382BAE"/>
    <w:rsid w:val="11505E7B"/>
    <w:rsid w:val="12461858"/>
    <w:rsid w:val="15B624A2"/>
    <w:rsid w:val="16D97E6F"/>
    <w:rsid w:val="17271D10"/>
    <w:rsid w:val="192928E1"/>
    <w:rsid w:val="1BA5543E"/>
    <w:rsid w:val="1D0D6F2C"/>
    <w:rsid w:val="1DD15E62"/>
    <w:rsid w:val="1E4A58AB"/>
    <w:rsid w:val="1E655FF0"/>
    <w:rsid w:val="1F7A6823"/>
    <w:rsid w:val="22985742"/>
    <w:rsid w:val="23A03D06"/>
    <w:rsid w:val="23A13C93"/>
    <w:rsid w:val="25045C96"/>
    <w:rsid w:val="274117AF"/>
    <w:rsid w:val="283B3DFB"/>
    <w:rsid w:val="29183F7A"/>
    <w:rsid w:val="2B186ACF"/>
    <w:rsid w:val="2C4D78D9"/>
    <w:rsid w:val="2E674FC4"/>
    <w:rsid w:val="2FB45B06"/>
    <w:rsid w:val="2FF63C04"/>
    <w:rsid w:val="31A23E4C"/>
    <w:rsid w:val="32122309"/>
    <w:rsid w:val="32537761"/>
    <w:rsid w:val="33AD277D"/>
    <w:rsid w:val="35243BDE"/>
    <w:rsid w:val="38C878DF"/>
    <w:rsid w:val="3AA55575"/>
    <w:rsid w:val="3B4812A1"/>
    <w:rsid w:val="3C5A766D"/>
    <w:rsid w:val="3C8338F5"/>
    <w:rsid w:val="3F4C2170"/>
    <w:rsid w:val="3FF6546C"/>
    <w:rsid w:val="410E6DC5"/>
    <w:rsid w:val="41604E81"/>
    <w:rsid w:val="41B526DA"/>
    <w:rsid w:val="47A3402B"/>
    <w:rsid w:val="48D44F96"/>
    <w:rsid w:val="494D6E0D"/>
    <w:rsid w:val="496E27A5"/>
    <w:rsid w:val="497C5945"/>
    <w:rsid w:val="49E45CC8"/>
    <w:rsid w:val="4B430EA9"/>
    <w:rsid w:val="4B6A286A"/>
    <w:rsid w:val="4C332735"/>
    <w:rsid w:val="4E590037"/>
    <w:rsid w:val="4EFF0292"/>
    <w:rsid w:val="4F9478C5"/>
    <w:rsid w:val="512117D0"/>
    <w:rsid w:val="515945C6"/>
    <w:rsid w:val="52CC3D7F"/>
    <w:rsid w:val="572B03B0"/>
    <w:rsid w:val="5778500F"/>
    <w:rsid w:val="595F40DF"/>
    <w:rsid w:val="59F35FDB"/>
    <w:rsid w:val="5B2F0C96"/>
    <w:rsid w:val="5B652DFD"/>
    <w:rsid w:val="5BCE4730"/>
    <w:rsid w:val="5CF80AB0"/>
    <w:rsid w:val="5E182AB7"/>
    <w:rsid w:val="5EAB0113"/>
    <w:rsid w:val="5EC07FC0"/>
    <w:rsid w:val="5F650A94"/>
    <w:rsid w:val="5F856B77"/>
    <w:rsid w:val="5FE44BB9"/>
    <w:rsid w:val="61B6461C"/>
    <w:rsid w:val="642C13DC"/>
    <w:rsid w:val="652D597E"/>
    <w:rsid w:val="69952CEF"/>
    <w:rsid w:val="69E33BAC"/>
    <w:rsid w:val="6A2A163E"/>
    <w:rsid w:val="6A8A6981"/>
    <w:rsid w:val="6BB91C73"/>
    <w:rsid w:val="6BFF3191"/>
    <w:rsid w:val="6EBA5218"/>
    <w:rsid w:val="6F3A4F8C"/>
    <w:rsid w:val="70B207AD"/>
    <w:rsid w:val="7114237A"/>
    <w:rsid w:val="71E63907"/>
    <w:rsid w:val="72434FA5"/>
    <w:rsid w:val="72862470"/>
    <w:rsid w:val="734F5E5C"/>
    <w:rsid w:val="76046A97"/>
    <w:rsid w:val="767A4624"/>
    <w:rsid w:val="77A34752"/>
    <w:rsid w:val="79BA783E"/>
    <w:rsid w:val="79D96A29"/>
    <w:rsid w:val="7C004052"/>
    <w:rsid w:val="7C975E1B"/>
    <w:rsid w:val="7D494730"/>
    <w:rsid w:val="7E3E258F"/>
    <w:rsid w:val="7FE149C3"/>
    <w:rsid w:val="7FF5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0"/>
    <w:qFormat/>
    <w:uiPriority w:val="0"/>
    <w:pPr>
      <w:keepNext/>
      <w:autoSpaceDE/>
      <w:autoSpaceDN/>
      <w:adjustRightInd w:val="0"/>
      <w:spacing w:line="312" w:lineRule="auto"/>
      <w:jc w:val="center"/>
      <w:textAlignment w:val="baseline"/>
      <w:outlineLvl w:val="0"/>
    </w:pPr>
    <w:rPr>
      <w:rFonts w:ascii="Microsoft YaHei UI" w:hAnsi="Microsoft YaHei UI" w:eastAsia="宋体" w:cs="Microsoft YaHei UI"/>
      <w:b/>
      <w:snapToGrid w:val="0"/>
      <w:color w:val="000000"/>
      <w:kern w:val="30"/>
      <w:sz w:val="30"/>
      <w:szCs w:val="20"/>
      <w:lang w:eastAsia="en-US"/>
    </w:rPr>
  </w:style>
  <w:style w:type="paragraph" w:styleId="2">
    <w:name w:val="heading 2"/>
    <w:basedOn w:val="1"/>
    <w:next w:val="1"/>
    <w:link w:val="19"/>
    <w:semiHidden/>
    <w:unhideWhenUsed/>
    <w:qFormat/>
    <w:uiPriority w:val="0"/>
    <w:pPr>
      <w:keepNext/>
      <w:keepLines/>
      <w:spacing w:line="360" w:lineRule="auto"/>
      <w:jc w:val="left"/>
      <w:outlineLvl w:val="1"/>
    </w:pPr>
    <w:rPr>
      <w:rFonts w:ascii="Arial" w:hAnsi="Arial" w:eastAsia="宋体" w:cs="Arial"/>
      <w:b/>
      <w:bCs/>
      <w:snapToGrid w:val="0"/>
      <w:color w:val="000000"/>
      <w:kern w:val="0"/>
      <w:sz w:val="28"/>
      <w:szCs w:val="32"/>
      <w:lang w:eastAsia="en-US"/>
    </w:rPr>
  </w:style>
  <w:style w:type="paragraph" w:styleId="4">
    <w:name w:val="heading 3"/>
    <w:basedOn w:val="1"/>
    <w:next w:val="1"/>
    <w:link w:val="21"/>
    <w:semiHidden/>
    <w:unhideWhenUsed/>
    <w:qFormat/>
    <w:uiPriority w:val="0"/>
    <w:pPr>
      <w:keepNext/>
      <w:keepLines/>
      <w:spacing w:beforeLines="0" w:beforeAutospacing="0" w:afterLines="0" w:afterAutospacing="0" w:line="240" w:lineRule="auto"/>
      <w:ind w:left="0" w:firstLine="0"/>
      <w:jc w:val="left"/>
      <w:outlineLvl w:val="2"/>
    </w:pPr>
    <w:rPr>
      <w:rFonts w:ascii="Times New Roman" w:hAnsi="Times New Roman" w:eastAsia="宋体" w:cs="Times New Roman"/>
      <w:b/>
      <w:sz w:val="28"/>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14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43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43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288"/>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43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44"/>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index 5"/>
    <w:basedOn w:val="1"/>
    <w:next w:val="1"/>
    <w:qFormat/>
    <w:uiPriority w:val="0"/>
    <w:pPr>
      <w:ind w:left="800" w:leftChars="800"/>
    </w:pPr>
    <w:rPr>
      <w:szCs w:val="20"/>
    </w:rPr>
  </w:style>
  <w:style w:type="paragraph" w:styleId="13">
    <w:name w:val="Body Text"/>
    <w:basedOn w:val="1"/>
    <w:next w:val="12"/>
    <w:qFormat/>
    <w:uiPriority w:val="0"/>
    <w:pPr>
      <w:tabs>
        <w:tab w:val="left" w:pos="567"/>
      </w:tabs>
      <w:spacing w:before="120" w:line="22" w:lineRule="atLeast"/>
    </w:pPr>
  </w:style>
  <w:style w:type="paragraph" w:styleId="14">
    <w:name w:val="Normal (Web)"/>
    <w:basedOn w:val="1"/>
    <w:qFormat/>
    <w:uiPriority w:val="99"/>
    <w:pPr>
      <w:spacing w:before="100" w:beforeAutospacing="1" w:after="100" w:afterAutospacing="1"/>
    </w:pPr>
  </w:style>
  <w:style w:type="paragraph" w:styleId="15">
    <w:name w:val="Body Text First Indent"/>
    <w:basedOn w:val="13"/>
    <w:qFormat/>
    <w:uiPriority w:val="0"/>
    <w:pPr>
      <w:spacing w:after="120"/>
      <w:ind w:firstLine="420" w:firstLineChars="100"/>
    </w:pPr>
    <w:rPr>
      <w:b/>
      <w:bCs/>
      <w:kern w:val="2"/>
    </w:rPr>
  </w:style>
  <w:style w:type="character" w:styleId="18">
    <w:name w:val="Strong"/>
    <w:qFormat/>
    <w:uiPriority w:val="0"/>
    <w:rPr>
      <w:b/>
      <w:bCs/>
    </w:rPr>
  </w:style>
  <w:style w:type="character" w:customStyle="1" w:styleId="19">
    <w:name w:val="标题 2 Char"/>
    <w:link w:val="2"/>
    <w:qFormat/>
    <w:uiPriority w:val="9"/>
    <w:rPr>
      <w:rFonts w:ascii="Arial" w:hAnsi="Arial" w:eastAsia="宋体" w:cs="Arial"/>
      <w:b/>
      <w:snapToGrid w:val="0"/>
      <w:color w:val="000000"/>
      <w:w w:val="90"/>
      <w:kern w:val="0"/>
      <w:sz w:val="28"/>
      <w:szCs w:val="22"/>
      <w:lang w:eastAsia="en-US"/>
    </w:rPr>
  </w:style>
  <w:style w:type="character" w:customStyle="1" w:styleId="20">
    <w:name w:val="标题 1 Char"/>
    <w:link w:val="3"/>
    <w:qFormat/>
    <w:uiPriority w:val="0"/>
    <w:rPr>
      <w:rFonts w:hint="eastAsia" w:ascii="Microsoft YaHei UI" w:hAnsi="Microsoft YaHei UI" w:eastAsia="宋体" w:cs="Microsoft YaHei UI"/>
      <w:b/>
      <w:bCs/>
      <w:snapToGrid w:val="0"/>
      <w:color w:val="000000"/>
      <w:kern w:val="30"/>
      <w:sz w:val="30"/>
      <w:szCs w:val="48"/>
      <w:lang w:eastAsia="en-US" w:bidi="ar"/>
    </w:rPr>
  </w:style>
  <w:style w:type="character" w:customStyle="1" w:styleId="21">
    <w:name w:val="标题 3 Char"/>
    <w:link w:val="4"/>
    <w:qFormat/>
    <w:uiPriority w:val="0"/>
    <w:rPr>
      <w:rFonts w:ascii="Times New Roman" w:hAnsi="Times New Roman" w:eastAsia="宋体" w:cs="Times New Roman"/>
      <w:b/>
      <w:sz w:val="28"/>
    </w:rPr>
  </w:style>
  <w:style w:type="paragraph" w:customStyle="1" w:styleId="22">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1887</Words>
  <Characters>1924</Characters>
  <Lines>0</Lines>
  <Paragraphs>0</Paragraphs>
  <TotalTime>2</TotalTime>
  <ScaleCrop>false</ScaleCrop>
  <LinksUpToDate>false</LinksUpToDate>
  <CharactersWithSpaces>1924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2020-12-01T06:41:00Z</dcterms:created>
  <dc:creator>huawei</dc:creator>
  <cp:lastModifiedBy>122173-李德芝</cp:lastModifiedBy>
  <dcterms:modified xsi:type="dcterms:W3CDTF">2025-04-11T03:59:24Z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6380C436820C47EA8EF5C134DB07698B</vt:lpwstr>
  </property>
  <property fmtid="{D5CDD505-2E9C-101B-9397-08002B2CF9AE}" pid="4" name="KSOTemplateDocerSaveRecord">
    <vt:lpwstr>eyJoZGlkIjoiYmVhMDQxNWFmYTkzYTVhMjQyMTM5ZTkyNGY2MzE1NTQifQ==</vt:lpwstr>
  </property>
</Properties>
</file>