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center"/>
        <w:rPr>
          <w:rFonts w:ascii="方正小标宋简体" w:hAnsi="sans-serif" w:eastAsia="方正小标宋简体" w:cs="sans-serif"/>
          <w:color w:val="333333"/>
          <w:sz w:val="44"/>
          <w:szCs w:val="44"/>
        </w:rPr>
      </w:pPr>
      <w:r>
        <w:rPr>
          <w:rFonts w:ascii="方正小标宋简体" w:hAnsi="sans-serif" w:eastAsia="方正小标宋简体" w:cs="sans-serif"/>
          <w:color w:val="333333"/>
          <w:sz w:val="44"/>
          <w:szCs w:val="44"/>
          <w:shd w:val="clear" w:color="auto" w:fill="FFFFFF"/>
        </w:rPr>
        <w:t>贵州清镇农村商业银行股份有限公司关于</w:t>
      </w:r>
      <w:r>
        <w:rPr>
          <w:rFonts w:hint="default" w:ascii="Times New Roman" w:hAnsi="Times New Roman" w:eastAsia="方正小标宋简体" w:cs="Times New Roman"/>
          <w:color w:val="333333"/>
          <w:sz w:val="44"/>
          <w:szCs w:val="44"/>
          <w:shd w:val="clear" w:color="auto" w:fill="FFFFFF"/>
        </w:rPr>
        <w:t>202</w:t>
      </w:r>
      <w:r>
        <w:rPr>
          <w:rFonts w:hint="default" w:ascii="Times New Roman" w:hAnsi="Times New Roman" w:eastAsia="方正小标宋简体" w:cs="Times New Roman"/>
          <w:color w:val="333333"/>
          <w:sz w:val="44"/>
          <w:szCs w:val="44"/>
          <w:shd w:val="clear" w:color="auto" w:fill="FFFFFF"/>
          <w:lang w:val="en-US" w:eastAsia="zh-CN"/>
        </w:rPr>
        <w:t>5</w:t>
      </w:r>
      <w:r>
        <w:rPr>
          <w:rFonts w:ascii="方正小标宋简体" w:hAnsi="sans-serif" w:eastAsia="方正小标宋简体" w:cs="sans-serif"/>
          <w:color w:val="333333"/>
          <w:sz w:val="44"/>
          <w:szCs w:val="44"/>
          <w:shd w:val="clear" w:color="auto" w:fill="FFFFFF"/>
        </w:rPr>
        <w:t>年</w:t>
      </w:r>
      <w:r>
        <w:rPr>
          <w:rFonts w:hint="default" w:ascii="Times New Roman" w:hAnsi="Times New Roman" w:eastAsia="方正小标宋简体" w:cs="Times New Roman"/>
          <w:color w:val="333333"/>
          <w:sz w:val="44"/>
          <w:szCs w:val="44"/>
          <w:shd w:val="clear" w:color="auto" w:fill="FFFFFF"/>
          <w:lang w:val="en-US" w:eastAsia="zh-CN"/>
        </w:rPr>
        <w:t>1</w:t>
      </w:r>
      <w:r>
        <w:rPr>
          <w:rFonts w:ascii="方正小标宋简体" w:hAnsi="sans-serif" w:eastAsia="方正小标宋简体" w:cs="sans-serif"/>
          <w:color w:val="333333"/>
          <w:sz w:val="44"/>
          <w:szCs w:val="44"/>
          <w:shd w:val="clear" w:color="auto" w:fill="FFFFFF"/>
        </w:rPr>
        <w:t>季度关联交易情况事项的公告</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根据《银行保险机构关联交易管理办法》（中国银行保</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 w:eastAsia="仿宋_GB2312"/>
          <w:sz w:val="32"/>
          <w:szCs w:val="32"/>
        </w:rPr>
      </w:pPr>
      <w:r>
        <w:rPr>
          <w:rFonts w:hint="eastAsia" w:ascii="仿宋_GB2312" w:hAnsi="仿宋" w:eastAsia="仿宋_GB2312"/>
          <w:sz w:val="32"/>
          <w:szCs w:val="32"/>
        </w:rPr>
        <w:t>险监督管理委员会令〔</w:t>
      </w:r>
      <w:r>
        <w:rPr>
          <w:rFonts w:hint="default" w:ascii="Times New Roman" w:hAnsi="Times New Roman" w:eastAsia="仿宋_GB2312" w:cs="Times New Roman"/>
          <w:sz w:val="32"/>
          <w:szCs w:val="32"/>
        </w:rPr>
        <w:t>2022</w:t>
      </w:r>
      <w:r>
        <w:rPr>
          <w:rFonts w:hint="eastAsia" w:ascii="仿宋_GB2312" w:hAnsi="仿宋" w:eastAsia="仿宋_GB2312"/>
          <w:sz w:val="32"/>
          <w:szCs w:val="32"/>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 xml:space="preserve"> </w:t>
      </w:r>
      <w:r>
        <w:rPr>
          <w:rFonts w:hint="eastAsia" w:ascii="仿宋_GB2312" w:hAnsi="仿宋" w:eastAsia="仿宋_GB2312"/>
          <w:sz w:val="32"/>
          <w:szCs w:val="32"/>
        </w:rPr>
        <w:t>号），现将贵州清镇农村商</w:t>
      </w:r>
    </w:p>
    <w:p>
      <w:pPr>
        <w:keepNext w:val="0"/>
        <w:keepLines w:val="0"/>
        <w:pageBreakBefore w:val="0"/>
        <w:kinsoku/>
        <w:wordWrap/>
        <w:overflowPunct/>
        <w:topLinePunct w:val="0"/>
        <w:autoSpaceDE/>
        <w:autoSpaceDN/>
        <w:bidi w:val="0"/>
        <w:adjustRightInd/>
        <w:snapToGrid/>
        <w:spacing w:line="600" w:lineRule="exact"/>
        <w:rPr>
          <w:rFonts w:hint="eastAsia" w:ascii="仿宋_GB2312" w:hAnsi="仿宋" w:eastAsia="仿宋_GB2312"/>
          <w:sz w:val="32"/>
          <w:szCs w:val="32"/>
        </w:rPr>
      </w:pPr>
      <w:r>
        <w:rPr>
          <w:rFonts w:hint="eastAsia" w:ascii="仿宋_GB2312" w:hAnsi="仿宋" w:eastAsia="仿宋_GB2312"/>
          <w:sz w:val="32"/>
          <w:szCs w:val="32"/>
        </w:rPr>
        <w:t>业银行股份有限公司（以下简称“本行”）</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eastAsia" w:ascii="仿宋_GB2312" w:hAnsi="仿宋" w:eastAsia="仿宋_GB2312"/>
          <w:sz w:val="32"/>
          <w:szCs w:val="32"/>
        </w:rPr>
        <w:t>年</w:t>
      </w:r>
      <w:r>
        <w:rPr>
          <w:rFonts w:hint="default" w:ascii="Times New Roman" w:hAnsi="Times New Roman" w:eastAsia="仿宋_GB2312" w:cs="Times New Roman"/>
          <w:sz w:val="32"/>
          <w:szCs w:val="32"/>
          <w:lang w:val="en-US" w:eastAsia="zh-CN"/>
        </w:rPr>
        <w:t>1</w:t>
      </w:r>
      <w:r>
        <w:rPr>
          <w:rFonts w:hint="eastAsia" w:ascii="仿宋_GB2312" w:hAnsi="仿宋" w:eastAsia="仿宋_GB2312"/>
          <w:sz w:val="32"/>
          <w:szCs w:val="32"/>
        </w:rPr>
        <w:t>季度关联交易情况公告如下：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center"/>
        <w:rPr>
          <w:rFonts w:hint="eastAsia" w:ascii="黑体" w:hAnsi="黑体" w:eastAsia="黑体" w:cs="黑体"/>
          <w:color w:val="auto"/>
          <w:sz w:val="32"/>
          <w:szCs w:val="32"/>
        </w:rPr>
      </w:pPr>
      <w:r>
        <w:rPr>
          <w:rFonts w:hint="eastAsia" w:ascii="黑体" w:hAnsi="黑体" w:eastAsia="黑体" w:cs="黑体"/>
          <w:color w:val="auto"/>
          <w:sz w:val="32"/>
          <w:szCs w:val="32"/>
        </w:rPr>
        <w:t>一、资本净额情况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640" w:hanging="640" w:hangingChars="200"/>
        <w:jc w:val="both"/>
        <w:textAlignment w:val="center"/>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截止</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lang w:val="en-US" w:eastAsia="zh-CN"/>
        </w:rPr>
        <w:t>31</w:t>
      </w:r>
      <w:r>
        <w:rPr>
          <w:rFonts w:hint="eastAsia" w:ascii="仿宋_GB2312" w:hAnsi="仿宋_GB2312" w:eastAsia="仿宋_GB2312" w:cs="仿宋_GB2312"/>
          <w:color w:val="auto"/>
          <w:sz w:val="32"/>
          <w:szCs w:val="32"/>
        </w:rPr>
        <w:t>日，本行资本净额</w:t>
      </w:r>
      <w:r>
        <w:rPr>
          <w:rFonts w:hint="default" w:ascii="Times New Roman" w:hAnsi="Times New Roman" w:eastAsia="仿宋_GB2312" w:cs="Times New Roman"/>
          <w:color w:val="auto"/>
          <w:sz w:val="32"/>
          <w:szCs w:val="32"/>
          <w:highlight w:val="none"/>
          <w:shd w:val="clear" w:color="auto" w:fill="FFFFFF"/>
          <w:lang w:val="en-US" w:eastAsia="zh-CN"/>
        </w:rPr>
        <w:t>88998</w:t>
      </w:r>
      <w:r>
        <w:rPr>
          <w:rFonts w:hint="eastAsia"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69</w:t>
      </w:r>
      <w:r>
        <w:rPr>
          <w:rFonts w:hint="eastAsia" w:ascii="仿宋_GB2312" w:hAnsi="黑体" w:eastAsia="仿宋_GB2312" w:cs="黑体"/>
          <w:color w:val="auto"/>
          <w:sz w:val="32"/>
          <w:szCs w:val="32"/>
          <w:highlight w:val="none"/>
          <w:shd w:val="clear" w:color="auto" w:fill="FFFFFF"/>
        </w:rPr>
        <w:t>万元</w:t>
      </w:r>
      <w:r>
        <w:rPr>
          <w:rFonts w:hint="eastAsia" w:ascii="仿宋_GB2312" w:hAnsi="仿宋_GB2312" w:eastAsia="仿宋_GB2312" w:cs="仿宋_GB2312"/>
          <w:color w:val="auto"/>
          <w:sz w:val="32"/>
          <w:szCs w:val="32"/>
        </w:rPr>
        <w:t>。</w:t>
      </w:r>
      <w:r>
        <w:rPr>
          <w:rFonts w:hint="eastAsia" w:ascii="黑体" w:hAnsi="黑体" w:eastAsia="黑体" w:cs="黑体"/>
          <w:color w:val="auto"/>
          <w:sz w:val="32"/>
          <w:szCs w:val="32"/>
        </w:rPr>
        <w:t>二、关联交易情况</w:t>
      </w:r>
    </w:p>
    <w:p>
      <w:pPr>
        <w:pStyle w:val="6"/>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日，本行关联人</w:t>
      </w:r>
      <w:r>
        <w:rPr>
          <w:rFonts w:hint="default" w:ascii="Times New Roman" w:hAnsi="Times New Roman" w:eastAsia="仿宋_GB2312" w:cs="Times New Roman"/>
          <w:color w:val="auto"/>
          <w:sz w:val="32"/>
          <w:szCs w:val="32"/>
          <w:lang w:val="en-US" w:eastAsia="zh-CN"/>
        </w:rPr>
        <w:t>560</w:t>
      </w:r>
      <w:r>
        <w:rPr>
          <w:rFonts w:hint="eastAsia" w:ascii="仿宋_GB2312" w:hAnsi="仿宋_GB2312" w:eastAsia="仿宋_GB2312" w:cs="仿宋_GB2312"/>
          <w:color w:val="auto"/>
          <w:sz w:val="32"/>
          <w:szCs w:val="32"/>
        </w:rPr>
        <w:t>人，其中关联法人</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rPr>
        <w:t>人，关联自然人</w:t>
      </w:r>
      <w:r>
        <w:rPr>
          <w:rFonts w:hint="default" w:ascii="Times New Roman" w:hAnsi="Times New Roman" w:eastAsia="仿宋_GB2312" w:cs="Times New Roman"/>
          <w:color w:val="auto"/>
          <w:sz w:val="32"/>
          <w:szCs w:val="32"/>
          <w:lang w:val="en-US" w:eastAsia="zh-CN"/>
        </w:rPr>
        <w:t>521</w:t>
      </w:r>
      <w:r>
        <w:rPr>
          <w:rFonts w:hint="eastAsia" w:ascii="仿宋_GB2312" w:hAnsi="仿宋_GB2312" w:eastAsia="仿宋_GB2312" w:cs="仿宋_GB2312"/>
          <w:color w:val="auto"/>
          <w:sz w:val="32"/>
          <w:szCs w:val="32"/>
        </w:rPr>
        <w:t>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（一）授信类关联交易</w:t>
      </w:r>
    </w:p>
    <w:p>
      <w:pPr>
        <w:pStyle w:val="6"/>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01</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日至</w:t>
      </w:r>
      <w:r>
        <w:rPr>
          <w:rFonts w:hint="default" w:ascii="Times New Roman" w:hAnsi="Times New Roman" w:eastAsia="仿宋_GB2312" w:cs="Times New Roman"/>
          <w:color w:val="auto"/>
          <w:sz w:val="32"/>
          <w:szCs w:val="32"/>
          <w:lang w:val="en-US" w:eastAsia="zh-CN"/>
        </w:rPr>
        <w:t>03</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日，本行</w:t>
      </w:r>
      <w:r>
        <w:rPr>
          <w:rFonts w:hint="eastAsia" w:ascii="仿宋_GB2312" w:hAnsi="仿宋_GB2312" w:eastAsia="仿宋_GB2312" w:cs="仿宋_GB2312"/>
          <w:color w:val="auto"/>
          <w:sz w:val="32"/>
          <w:szCs w:val="32"/>
          <w:lang w:val="en-US" w:eastAsia="zh-CN"/>
        </w:rPr>
        <w:t>发生关联交易</w:t>
      </w:r>
      <w:r>
        <w:rPr>
          <w:rFonts w:hint="eastAsia" w:ascii="仿宋_GB2312" w:hAnsi="仿宋_GB2312" w:eastAsia="仿宋_GB2312" w:cs="仿宋_GB2312"/>
          <w:color w:val="auto"/>
          <w:sz w:val="32"/>
          <w:szCs w:val="32"/>
        </w:rPr>
        <w:t>业务</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笔</w:t>
      </w:r>
      <w:r>
        <w:rPr>
          <w:rFonts w:hint="default" w:ascii="Times New Roman" w:hAnsi="Times New Roman" w:eastAsia="仿宋_GB2312" w:cs="Times New Roman"/>
          <w:color w:val="auto"/>
          <w:sz w:val="32"/>
          <w:szCs w:val="32"/>
          <w:lang w:val="en-US" w:eastAsia="zh-CN"/>
        </w:rPr>
        <w:t>1198</w:t>
      </w:r>
      <w:r>
        <w:rPr>
          <w:rFonts w:hint="eastAsia" w:ascii="仿宋_GB2312" w:hAnsi="仿宋_GB2312" w:eastAsia="仿宋_GB2312" w:cs="仿宋_GB2312"/>
          <w:color w:val="auto"/>
          <w:sz w:val="32"/>
          <w:szCs w:val="32"/>
          <w:lang w:val="en-US" w:eastAsia="zh-CN"/>
        </w:rPr>
        <w:t>万元，其中，</w:t>
      </w:r>
      <w:r>
        <w:rPr>
          <w:rFonts w:hint="eastAsia" w:ascii="仿宋_GB2312" w:hAnsi="仿宋_GB2312" w:eastAsia="仿宋_GB2312" w:cs="仿宋_GB2312"/>
          <w:color w:val="auto"/>
          <w:sz w:val="32"/>
          <w:szCs w:val="32"/>
        </w:rPr>
        <w:t>一般关联交易</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户</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rPr>
        <w:t>笔金额</w:t>
      </w:r>
      <w:r>
        <w:rPr>
          <w:rFonts w:hint="default" w:ascii="Times New Roman" w:hAnsi="Times New Roman" w:eastAsia="仿宋_GB2312" w:cs="Times New Roman"/>
          <w:color w:val="auto"/>
          <w:sz w:val="32"/>
          <w:szCs w:val="32"/>
          <w:lang w:val="en-US" w:eastAsia="zh-CN"/>
        </w:rPr>
        <w:t>148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重大关联交易</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户</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笔金额</w:t>
      </w:r>
      <w:r>
        <w:rPr>
          <w:rFonts w:hint="default" w:ascii="Times New Roman" w:hAnsi="Times New Roman" w:eastAsia="仿宋_GB2312" w:cs="Times New Roman"/>
          <w:color w:val="auto"/>
          <w:sz w:val="32"/>
          <w:szCs w:val="32"/>
          <w:lang w:val="en-US" w:eastAsia="zh-CN"/>
        </w:rPr>
        <w:t>1050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rPr>
        <w:t>日，本行授信类关联交易共</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rPr>
        <w:t>户</w:t>
      </w:r>
      <w:r>
        <w:rPr>
          <w:rFonts w:hint="default" w:ascii="Times New Roman" w:hAnsi="Times New Roman" w:eastAsia="仿宋_GB2312" w:cs="Times New Roman"/>
          <w:color w:val="auto"/>
          <w:sz w:val="32"/>
          <w:szCs w:val="32"/>
          <w:lang w:val="en-US" w:eastAsia="zh-CN"/>
        </w:rPr>
        <w:t>21</w:t>
      </w:r>
      <w:r>
        <w:rPr>
          <w:rFonts w:hint="eastAsia" w:ascii="仿宋_GB2312" w:hAnsi="仿宋_GB2312" w:eastAsia="仿宋_GB2312" w:cs="仿宋_GB2312"/>
          <w:color w:val="auto"/>
          <w:sz w:val="32"/>
          <w:szCs w:val="32"/>
        </w:rPr>
        <w:t>笔，关联交易余额合计</w:t>
      </w:r>
      <w:r>
        <w:rPr>
          <w:rFonts w:hint="default" w:ascii="Times New Roman" w:hAnsi="Times New Roman" w:eastAsia="仿宋_GB2312" w:cs="Times New Roman"/>
          <w:color w:val="auto"/>
          <w:sz w:val="32"/>
          <w:szCs w:val="32"/>
          <w:lang w:val="en-US" w:eastAsia="zh-CN"/>
        </w:rPr>
        <w:t>3715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55</w:t>
      </w:r>
      <w:r>
        <w:rPr>
          <w:rFonts w:hint="eastAsia" w:ascii="仿宋_GB2312" w:hAnsi="仿宋_GB2312" w:eastAsia="仿宋_GB2312" w:cs="仿宋_GB2312"/>
          <w:color w:val="auto"/>
          <w:sz w:val="32"/>
          <w:szCs w:val="32"/>
        </w:rPr>
        <w:t>万元，其中重大关联交易</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户</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笔金额</w:t>
      </w:r>
      <w:r>
        <w:rPr>
          <w:rFonts w:hint="default" w:ascii="Times New Roman" w:hAnsi="Times New Roman" w:eastAsia="仿宋_GB2312" w:cs="Times New Roman"/>
          <w:color w:val="auto"/>
          <w:sz w:val="32"/>
          <w:szCs w:val="32"/>
          <w:lang w:val="en-US" w:eastAsia="zh-CN"/>
        </w:rPr>
        <w:t>2769</w:t>
      </w:r>
      <w:r>
        <w:rPr>
          <w:rFonts w:hint="eastAsia" w:ascii="仿宋_GB2312" w:hAnsi="仿宋_GB2312" w:eastAsia="仿宋_GB2312" w:cs="仿宋_GB2312"/>
          <w:color w:val="auto"/>
          <w:sz w:val="32"/>
          <w:szCs w:val="32"/>
        </w:rPr>
        <w:t>万元，一般关联交易</w:t>
      </w:r>
      <w:r>
        <w:rPr>
          <w:rFonts w:hint="default"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color w:val="auto"/>
          <w:sz w:val="32"/>
          <w:szCs w:val="32"/>
        </w:rPr>
        <w:t>户</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rPr>
        <w:t>笔金额</w:t>
      </w:r>
      <w:r>
        <w:rPr>
          <w:rFonts w:hint="default" w:ascii="Times New Roman" w:hAnsi="Times New Roman" w:eastAsia="仿宋_GB2312" w:cs="Times New Roman"/>
          <w:color w:val="auto"/>
          <w:sz w:val="32"/>
          <w:szCs w:val="32"/>
          <w:lang w:val="en-US" w:eastAsia="zh-CN"/>
        </w:rPr>
        <w:t>946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55</w:t>
      </w:r>
      <w:r>
        <w:rPr>
          <w:rFonts w:hint="eastAsia" w:ascii="仿宋_GB2312" w:hAnsi="仿宋_GB2312" w:eastAsia="仿宋_GB2312" w:cs="仿宋_GB2312"/>
          <w:color w:val="auto"/>
          <w:sz w:val="32"/>
          <w:szCs w:val="32"/>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（二）资产转移类关联交易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(三)服务类关联交易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(四)存款和其他类型关联交易</w:t>
      </w:r>
    </w:p>
    <w:p>
      <w:pPr>
        <w:pStyle w:val="6"/>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01</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日至</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日，本行</w:t>
      </w:r>
      <w:r>
        <w:rPr>
          <w:rFonts w:hint="eastAsia" w:ascii="仿宋_GB2312" w:hAnsi="仿宋_GB2312" w:eastAsia="仿宋_GB2312" w:cs="仿宋_GB2312"/>
          <w:color w:val="auto"/>
          <w:sz w:val="32"/>
          <w:szCs w:val="32"/>
          <w:highlight w:val="none"/>
          <w:lang w:val="en-US" w:eastAsia="zh-CN"/>
        </w:rPr>
        <w:t>发生关联交易</w:t>
      </w:r>
      <w:r>
        <w:rPr>
          <w:rFonts w:hint="default" w:ascii="Times New Roman" w:hAnsi="Times New Roman" w:eastAsia="仿宋_GB2312" w:cs="Times New Roman"/>
          <w:color w:val="auto"/>
          <w:sz w:val="32"/>
          <w:szCs w:val="32"/>
          <w:highlight w:val="none"/>
          <w:lang w:val="en-US" w:eastAsia="zh-CN"/>
        </w:rPr>
        <w:t>78</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170</w:t>
      </w:r>
      <w:r>
        <w:rPr>
          <w:rFonts w:hint="eastAsia" w:ascii="仿宋_GB2312" w:hAnsi="仿宋_GB2312" w:eastAsia="仿宋_GB2312" w:cs="仿宋_GB2312"/>
          <w:color w:val="auto"/>
          <w:sz w:val="32"/>
          <w:szCs w:val="32"/>
          <w:highlight w:val="none"/>
          <w:lang w:val="en-US" w:eastAsia="zh-CN"/>
        </w:rPr>
        <w:t>笔</w:t>
      </w:r>
      <w:r>
        <w:rPr>
          <w:rFonts w:hint="default" w:ascii="Times New Roman" w:hAnsi="Times New Roman" w:eastAsia="仿宋_GB2312" w:cs="Times New Roman"/>
          <w:color w:val="auto"/>
          <w:sz w:val="32"/>
          <w:szCs w:val="32"/>
          <w:highlight w:val="none"/>
          <w:lang w:val="en-US" w:eastAsia="zh-CN"/>
        </w:rPr>
        <w:t>1596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62</w:t>
      </w:r>
      <w:r>
        <w:rPr>
          <w:rFonts w:hint="eastAsia" w:ascii="仿宋_GB2312" w:hAnsi="仿宋_GB2312" w:eastAsia="仿宋_GB2312" w:cs="仿宋_GB2312"/>
          <w:color w:val="auto"/>
          <w:sz w:val="32"/>
          <w:szCs w:val="32"/>
          <w:highlight w:val="none"/>
          <w:lang w:val="en-US" w:eastAsia="zh-CN"/>
        </w:rPr>
        <w:t>万元，其中发生</w:t>
      </w:r>
      <w:r>
        <w:rPr>
          <w:rFonts w:hint="eastAsia" w:ascii="仿宋_GB2312" w:hAnsi="仿宋_GB2312" w:eastAsia="仿宋_GB2312" w:cs="仿宋_GB2312"/>
          <w:color w:val="auto"/>
          <w:sz w:val="32"/>
          <w:szCs w:val="32"/>
          <w:highlight w:val="none"/>
        </w:rPr>
        <w:t>一般关联交易</w:t>
      </w:r>
      <w:r>
        <w:rPr>
          <w:rFonts w:hint="default" w:ascii="Times New Roman" w:hAnsi="Times New Roman" w:eastAsia="仿宋_GB2312" w:cs="Times New Roman"/>
          <w:color w:val="auto"/>
          <w:sz w:val="32"/>
          <w:szCs w:val="32"/>
          <w:highlight w:val="none"/>
          <w:lang w:val="en-US" w:eastAsia="zh-CN"/>
        </w:rPr>
        <w:t>78</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170</w:t>
      </w:r>
      <w:r>
        <w:rPr>
          <w:rFonts w:hint="eastAsia" w:ascii="仿宋_GB2312" w:hAnsi="仿宋_GB2312" w:eastAsia="仿宋_GB2312" w:cs="仿宋_GB2312"/>
          <w:color w:val="auto"/>
          <w:sz w:val="32"/>
          <w:szCs w:val="32"/>
          <w:highlight w:val="none"/>
          <w:lang w:val="en-US" w:eastAsia="zh-CN"/>
        </w:rPr>
        <w:t>笔</w:t>
      </w:r>
      <w:r>
        <w:rPr>
          <w:rFonts w:hint="default" w:ascii="Times New Roman" w:hAnsi="Times New Roman" w:eastAsia="仿宋_GB2312" w:cs="Times New Roman"/>
          <w:color w:val="auto"/>
          <w:sz w:val="32"/>
          <w:szCs w:val="32"/>
          <w:highlight w:val="none"/>
          <w:lang w:val="en-US" w:eastAsia="zh-CN"/>
        </w:rPr>
        <w:t>1596</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62</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发生重大关联交易业务</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截止</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日，本行</w:t>
      </w:r>
      <w:r>
        <w:rPr>
          <w:rFonts w:hint="eastAsia" w:ascii="仿宋_GB2312" w:hAnsi="仿宋_GB2312" w:eastAsia="仿宋_GB2312" w:cs="仿宋_GB2312"/>
          <w:color w:val="auto"/>
          <w:sz w:val="32"/>
          <w:szCs w:val="32"/>
          <w:highlight w:val="none"/>
          <w:lang w:val="en-US" w:eastAsia="zh-CN"/>
        </w:rPr>
        <w:t>存款</w:t>
      </w:r>
      <w:r>
        <w:rPr>
          <w:rFonts w:hint="eastAsia" w:ascii="仿宋_GB2312" w:hAnsi="仿宋_GB2312" w:eastAsia="仿宋_GB2312" w:cs="仿宋_GB2312"/>
          <w:color w:val="auto"/>
          <w:sz w:val="32"/>
          <w:szCs w:val="32"/>
          <w:highlight w:val="none"/>
        </w:rPr>
        <w:t>类关联交易共</w:t>
      </w:r>
      <w:r>
        <w:rPr>
          <w:rFonts w:hint="default" w:ascii="Times New Roman" w:hAnsi="Times New Roman" w:eastAsia="仿宋_GB2312" w:cs="Times New Roman"/>
          <w:color w:val="auto"/>
          <w:sz w:val="32"/>
          <w:szCs w:val="32"/>
          <w:highlight w:val="none"/>
          <w:lang w:val="en-US" w:eastAsia="zh-CN"/>
        </w:rPr>
        <w:t>132</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390</w:t>
      </w:r>
      <w:r>
        <w:rPr>
          <w:rFonts w:hint="eastAsia" w:ascii="仿宋_GB2312" w:hAnsi="仿宋_GB2312" w:eastAsia="仿宋_GB2312" w:cs="仿宋_GB2312"/>
          <w:color w:val="auto"/>
          <w:sz w:val="32"/>
          <w:szCs w:val="32"/>
          <w:highlight w:val="none"/>
          <w:lang w:val="en-US" w:eastAsia="zh-CN"/>
        </w:rPr>
        <w:t>笔，</w:t>
      </w:r>
      <w:r>
        <w:rPr>
          <w:rFonts w:hint="eastAsia" w:ascii="仿宋_GB2312" w:hAnsi="仿宋_GB2312" w:eastAsia="仿宋_GB2312" w:cs="仿宋_GB2312"/>
          <w:color w:val="auto"/>
          <w:sz w:val="32"/>
          <w:szCs w:val="32"/>
          <w:highlight w:val="none"/>
        </w:rPr>
        <w:t>关联交易余额合计</w:t>
      </w:r>
      <w:r>
        <w:rPr>
          <w:rFonts w:hint="default" w:ascii="Times New Roman" w:hAnsi="Times New Roman" w:eastAsia="仿宋_GB2312" w:cs="Times New Roman"/>
          <w:color w:val="auto"/>
          <w:sz w:val="32"/>
          <w:szCs w:val="32"/>
          <w:highlight w:val="none"/>
          <w:lang w:val="en-US" w:eastAsia="zh-CN"/>
        </w:rPr>
        <w:t>5282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46</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，其中重大关联交易</w:t>
      </w:r>
      <w:r>
        <w:rPr>
          <w:rFonts w:hint="default" w:ascii="Times New Roman" w:hAnsi="Times New Roman" w:eastAsia="仿宋_GB2312" w:cs="Times New Roman"/>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户</w:t>
      </w:r>
      <w:r>
        <w:rPr>
          <w:rFonts w:hint="default" w:ascii="Times New Roman" w:hAnsi="Times New Roman" w:eastAsia="仿宋_GB2312" w:cs="Times New Roman"/>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笔金额</w:t>
      </w:r>
      <w:r>
        <w:rPr>
          <w:rFonts w:hint="default" w:ascii="Times New Roman" w:hAnsi="Times New Roman" w:eastAsia="仿宋_GB2312" w:cs="Times New Roman"/>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万元，一般关联交易</w:t>
      </w:r>
      <w:r>
        <w:rPr>
          <w:rFonts w:hint="default" w:ascii="Times New Roman" w:hAnsi="Times New Roman" w:eastAsia="仿宋_GB2312" w:cs="Times New Roman"/>
          <w:color w:val="auto"/>
          <w:sz w:val="32"/>
          <w:szCs w:val="32"/>
          <w:highlight w:val="none"/>
          <w:lang w:val="en-US" w:eastAsia="zh-CN"/>
        </w:rPr>
        <w:t>132</w:t>
      </w:r>
      <w:r>
        <w:rPr>
          <w:rFonts w:hint="eastAsia" w:ascii="仿宋_GB2312" w:hAnsi="仿宋_GB2312" w:eastAsia="仿宋_GB2312" w:cs="仿宋_GB2312"/>
          <w:color w:val="auto"/>
          <w:sz w:val="32"/>
          <w:szCs w:val="32"/>
          <w:highlight w:val="none"/>
          <w:lang w:val="en-US" w:eastAsia="zh-CN"/>
        </w:rPr>
        <w:t>户</w:t>
      </w:r>
      <w:r>
        <w:rPr>
          <w:rFonts w:hint="default" w:ascii="Times New Roman" w:hAnsi="Times New Roman" w:eastAsia="仿宋_GB2312" w:cs="Times New Roman"/>
          <w:color w:val="auto"/>
          <w:sz w:val="32"/>
          <w:szCs w:val="32"/>
          <w:highlight w:val="none"/>
          <w:lang w:val="en-US" w:eastAsia="zh-CN"/>
        </w:rPr>
        <w:t>390</w:t>
      </w:r>
      <w:r>
        <w:rPr>
          <w:rFonts w:hint="eastAsia" w:ascii="仿宋_GB2312" w:hAnsi="仿宋_GB2312" w:eastAsia="仿宋_GB2312" w:cs="仿宋_GB2312"/>
          <w:color w:val="auto"/>
          <w:sz w:val="32"/>
          <w:szCs w:val="32"/>
          <w:highlight w:val="none"/>
          <w:lang w:val="en-US" w:eastAsia="zh-CN"/>
        </w:rPr>
        <w:t>笔</w:t>
      </w:r>
      <w:r>
        <w:rPr>
          <w:rFonts w:hint="default" w:ascii="Times New Roman" w:hAnsi="Times New Roman" w:eastAsia="仿宋_GB2312" w:cs="Times New Roman"/>
          <w:color w:val="auto"/>
          <w:sz w:val="32"/>
          <w:szCs w:val="32"/>
          <w:highlight w:val="none"/>
          <w:lang w:val="en-US" w:eastAsia="zh-CN"/>
        </w:rPr>
        <w:t>5282</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46</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center"/>
        <w:rPr>
          <w:rFonts w:hint="eastAsia" w:ascii="黑体" w:hAnsi="黑体" w:eastAsia="黑体" w:cs="黑体"/>
          <w:color w:val="auto"/>
          <w:sz w:val="32"/>
          <w:szCs w:val="32"/>
        </w:rPr>
      </w:pPr>
      <w:r>
        <w:rPr>
          <w:rFonts w:hint="eastAsia" w:ascii="黑体" w:hAnsi="黑体" w:eastAsia="黑体" w:cs="黑体"/>
          <w:color w:val="auto"/>
          <w:sz w:val="32"/>
          <w:szCs w:val="32"/>
        </w:rPr>
        <w:t>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三、全部关联交易情况</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月末，本行全部关联交易为授信业务</w:t>
      </w:r>
      <w:r>
        <w:rPr>
          <w:rFonts w:hint="eastAsia" w:ascii="仿宋_GB2312" w:hAnsi="仿宋_GB2312" w:eastAsia="仿宋_GB2312" w:cs="仿宋_GB2312"/>
          <w:color w:val="auto"/>
          <w:sz w:val="32"/>
          <w:szCs w:val="32"/>
          <w:lang w:val="en-US" w:eastAsia="zh-CN"/>
        </w:rPr>
        <w:t>和存款业务</w:t>
      </w:r>
      <w:r>
        <w:rPr>
          <w:rFonts w:hint="eastAsia" w:ascii="仿宋_GB2312" w:hAnsi="仿宋_GB2312" w:eastAsia="仿宋_GB2312" w:cs="仿宋_GB2312"/>
          <w:color w:val="auto"/>
          <w:sz w:val="32"/>
          <w:szCs w:val="32"/>
        </w:rPr>
        <w:t>，本行对全部关联方的授信总额为</w:t>
      </w:r>
      <w:r>
        <w:rPr>
          <w:rFonts w:hint="default" w:ascii="Times New Roman" w:hAnsi="Times New Roman" w:eastAsia="仿宋_GB2312" w:cs="Times New Roman"/>
          <w:color w:val="auto"/>
          <w:sz w:val="32"/>
          <w:szCs w:val="32"/>
          <w:lang w:val="en-US" w:eastAsia="zh-CN"/>
        </w:rPr>
        <w:t>3715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55</w:t>
      </w:r>
      <w:r>
        <w:rPr>
          <w:rFonts w:hint="eastAsia" w:ascii="仿宋_GB2312" w:hAnsi="仿宋_GB2312" w:eastAsia="仿宋_GB2312" w:cs="仿宋_GB2312"/>
          <w:color w:val="auto"/>
          <w:sz w:val="32"/>
          <w:szCs w:val="32"/>
        </w:rPr>
        <w:t>万元，与资本净额占比为</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17</w:t>
      </w:r>
      <w:r>
        <w:rPr>
          <w:rFonts w:hint="eastAsia" w:ascii="仿宋_GB2312" w:hAnsi="仿宋_GB2312" w:eastAsia="仿宋_GB2312" w:cs="仿宋_GB2312"/>
          <w:color w:val="auto"/>
          <w:sz w:val="32"/>
          <w:szCs w:val="32"/>
        </w:rPr>
        <w:t>%，未超出监管机构监管要求（对全部关联方的授信余额不得超过资本净额的</w:t>
      </w:r>
      <w:r>
        <w:rPr>
          <w:rFonts w:hint="default" w:ascii="Times New Roman" w:hAnsi="Times New Roman" w:eastAsia="仿宋_GB2312" w:cs="Times New Roman"/>
          <w:color w:val="auto"/>
          <w:sz w:val="32"/>
          <w:szCs w:val="32"/>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最大一户授信</w:t>
      </w:r>
      <w:r>
        <w:rPr>
          <w:rFonts w:hint="eastAsia" w:ascii="仿宋_GB2312" w:hAnsi="仿宋_GB2312" w:eastAsia="仿宋_GB2312" w:cs="仿宋_GB2312"/>
          <w:color w:val="auto"/>
          <w:sz w:val="32"/>
          <w:szCs w:val="32"/>
        </w:rPr>
        <w:t>与资本净额占比为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未超出监管机构监管要求（对全部关联方的授信余额不得超过资本净额的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最大一户集团授信</w:t>
      </w:r>
      <w:r>
        <w:rPr>
          <w:rFonts w:hint="eastAsia" w:ascii="仿宋_GB2312" w:hAnsi="仿宋_GB2312" w:eastAsia="仿宋_GB2312" w:cs="仿宋_GB2312"/>
          <w:color w:val="auto"/>
          <w:sz w:val="32"/>
          <w:szCs w:val="32"/>
        </w:rPr>
        <w:t>与资本净额占比为</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未超出监管机构监管要求（对全部关联方的授信余额不得超过资本净额的</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center"/>
        <w:rPr>
          <w:rFonts w:ascii="sans-serif" w:hAnsi="sans-serif" w:eastAsia="sans-serif" w:cs="sans-serif"/>
          <w:color w:val="333333"/>
          <w:sz w:val="19"/>
          <w:szCs w:val="19"/>
        </w:rPr>
      </w:pPr>
      <w:r>
        <w:rPr>
          <w:rFonts w:ascii="sans-serif" w:hAnsi="sans-serif" w:eastAsia="sans-serif" w:cs="sans-serif"/>
          <w:color w:val="333333"/>
          <w:sz w:val="19"/>
          <w:szCs w:val="19"/>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center"/>
        <w:rPr>
          <w:rFonts w:ascii="sans-serif" w:hAnsi="sans-serif" w:eastAsia="sans-serif" w:cs="sans-serif"/>
          <w:color w:val="333333"/>
          <w:sz w:val="19"/>
          <w:szCs w:val="19"/>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center"/>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贵州清镇农村商业银行股份有限公司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center"/>
        <w:rPr>
          <w:rFonts w:ascii="仿宋_GB2312" w:hAnsi="仿宋_GB2312" w:eastAsia="仿宋_GB2312" w:cs="仿宋_GB2312"/>
          <w:kern w:val="2"/>
          <w:sz w:val="32"/>
          <w:szCs w:val="32"/>
        </w:rPr>
      </w:pPr>
      <w:r>
        <w:rPr>
          <w:rFonts w:ascii="sans-serif" w:hAnsi="sans-serif" w:eastAsia="sans-serif" w:cs="sans-serif"/>
          <w:color w:val="333333"/>
          <w:sz w:val="19"/>
          <w:szCs w:val="19"/>
        </w:rPr>
        <w:t xml:space="preserve">                                  </w:t>
      </w:r>
      <w:r>
        <w:rPr>
          <w:rFonts w:hint="eastAsia" w:ascii="sans-serif" w:hAnsi="sans-serif" w:cs="sans-serif"/>
          <w:color w:val="333333"/>
          <w:sz w:val="19"/>
          <w:szCs w:val="19"/>
        </w:rPr>
        <w:t xml:space="preserve">             </w:t>
      </w:r>
      <w:r>
        <w:rPr>
          <w:rFonts w:ascii="sans-serif" w:hAnsi="sans-serif" w:eastAsia="sans-serif" w:cs="sans-serif"/>
          <w:color w:val="333333"/>
          <w:sz w:val="19"/>
          <w:szCs w:val="19"/>
        </w:rPr>
        <w:t>         </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5</w:t>
      </w:r>
      <w:r>
        <w:rPr>
          <w:rFonts w:ascii="仿宋_GB2312" w:hAnsi="仿宋_GB2312" w:eastAsia="仿宋_GB2312" w:cs="仿宋_GB2312"/>
          <w:kern w:val="2"/>
          <w:sz w:val="32"/>
          <w:szCs w:val="32"/>
        </w:rPr>
        <w:t>年</w:t>
      </w:r>
      <w:r>
        <w:rPr>
          <w:rFonts w:hint="default" w:ascii="Times New Roman" w:hAnsi="Times New Roman" w:eastAsia="仿宋_GB2312" w:cs="Times New Roman"/>
          <w:kern w:val="2"/>
          <w:sz w:val="32"/>
          <w:szCs w:val="32"/>
          <w:lang w:val="en-US" w:eastAsia="zh-CN"/>
        </w:rPr>
        <w:t>4</w:t>
      </w:r>
      <w:r>
        <w:rPr>
          <w:rFonts w:ascii="仿宋_GB2312" w:hAnsi="仿宋_GB2312" w:eastAsia="仿宋_GB2312" w:cs="仿宋_GB2312"/>
          <w:kern w:val="2"/>
          <w:sz w:val="32"/>
          <w:szCs w:val="32"/>
        </w:rPr>
        <w:t>月</w:t>
      </w:r>
      <w:r>
        <w:rPr>
          <w:rFonts w:hint="default" w:ascii="Times New Roman" w:hAnsi="Times New Roman" w:eastAsia="仿宋_GB2312" w:cs="Times New Roman"/>
          <w:kern w:val="2"/>
          <w:sz w:val="32"/>
          <w:szCs w:val="32"/>
          <w:lang w:val="en-US" w:eastAsia="zh-CN"/>
        </w:rPr>
        <w:t>0</w:t>
      </w:r>
      <w:bookmarkStart w:id="0" w:name="_GoBack"/>
      <w:r>
        <w:rPr>
          <w:rFonts w:hint="default" w:ascii="Times New Roman" w:hAnsi="Times New Roman" w:eastAsia="仿宋_GB2312" w:cs="Times New Roman"/>
          <w:kern w:val="2"/>
          <w:sz w:val="32"/>
          <w:szCs w:val="32"/>
          <w:lang w:val="en-US" w:eastAsia="zh-CN"/>
        </w:rPr>
        <w:t>9</w:t>
      </w:r>
      <w:bookmarkEnd w:id="0"/>
      <w:r>
        <w:rPr>
          <w:rFonts w:ascii="仿宋_GB2312" w:hAnsi="仿宋_GB2312" w:eastAsia="仿宋_GB2312" w:cs="仿宋_GB2312"/>
          <w:kern w:val="2"/>
          <w:sz w:val="32"/>
          <w:szCs w:val="32"/>
        </w:rPr>
        <w:t>日</w:t>
      </w:r>
    </w:p>
    <w:p>
      <w:pPr>
        <w:keepNext w:val="0"/>
        <w:keepLines w:val="0"/>
        <w:pageBreakBefore w:val="0"/>
        <w:kinsoku/>
        <w:wordWrap/>
        <w:overflowPunct/>
        <w:topLinePunct w:val="0"/>
        <w:autoSpaceDE/>
        <w:autoSpaceDN/>
        <w:bidi w:val="0"/>
        <w:adjustRightInd/>
        <w:snapToGrid/>
        <w:spacing w:line="60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rPr>
        <w:sz w:val="18"/>
      </w:rPr>
      <w:pict>
        <v:shape id="_x0000_s4098" o:spid="_x0000_s4098" o:spt="202" type="#_x0000_t202" style="position:absolute;left:0pt;margin-left:0pt;margin-top:0pt;height:12.5pt;width:62.25pt;mso-position-horizontal-relative:margin;z-index:251659264;mso-width-relative:page;mso-height-relative:page;" filled="f" stroked="f" coordsize="21600,21600">
          <v:path/>
          <v:fill on="f" focussize="0,0"/>
          <v:stroke on="f"/>
          <v:imagedata o:title=""/>
          <o:lock v:ext="edit" aspectratio="f"/>
          <v:textbox inset="0mm,0mm,0mm,0mm">
            <w:txbxContent>
              <w:p>
                <w:pPr>
                  <w:rPr>
                    <w:rFonts w:hint="eastAsia"/>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5OGZiZDRiNjA3Y2U0ZDhkODg5YjAxNWEyNzNjM2MifQ=="/>
  </w:docVars>
  <w:rsids>
    <w:rsidRoot w:val="00146BB3"/>
    <w:rsid w:val="00146BB3"/>
    <w:rsid w:val="00156152"/>
    <w:rsid w:val="07CD52EC"/>
    <w:rsid w:val="087A127D"/>
    <w:rsid w:val="194D4897"/>
    <w:rsid w:val="1FEC5866"/>
    <w:rsid w:val="23AF6ED9"/>
    <w:rsid w:val="23DE6932"/>
    <w:rsid w:val="3C360954"/>
    <w:rsid w:val="3FDA1F3A"/>
    <w:rsid w:val="516A5F54"/>
    <w:rsid w:val="57332551"/>
    <w:rsid w:val="592135AC"/>
    <w:rsid w:val="5A2F335E"/>
    <w:rsid w:val="756B2EB1"/>
    <w:rsid w:val="76B462C0"/>
    <w:rsid w:val="78D1180C"/>
    <w:rsid w:val="7B636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spacing w:beforeAutospacing="1" w:afterAutospacing="1"/>
      <w:jc w:val="left"/>
    </w:pPr>
    <w:rPr>
      <w:rFonts w:cs="Times New Roman"/>
      <w:kern w:val="0"/>
      <w:sz w:val="24"/>
    </w:rPr>
  </w:style>
  <w:style w:type="paragraph" w:customStyle="1" w:styleId="6">
    <w:name w:val="正文-公1"/>
    <w:basedOn w:val="7"/>
    <w:next w:val="5"/>
    <w:qFormat/>
    <w:uiPriority w:val="0"/>
    <w:pPr>
      <w:ind w:firstLine="200" w:firstLineChars="200"/>
    </w:pPr>
    <w:rPr>
      <w:rFonts w:ascii="Times New Roman" w:hAnsi="Times New Roman" w:eastAsia="宋体" w:cs="Times New Roman"/>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722</Words>
  <Characters>866</Characters>
  <Lines>5</Lines>
  <Paragraphs>1</Paragraphs>
  <TotalTime>0</TotalTime>
  <ScaleCrop>false</ScaleCrop>
  <LinksUpToDate>false</LinksUpToDate>
  <CharactersWithSpaces>986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2023-10-18T02:50:00Z</dcterms:created>
  <dc:creator>XYL</dc:creator>
  <cp:lastModifiedBy>❦✯Shine✭❧</cp:lastModifiedBy>
  <cp:lastPrinted>2025-04-08T11:12:00Z</cp:lastPrinted>
  <dcterms:modified xsi:type="dcterms:W3CDTF">2025-04-09T00:40:30Z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125E2CD0CF214058A17F6CE7D2BCCAD7_12</vt:lpwstr>
  </property>
</Properties>
</file>