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rPr>
          <w:rStyle w:val="6"/>
          <w:rFonts w:hint="eastAsia" w:ascii="方正小标宋简体" w:hAnsi="方正小标宋简体" w:eastAsia="方正小标宋简体" w:cs="方正小标宋简体"/>
          <w:b w:val="0"/>
          <w:bCs/>
          <w:color w:val="auto"/>
          <w:sz w:val="44"/>
          <w:szCs w:val="44"/>
        </w:rPr>
      </w:pPr>
      <w:r>
        <w:rPr>
          <w:rStyle w:val="6"/>
          <w:rFonts w:hint="eastAsia" w:ascii="方正小标宋简体" w:hAnsi="方正小标宋简体" w:eastAsia="方正小标宋简体" w:cs="方正小标宋简体"/>
          <w:b w:val="0"/>
          <w:bCs/>
          <w:color w:val="auto"/>
          <w:sz w:val="44"/>
          <w:szCs w:val="44"/>
        </w:rPr>
        <w:t>清镇农商银行委外催收及诉讼委托法律</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rPr>
          <w:rFonts w:hint="eastAsia" w:ascii="方正小标宋简体" w:hAnsi="方正小标宋简体" w:eastAsia="方正小标宋简体" w:cs="方正小标宋简体"/>
          <w:b w:val="0"/>
          <w:bCs/>
          <w:color w:val="auto"/>
          <w:sz w:val="44"/>
          <w:szCs w:val="44"/>
        </w:rPr>
      </w:pPr>
      <w:r>
        <w:rPr>
          <w:rStyle w:val="6"/>
          <w:rFonts w:hint="eastAsia" w:ascii="方正小标宋简体" w:hAnsi="方正小标宋简体" w:eastAsia="方正小标宋简体" w:cs="方正小标宋简体"/>
          <w:b w:val="0"/>
          <w:bCs/>
          <w:color w:val="auto"/>
          <w:sz w:val="44"/>
          <w:szCs w:val="44"/>
        </w:rPr>
        <w:t>服务项目入围结果</w:t>
      </w:r>
      <w:r>
        <w:rPr>
          <w:rStyle w:val="6"/>
          <w:rFonts w:hint="eastAsia" w:ascii="方正小标宋简体" w:hAnsi="方正小标宋简体" w:eastAsia="方正小标宋简体" w:cs="方正小标宋简体"/>
          <w:b w:val="0"/>
          <w:bCs/>
          <w:color w:val="auto"/>
          <w:sz w:val="44"/>
          <w:szCs w:val="44"/>
          <w:lang w:val="en-US" w:eastAsia="zh-CN"/>
        </w:rPr>
        <w:t>更正</w:t>
      </w:r>
      <w:r>
        <w:rPr>
          <w:rStyle w:val="6"/>
          <w:rFonts w:hint="eastAsia" w:ascii="方正小标宋简体" w:hAnsi="方正小标宋简体" w:eastAsia="方正小标宋简体" w:cs="方正小标宋简体"/>
          <w:b w:val="0"/>
          <w:bCs/>
          <w:color w:val="auto"/>
          <w:sz w:val="44"/>
          <w:szCs w:val="44"/>
        </w:rPr>
        <w:t>公告</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default" w:ascii="仿宋" w:hAnsi="仿宋" w:eastAsia="仿宋" w:cs="仿宋"/>
          <w:color w:val="auto"/>
          <w:sz w:val="24"/>
          <w:szCs w:val="24"/>
        </w:rPr>
      </w:pP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项目名称</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清镇农商银行委外催收及诉讼委托法律服务项目</w:t>
      </w:r>
    </w:p>
    <w:p>
      <w:pPr>
        <w:pStyle w:val="2"/>
        <w:keepNext w:val="0"/>
        <w:keepLines w:val="0"/>
        <w:pageBreakBefore w:val="0"/>
        <w:widowControl/>
        <w:numPr>
          <w:ilvl w:val="0"/>
          <w:numId w:val="1"/>
        </w:numPr>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黑体" w:hAnsi="黑体" w:eastAsia="黑体" w:cs="黑体"/>
          <w:color w:val="auto"/>
          <w:sz w:val="32"/>
          <w:szCs w:val="32"/>
        </w:rPr>
      </w:pPr>
      <w:r>
        <w:rPr>
          <w:rFonts w:hint="eastAsia" w:ascii="黑体" w:hAnsi="黑体" w:eastAsia="黑体" w:cs="黑体"/>
          <w:color w:val="auto"/>
          <w:sz w:val="32"/>
          <w:szCs w:val="32"/>
        </w:rPr>
        <w:t>项目编号</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SHQ</w:t>
      </w:r>
      <w:r>
        <w:rPr>
          <w:rFonts w:hint="default" w:ascii="Times New Roman" w:hAnsi="Times New Roman" w:eastAsia="仿宋_GB2312" w:cs="Times New Roman"/>
          <w:color w:val="auto"/>
          <w:sz w:val="32"/>
          <w:szCs w:val="32"/>
        </w:rPr>
        <w:t>2025</w:t>
      </w:r>
      <w:r>
        <w:rPr>
          <w:rFonts w:hint="eastAsia" w:ascii="仿宋_GB2312" w:hAnsi="仿宋_GB2312" w:eastAsia="仿宋_GB2312" w:cs="仿宋_GB2312"/>
          <w:color w:val="auto"/>
          <w:sz w:val="32"/>
          <w:szCs w:val="32"/>
        </w:rPr>
        <w:t>ZB-</w:t>
      </w:r>
      <w:r>
        <w:rPr>
          <w:rFonts w:hint="default" w:ascii="Times New Roman" w:hAnsi="Times New Roman" w:eastAsia="仿宋_GB2312" w:cs="Times New Roman"/>
          <w:color w:val="auto"/>
          <w:sz w:val="32"/>
          <w:szCs w:val="32"/>
        </w:rPr>
        <w:t>01</w:t>
      </w:r>
    </w:p>
    <w:p>
      <w:pPr>
        <w:pStyle w:val="2"/>
        <w:keepNext w:val="0"/>
        <w:keepLines w:val="0"/>
        <w:pageBreakBefore w:val="0"/>
        <w:widowControl/>
        <w:numPr>
          <w:ilvl w:val="0"/>
          <w:numId w:val="1"/>
        </w:numPr>
        <w:suppressLineNumbers w:val="0"/>
        <w:kinsoku/>
        <w:wordWrap/>
        <w:overflowPunct/>
        <w:topLinePunct w:val="0"/>
        <w:autoSpaceDE/>
        <w:autoSpaceDN/>
        <w:bidi w:val="0"/>
        <w:adjustRightInd/>
        <w:spacing w:before="75" w:beforeAutospacing="0" w:after="75" w:afterAutospacing="0" w:line="600" w:lineRule="exact"/>
        <w:ind w:left="0" w:leftChars="0" w:right="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rPr>
        <w:t>项目联系人</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杨工</w:t>
      </w:r>
    </w:p>
    <w:p>
      <w:pPr>
        <w:pStyle w:val="2"/>
        <w:keepNext w:val="0"/>
        <w:keepLines w:val="0"/>
        <w:pageBreakBefore w:val="0"/>
        <w:widowControl/>
        <w:numPr>
          <w:ilvl w:val="0"/>
          <w:numId w:val="1"/>
        </w:numPr>
        <w:suppressLineNumbers w:val="0"/>
        <w:kinsoku/>
        <w:wordWrap/>
        <w:overflowPunct/>
        <w:topLinePunct w:val="0"/>
        <w:autoSpaceDE/>
        <w:autoSpaceDN/>
        <w:bidi w:val="0"/>
        <w:adjustRightInd/>
        <w:spacing w:before="75" w:beforeAutospacing="0" w:after="75" w:afterAutospacing="0" w:line="600" w:lineRule="exact"/>
        <w:ind w:left="0" w:leftChars="0" w:right="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rPr>
        <w:t>项目联系电话</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18085086628</w:t>
      </w:r>
    </w:p>
    <w:p>
      <w:pPr>
        <w:pStyle w:val="2"/>
        <w:keepNext w:val="0"/>
        <w:keepLines w:val="0"/>
        <w:pageBreakBefore w:val="0"/>
        <w:widowControl/>
        <w:numPr>
          <w:ilvl w:val="0"/>
          <w:numId w:val="1"/>
        </w:numPr>
        <w:suppressLineNumbers w:val="0"/>
        <w:kinsoku/>
        <w:wordWrap/>
        <w:overflowPunct/>
        <w:topLinePunct w:val="0"/>
        <w:autoSpaceDE/>
        <w:autoSpaceDN/>
        <w:bidi w:val="0"/>
        <w:adjustRightInd/>
        <w:spacing w:before="75" w:beforeAutospacing="0" w:after="75" w:afterAutospacing="0" w:line="600" w:lineRule="exact"/>
        <w:ind w:left="0" w:leftChars="0" w:right="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rPr>
        <w:t>采购方式</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封闭式框架协议</w:t>
      </w:r>
    </w:p>
    <w:p>
      <w:pPr>
        <w:pStyle w:val="2"/>
        <w:keepNext w:val="0"/>
        <w:keepLines w:val="0"/>
        <w:pageBreakBefore w:val="0"/>
        <w:widowControl/>
        <w:numPr>
          <w:ilvl w:val="0"/>
          <w:numId w:val="1"/>
        </w:numPr>
        <w:suppressLineNumbers w:val="0"/>
        <w:kinsoku/>
        <w:wordWrap/>
        <w:overflowPunct/>
        <w:topLinePunct w:val="0"/>
        <w:autoSpaceDE/>
        <w:autoSpaceDN/>
        <w:bidi w:val="0"/>
        <w:adjustRightInd/>
        <w:spacing w:before="30" w:beforeAutospacing="0" w:after="75" w:afterAutospacing="0" w:line="600" w:lineRule="exact"/>
        <w:ind w:left="0" w:leftChars="0" w:right="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rPr>
        <w:t>公告媒体</w:t>
      </w:r>
    </w:p>
    <w:p>
      <w:pPr>
        <w:pStyle w:val="2"/>
        <w:keepNext w:val="0"/>
        <w:keepLines w:val="0"/>
        <w:pageBreakBefore w:val="0"/>
        <w:widowControl/>
        <w:numPr>
          <w:numId w:val="0"/>
        </w:numPr>
        <w:suppressLineNumbers w:val="0"/>
        <w:kinsoku/>
        <w:wordWrap/>
        <w:overflowPunct/>
        <w:topLinePunct w:val="0"/>
        <w:autoSpaceDE/>
        <w:autoSpaceDN/>
        <w:bidi w:val="0"/>
        <w:adjustRightInd/>
        <w:spacing w:before="30" w:beforeAutospacing="0" w:after="75" w:afterAutospacing="0" w:line="600" w:lineRule="exact"/>
        <w:ind w:leftChars="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rPr>
        <w:t>贵州省招标投标公共服务平台及贵州清镇农村商业银行股份有限公司官网</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七、更正</w:t>
      </w:r>
      <w:r>
        <w:rPr>
          <w:rFonts w:hint="eastAsia" w:ascii="黑体" w:hAnsi="黑体" w:eastAsia="黑体" w:cs="黑体"/>
          <w:color w:val="auto"/>
          <w:sz w:val="32"/>
          <w:szCs w:val="32"/>
        </w:rPr>
        <w:t>信息</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更正事项：更正结果</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更正内容：原入围供应商（</w:t>
      </w:r>
      <w:r>
        <w:rPr>
          <w:rFonts w:hint="eastAsia" w:ascii="仿宋_GB2312" w:hAnsi="仿宋_GB2312" w:eastAsia="仿宋_GB2312" w:cs="仿宋_GB2312"/>
          <w:color w:val="auto"/>
          <w:spacing w:val="0"/>
          <w:sz w:val="32"/>
          <w:szCs w:val="32"/>
        </w:rPr>
        <w:t>贵州北斗星律师事务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z w:val="32"/>
          <w:szCs w:val="32"/>
          <w:lang w:val="en-US" w:eastAsia="zh-CN"/>
        </w:rPr>
        <w:t>放弃入围资格，按照征集文件</w:t>
      </w:r>
      <w:r>
        <w:rPr>
          <w:rFonts w:hint="eastAsia" w:ascii="仿宋_GB2312" w:hAnsi="仿宋_GB2312" w:eastAsia="仿宋_GB2312" w:cs="仿宋_GB2312"/>
          <w:color w:val="auto"/>
          <w:spacing w:val="0"/>
          <w:sz w:val="32"/>
          <w:szCs w:val="32"/>
          <w:lang w:val="en-US" w:eastAsia="zh-CN"/>
        </w:rPr>
        <w:t>规定</w:t>
      </w:r>
      <w:r>
        <w:rPr>
          <w:rFonts w:hint="eastAsia" w:ascii="仿宋_GB2312" w:hAnsi="仿宋_GB2312" w:eastAsia="仿宋_GB2312" w:cs="仿宋_GB2312"/>
          <w:color w:val="auto"/>
          <w:spacing w:val="0"/>
          <w:sz w:val="32"/>
          <w:szCs w:val="32"/>
        </w:rPr>
        <w:t>顺延</w:t>
      </w:r>
      <w:r>
        <w:rPr>
          <w:rFonts w:hint="eastAsia" w:ascii="仿宋_GB2312" w:hAnsi="仿宋_GB2312" w:eastAsia="仿宋_GB2312" w:cs="仿宋_GB2312"/>
          <w:color w:val="auto"/>
          <w:spacing w:val="0"/>
          <w:sz w:val="32"/>
          <w:szCs w:val="32"/>
          <w:lang w:val="en-US" w:eastAsia="zh-CN"/>
        </w:rPr>
        <w:t>至第五入围候选人（</w:t>
      </w:r>
      <w:r>
        <w:rPr>
          <w:rFonts w:hint="eastAsia" w:ascii="仿宋_GB2312" w:hAnsi="仿宋_GB2312" w:eastAsia="仿宋_GB2312" w:cs="仿宋_GB2312"/>
          <w:color w:val="auto"/>
          <w:spacing w:val="0"/>
          <w:sz w:val="32"/>
          <w:szCs w:val="32"/>
          <w:lang w:eastAsia="zh-CN"/>
        </w:rPr>
        <w:t>贵州新瑞林阳律师事务所</w:t>
      </w:r>
      <w:r>
        <w:rPr>
          <w:rFonts w:hint="eastAsia" w:ascii="仿宋_GB2312" w:hAnsi="仿宋_GB2312" w:eastAsia="仿宋_GB2312" w:cs="仿宋_GB2312"/>
          <w:color w:val="auto"/>
          <w:spacing w:val="0"/>
          <w:sz w:val="32"/>
          <w:szCs w:val="32"/>
          <w:lang w:val="en-US" w:eastAsia="zh-CN"/>
        </w:rPr>
        <w:t>）为本项目的入围供应商。成交金额为</w:t>
      </w:r>
      <w:r>
        <w:rPr>
          <w:rFonts w:hint="eastAsia" w:ascii="仿宋_GB2312" w:hAnsi="仿宋_GB2312" w:eastAsia="仿宋_GB2312" w:cs="仿宋_GB2312"/>
          <w:b w:val="0"/>
          <w:bCs w:val="0"/>
          <w:i w:val="0"/>
          <w:snapToGrid w:val="0"/>
          <w:color w:val="auto"/>
          <w:kern w:val="0"/>
          <w:sz w:val="32"/>
          <w:szCs w:val="32"/>
          <w:highlight w:val="none"/>
          <w:u w:val="none"/>
          <w:lang w:val="en-US" w:eastAsia="zh-CN" w:bidi="ar"/>
        </w:rPr>
        <w:t>委外催收</w:t>
      </w:r>
      <w:r>
        <w:rPr>
          <w:rFonts w:hint="eastAsia" w:ascii="仿宋_GB2312" w:hAnsi="仿宋_GB2312" w:eastAsia="仿宋_GB2312" w:cs="仿宋_GB2312"/>
          <w:b w:val="0"/>
          <w:bCs w:val="0"/>
          <w:color w:val="auto"/>
          <w:spacing w:val="12"/>
          <w:sz w:val="32"/>
          <w:szCs w:val="32"/>
          <w:highlight w:val="none"/>
          <w:lang w:val="en-US" w:eastAsia="zh-CN"/>
        </w:rPr>
        <w:t>前期代理费和</w:t>
      </w:r>
      <w:r>
        <w:rPr>
          <w:rFonts w:hint="eastAsia" w:ascii="仿宋_GB2312" w:hAnsi="仿宋_GB2312" w:eastAsia="仿宋_GB2312" w:cs="仿宋_GB2312"/>
          <w:b w:val="0"/>
          <w:bCs w:val="0"/>
          <w:i w:val="0"/>
          <w:snapToGrid w:val="0"/>
          <w:color w:val="auto"/>
          <w:kern w:val="0"/>
          <w:sz w:val="32"/>
          <w:szCs w:val="32"/>
          <w:highlight w:val="none"/>
          <w:u w:val="none"/>
          <w:lang w:val="en-US" w:eastAsia="zh-CN" w:bidi="ar"/>
        </w:rPr>
        <w:t>诉讼催收</w:t>
      </w:r>
      <w:r>
        <w:rPr>
          <w:rFonts w:hint="eastAsia" w:ascii="仿宋_GB2312" w:hAnsi="仿宋_GB2312" w:eastAsia="仿宋_GB2312" w:cs="仿宋_GB2312"/>
          <w:b w:val="0"/>
          <w:bCs w:val="0"/>
          <w:color w:val="auto"/>
          <w:spacing w:val="12"/>
          <w:sz w:val="32"/>
          <w:szCs w:val="32"/>
          <w:highlight w:val="none"/>
          <w:lang w:val="en-US" w:eastAsia="zh-CN"/>
        </w:rPr>
        <w:t>前期代理费：</w:t>
      </w:r>
      <w:r>
        <w:rPr>
          <w:rFonts w:hint="eastAsia" w:ascii="仿宋_GB2312" w:hAnsi="仿宋_GB2312" w:eastAsia="仿宋_GB2312" w:cs="仿宋_GB2312"/>
          <w:b w:val="0"/>
          <w:bCs w:val="0"/>
          <w:i w:val="0"/>
          <w:snapToGrid w:val="0"/>
          <w:color w:val="auto"/>
          <w:kern w:val="0"/>
          <w:sz w:val="32"/>
          <w:szCs w:val="32"/>
          <w:highlight w:val="none"/>
          <w:u w:val="none"/>
          <w:lang w:val="en-US" w:eastAsia="zh-CN" w:bidi="ar"/>
        </w:rPr>
        <w:t>（</w:t>
      </w:r>
      <w:r>
        <w:rPr>
          <w:rFonts w:hint="default" w:ascii="Times New Roman" w:hAnsi="Times New Roman" w:eastAsia="仿宋_GB2312" w:cs="Times New Roman"/>
          <w:b w:val="0"/>
          <w:bCs w:val="0"/>
          <w:i w:val="0"/>
          <w:snapToGrid w:val="0"/>
          <w:color w:val="auto"/>
          <w:kern w:val="0"/>
          <w:sz w:val="32"/>
          <w:szCs w:val="32"/>
          <w:highlight w:val="none"/>
          <w:u w:val="none"/>
          <w:lang w:val="en-US" w:eastAsia="zh-CN" w:bidi="ar"/>
        </w:rPr>
        <w:t>1</w:t>
      </w:r>
      <w:r>
        <w:rPr>
          <w:rFonts w:hint="eastAsia" w:ascii="仿宋_GB2312" w:hAnsi="仿宋_GB2312" w:eastAsia="仿宋_GB2312" w:cs="仿宋_GB2312"/>
          <w:b w:val="0"/>
          <w:bCs w:val="0"/>
          <w:i w:val="0"/>
          <w:snapToGrid w:val="0"/>
          <w:color w:val="auto"/>
          <w:kern w:val="0"/>
          <w:sz w:val="32"/>
          <w:szCs w:val="32"/>
          <w:highlight w:val="none"/>
          <w:u w:val="none"/>
          <w:lang w:val="en-US" w:eastAsia="zh-CN" w:bidi="ar"/>
        </w:rPr>
        <w:t>）委外催收前期代理费为</w:t>
      </w:r>
      <w:r>
        <w:rPr>
          <w:rFonts w:hint="default" w:ascii="Times New Roman" w:hAnsi="Times New Roman" w:eastAsia="仿宋_GB2312" w:cs="Times New Roman"/>
          <w:b w:val="0"/>
          <w:bCs w:val="0"/>
          <w:i w:val="0"/>
          <w:snapToGrid w:val="0"/>
          <w:color w:val="auto"/>
          <w:kern w:val="0"/>
          <w:sz w:val="32"/>
          <w:szCs w:val="32"/>
          <w:highlight w:val="none"/>
          <w:u w:val="none"/>
          <w:lang w:val="en-US" w:eastAsia="zh-CN" w:bidi="ar"/>
        </w:rPr>
        <w:t>0</w:t>
      </w:r>
      <w:r>
        <w:rPr>
          <w:rFonts w:hint="eastAsia" w:ascii="仿宋_GB2312" w:hAnsi="仿宋_GB2312" w:eastAsia="仿宋_GB2312" w:cs="仿宋_GB2312"/>
          <w:b w:val="0"/>
          <w:bCs w:val="0"/>
          <w:i w:val="0"/>
          <w:snapToGrid w:val="0"/>
          <w:color w:val="auto"/>
          <w:kern w:val="0"/>
          <w:sz w:val="32"/>
          <w:szCs w:val="32"/>
          <w:highlight w:val="none"/>
          <w:u w:val="none"/>
          <w:lang w:val="en-US" w:eastAsia="zh-CN" w:bidi="ar"/>
        </w:rPr>
        <w:t>元。（</w:t>
      </w:r>
      <w:r>
        <w:rPr>
          <w:rFonts w:hint="default" w:ascii="Times New Roman" w:hAnsi="Times New Roman" w:eastAsia="仿宋_GB2312" w:cs="Times New Roman"/>
          <w:b w:val="0"/>
          <w:bCs w:val="0"/>
          <w:i w:val="0"/>
          <w:snapToGrid w:val="0"/>
          <w:color w:val="auto"/>
          <w:kern w:val="0"/>
          <w:sz w:val="32"/>
          <w:szCs w:val="32"/>
          <w:highlight w:val="none"/>
          <w:u w:val="none"/>
          <w:lang w:val="en-US" w:eastAsia="zh-CN" w:bidi="ar"/>
        </w:rPr>
        <w:t>2</w:t>
      </w:r>
      <w:r>
        <w:rPr>
          <w:rFonts w:hint="eastAsia" w:ascii="仿宋_GB2312" w:hAnsi="仿宋_GB2312" w:eastAsia="仿宋_GB2312" w:cs="仿宋_GB2312"/>
          <w:b w:val="0"/>
          <w:bCs w:val="0"/>
          <w:i w:val="0"/>
          <w:snapToGrid w:val="0"/>
          <w:color w:val="auto"/>
          <w:kern w:val="0"/>
          <w:sz w:val="32"/>
          <w:szCs w:val="32"/>
          <w:highlight w:val="none"/>
          <w:u w:val="none"/>
          <w:lang w:val="en-US" w:eastAsia="zh-CN" w:bidi="ar"/>
        </w:rPr>
        <w:t>）诉讼催收</w:t>
      </w:r>
      <w:r>
        <w:rPr>
          <w:rFonts w:hint="eastAsia" w:ascii="仿宋_GB2312" w:hAnsi="仿宋_GB2312" w:eastAsia="仿宋_GB2312" w:cs="仿宋_GB2312"/>
          <w:b w:val="0"/>
          <w:bCs w:val="0"/>
          <w:color w:val="auto"/>
          <w:spacing w:val="12"/>
          <w:sz w:val="32"/>
          <w:szCs w:val="32"/>
          <w:highlight w:val="none"/>
          <w:lang w:val="en-US" w:eastAsia="zh-CN"/>
        </w:rPr>
        <w:t>前期代理费贷</w:t>
      </w:r>
      <w:r>
        <w:rPr>
          <w:rFonts w:hint="eastAsia" w:ascii="仿宋_GB2312" w:hAnsi="仿宋_GB2312" w:eastAsia="仿宋_GB2312" w:cs="仿宋_GB2312"/>
          <w:color w:val="auto"/>
          <w:spacing w:val="12"/>
          <w:sz w:val="32"/>
          <w:szCs w:val="32"/>
          <w:highlight w:val="none"/>
          <w:lang w:val="en-US" w:eastAsia="zh-CN"/>
        </w:rPr>
        <w:t>款本金在</w:t>
      </w:r>
      <w:r>
        <w:rPr>
          <w:rFonts w:hint="default" w:ascii="Times New Roman" w:hAnsi="Times New Roman" w:eastAsia="仿宋_GB2312" w:cs="Times New Roman"/>
          <w:color w:val="auto"/>
          <w:spacing w:val="12"/>
          <w:sz w:val="32"/>
          <w:szCs w:val="32"/>
          <w:highlight w:val="none"/>
          <w:lang w:val="en-US" w:eastAsia="zh-CN"/>
        </w:rPr>
        <w:t>300</w:t>
      </w:r>
      <w:r>
        <w:rPr>
          <w:rFonts w:hint="eastAsia" w:ascii="仿宋_GB2312" w:hAnsi="仿宋_GB2312" w:eastAsia="仿宋_GB2312" w:cs="仿宋_GB2312"/>
          <w:color w:val="auto"/>
          <w:spacing w:val="12"/>
          <w:sz w:val="32"/>
          <w:szCs w:val="32"/>
          <w:highlight w:val="none"/>
          <w:lang w:val="en-US" w:eastAsia="zh-CN"/>
        </w:rPr>
        <w:t>万元（含）以下的，前期代理费拟按</w:t>
      </w:r>
      <w:r>
        <w:rPr>
          <w:rFonts w:hint="default" w:ascii="Times New Roman" w:hAnsi="Times New Roman" w:eastAsia="仿宋_GB2312" w:cs="Times New Roman"/>
          <w:color w:val="auto"/>
          <w:spacing w:val="12"/>
          <w:sz w:val="32"/>
          <w:szCs w:val="32"/>
          <w:highlight w:val="none"/>
          <w:lang w:val="en-US" w:eastAsia="zh-CN"/>
        </w:rPr>
        <w:t>500</w:t>
      </w:r>
      <w:r>
        <w:rPr>
          <w:rFonts w:hint="eastAsia" w:ascii="仿宋_GB2312" w:hAnsi="仿宋_GB2312" w:eastAsia="仿宋_GB2312" w:cs="仿宋_GB2312"/>
          <w:color w:val="auto"/>
          <w:spacing w:val="12"/>
          <w:sz w:val="32"/>
          <w:szCs w:val="32"/>
          <w:highlight w:val="none"/>
          <w:lang w:val="en-US" w:eastAsia="zh-CN"/>
        </w:rPr>
        <w:t>元/件。贷款本金在</w:t>
      </w:r>
      <w:r>
        <w:rPr>
          <w:rFonts w:hint="default" w:ascii="Times New Roman" w:hAnsi="Times New Roman" w:eastAsia="仿宋_GB2312" w:cs="Times New Roman"/>
          <w:color w:val="auto"/>
          <w:spacing w:val="12"/>
          <w:sz w:val="32"/>
          <w:szCs w:val="32"/>
          <w:highlight w:val="none"/>
          <w:lang w:val="en-US" w:eastAsia="zh-CN"/>
        </w:rPr>
        <w:t>300</w:t>
      </w:r>
      <w:r>
        <w:rPr>
          <w:rFonts w:hint="eastAsia" w:ascii="仿宋_GB2312" w:hAnsi="仿宋_GB2312" w:eastAsia="仿宋_GB2312" w:cs="仿宋_GB2312"/>
          <w:color w:val="auto"/>
          <w:spacing w:val="12"/>
          <w:sz w:val="32"/>
          <w:szCs w:val="32"/>
          <w:highlight w:val="none"/>
          <w:lang w:val="en-US" w:eastAsia="zh-CN"/>
        </w:rPr>
        <w:t>万元以上的，前期代理费拟按</w:t>
      </w:r>
      <w:r>
        <w:rPr>
          <w:rFonts w:hint="default" w:ascii="Times New Roman" w:hAnsi="Times New Roman" w:eastAsia="仿宋_GB2312" w:cs="Times New Roman"/>
          <w:color w:val="auto"/>
          <w:spacing w:val="12"/>
          <w:sz w:val="32"/>
          <w:szCs w:val="32"/>
          <w:highlight w:val="none"/>
          <w:lang w:val="en-US" w:eastAsia="zh-CN"/>
        </w:rPr>
        <w:t>800</w:t>
      </w:r>
      <w:r>
        <w:rPr>
          <w:rFonts w:hint="eastAsia" w:ascii="仿宋_GB2312" w:hAnsi="仿宋_GB2312" w:eastAsia="仿宋_GB2312" w:cs="仿宋_GB2312"/>
          <w:color w:val="auto"/>
          <w:spacing w:val="12"/>
          <w:sz w:val="32"/>
          <w:szCs w:val="32"/>
          <w:highlight w:val="none"/>
          <w:lang w:val="en-US" w:eastAsia="zh-CN"/>
        </w:rPr>
        <w:t>元/件收取。</w:t>
      </w:r>
      <w:r>
        <w:rPr>
          <w:rFonts w:hint="eastAsia" w:ascii="仿宋_GB2312" w:hAnsi="仿宋_GB2312" w:eastAsia="仿宋_GB2312" w:cs="仿宋_GB2312"/>
          <w:b w:val="0"/>
          <w:bCs w:val="0"/>
          <w:color w:val="auto"/>
          <w:spacing w:val="12"/>
          <w:sz w:val="32"/>
          <w:szCs w:val="32"/>
          <w:highlight w:val="none"/>
          <w:lang w:val="en-US" w:eastAsia="zh-CN"/>
        </w:rPr>
        <w:t>委外催收风险代理费和诉讼催收风险代理费：下浮</w:t>
      </w:r>
      <w:r>
        <w:rPr>
          <w:rFonts w:hint="default" w:ascii="Times New Roman" w:hAnsi="Times New Roman" w:eastAsia="仿宋_GB2312" w:cs="Times New Roman"/>
          <w:b w:val="0"/>
          <w:bCs w:val="0"/>
          <w:color w:val="auto"/>
          <w:spacing w:val="12"/>
          <w:sz w:val="32"/>
          <w:szCs w:val="32"/>
          <w:highlight w:val="none"/>
          <w:lang w:val="en-US" w:eastAsia="zh-CN"/>
        </w:rPr>
        <w:t>10</w:t>
      </w:r>
      <w:r>
        <w:rPr>
          <w:rFonts w:hint="eastAsia" w:ascii="仿宋_GB2312" w:hAnsi="仿宋_GB2312" w:eastAsia="仿宋_GB2312" w:cs="仿宋_GB2312"/>
          <w:b w:val="0"/>
          <w:bCs w:val="0"/>
          <w:color w:val="auto"/>
          <w:spacing w:val="12"/>
          <w:sz w:val="32"/>
          <w:szCs w:val="32"/>
          <w:highlight w:val="none"/>
          <w:lang w:val="en-US" w:eastAsia="zh-CN"/>
        </w:rPr>
        <w:t>%。</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评审小组名单</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李金升、 徐庆、罗泽人、经志刚、张延宝</w:t>
      </w:r>
    </w:p>
    <w:p>
      <w:pPr>
        <w:pStyle w:val="2"/>
        <w:keepNext w:val="0"/>
        <w:keepLines w:val="0"/>
        <w:pageBreakBefore w:val="0"/>
        <w:widowControl/>
        <w:numPr>
          <w:ilvl w:val="0"/>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九、公告期限</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自本公告发布之日起</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个工作日</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代理服务费</w:t>
      </w:r>
    </w:p>
    <w:p>
      <w:pPr>
        <w:pStyle w:val="2"/>
        <w:keepNext w:val="0"/>
        <w:keepLines w:val="0"/>
        <w:pageBreakBefore w:val="0"/>
        <w:widowControl/>
        <w:numPr>
          <w:numId w:val="0"/>
        </w:numPr>
        <w:suppressLineNumbers w:val="0"/>
        <w:kinsoku/>
        <w:wordWrap/>
        <w:overflowPunct/>
        <w:topLinePunct w:val="0"/>
        <w:autoSpaceDE/>
        <w:autoSpaceDN/>
        <w:bidi w:val="0"/>
        <w:adjustRightInd/>
        <w:spacing w:before="75" w:beforeAutospacing="0" w:after="75" w:afterAutospacing="0" w:line="600" w:lineRule="exact"/>
        <w:ind w:leftChars="0" w:right="0" w:rightChars="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2500</w:t>
      </w:r>
      <w:r>
        <w:rPr>
          <w:rFonts w:hint="eastAsia" w:ascii="仿宋_GB2312" w:hAnsi="仿宋_GB2312" w:eastAsia="仿宋_GB2312" w:cs="仿宋_GB2312"/>
          <w:color w:val="auto"/>
          <w:sz w:val="32"/>
          <w:szCs w:val="32"/>
        </w:rPr>
        <w:t>元/家收取</w:t>
      </w:r>
    </w:p>
    <w:p>
      <w:pPr>
        <w:pStyle w:val="2"/>
        <w:keepNext w:val="0"/>
        <w:keepLines w:val="0"/>
        <w:pageBreakBefore w:val="0"/>
        <w:widowControl/>
        <w:suppressLineNumbers w:val="0"/>
        <w:kinsoku/>
        <w:wordWrap/>
        <w:overflowPunct/>
        <w:topLinePunct w:val="0"/>
        <w:autoSpaceDE/>
        <w:autoSpaceDN/>
        <w:bidi w:val="0"/>
        <w:adjustRightInd/>
        <w:spacing w:before="180" w:beforeAutospacing="0" w:after="75" w:afterAutospacing="0" w:line="600" w:lineRule="exact"/>
        <w:ind w:left="0" w:right="0"/>
        <w:textAlignment w:val="baseline"/>
        <w:rPr>
          <w:rFonts w:hint="eastAsia" w:ascii="黑体" w:hAnsi="黑体" w:eastAsia="黑体" w:cs="黑体"/>
          <w:color w:val="auto"/>
          <w:sz w:val="32"/>
          <w:szCs w:val="32"/>
        </w:rPr>
      </w:pPr>
      <w:r>
        <w:rPr>
          <w:rFonts w:hint="eastAsia" w:ascii="黑体" w:hAnsi="黑体" w:eastAsia="黑体" w:cs="黑体"/>
          <w:color w:val="auto"/>
          <w:spacing w:val="0"/>
          <w:sz w:val="32"/>
          <w:szCs w:val="32"/>
          <w:vertAlign w:val="baseline"/>
          <w:lang w:val="en-US" w:eastAsia="zh-CN"/>
        </w:rPr>
        <w:t>十一、</w:t>
      </w:r>
      <w:r>
        <w:rPr>
          <w:rFonts w:hint="eastAsia" w:ascii="黑体" w:hAnsi="黑体" w:eastAsia="黑体" w:cs="黑体"/>
          <w:color w:val="auto"/>
          <w:spacing w:val="0"/>
          <w:sz w:val="32"/>
          <w:szCs w:val="32"/>
          <w:vertAlign w:val="baseline"/>
        </w:rPr>
        <w:t>征 集 人</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征集人名称：贵州清镇农村商业银行股份有限公司</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地址：贵州省贵阳市清镇市青龙街道办事处云岭东路</w:t>
      </w:r>
      <w:r>
        <w:rPr>
          <w:rFonts w:hint="default" w:ascii="Times New Roman" w:hAnsi="Times New Roman" w:eastAsia="仿宋_GB2312" w:cs="Times New Roman"/>
          <w:color w:val="auto"/>
          <w:sz w:val="32"/>
          <w:szCs w:val="32"/>
          <w:lang w:val="en-US" w:eastAsia="zh-CN"/>
        </w:rPr>
        <w:t>43</w:t>
      </w:r>
      <w:r>
        <w:rPr>
          <w:rFonts w:hint="eastAsia" w:ascii="仿宋_GB2312" w:hAnsi="仿宋_GB2312" w:eastAsia="仿宋_GB2312" w:cs="仿宋_GB2312"/>
          <w:color w:val="auto"/>
          <w:sz w:val="32"/>
          <w:szCs w:val="32"/>
          <w:lang w:val="en-US" w:eastAsia="zh-CN"/>
        </w:rPr>
        <w:t>号</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联系人：集采办</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联系电话/传真：</w:t>
      </w:r>
      <w:r>
        <w:rPr>
          <w:rFonts w:hint="default" w:ascii="Times New Roman" w:hAnsi="Times New Roman" w:eastAsia="仿宋_GB2312" w:cs="Times New Roman"/>
          <w:color w:val="auto"/>
          <w:sz w:val="32"/>
          <w:szCs w:val="32"/>
        </w:rPr>
        <w:t>0851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82600367</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十二、</w:t>
      </w:r>
      <w:r>
        <w:rPr>
          <w:rFonts w:hint="eastAsia" w:ascii="黑体" w:hAnsi="黑体" w:eastAsia="黑体" w:cs="黑体"/>
          <w:color w:val="auto"/>
          <w:sz w:val="32"/>
          <w:szCs w:val="32"/>
        </w:rPr>
        <w:t>代理机构</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名称：贵州三合庆工程咨询有限公司</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地址：贵州省贵阳市云岩区延安西路</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auto"/>
          <w:sz w:val="32"/>
          <w:szCs w:val="32"/>
        </w:rPr>
        <w:t>号中国银行后面</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楼</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联系人：杨工</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联系电话/传真：</w:t>
      </w:r>
      <w:r>
        <w:rPr>
          <w:rFonts w:hint="default" w:ascii="Times New Roman" w:hAnsi="Times New Roman" w:eastAsia="仿宋_GB2312" w:cs="Times New Roman"/>
          <w:color w:val="auto"/>
          <w:sz w:val="32"/>
          <w:szCs w:val="32"/>
        </w:rPr>
        <w:t>18085086628</w:t>
      </w: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firstLine="4800" w:firstLineChars="1500"/>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日</w:t>
      </w:r>
    </w:p>
    <w:p>
      <w:pPr>
        <w:keepNext w:val="0"/>
        <w:keepLines w:val="0"/>
        <w:pageBreakBefore w:val="0"/>
        <w:kinsoku/>
        <w:wordWrap/>
        <w:overflowPunct/>
        <w:topLinePunct w:val="0"/>
        <w:autoSpaceDE/>
        <w:autoSpaceDN/>
        <w:bidi w:val="0"/>
        <w:adjustRightInd/>
        <w:spacing w:line="600" w:lineRule="exact"/>
        <w:rPr>
          <w:rFonts w:hint="eastAsia" w:ascii="仿宋_GB2312" w:hAnsi="仿宋_GB2312" w:eastAsia="仿宋_GB2312" w:cs="仿宋_GB2312"/>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B66E7"/>
    <w:multiLevelType w:val="singleLevel"/>
    <w:tmpl w:val="63DB66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96D2A"/>
    <w:rsid w:val="08122176"/>
    <w:rsid w:val="086F75C9"/>
    <w:rsid w:val="0A206DCD"/>
    <w:rsid w:val="0BF26547"/>
    <w:rsid w:val="18245CDA"/>
    <w:rsid w:val="1AA8344A"/>
    <w:rsid w:val="1CBB4733"/>
    <w:rsid w:val="210E5779"/>
    <w:rsid w:val="2B8A00F2"/>
    <w:rsid w:val="30077F63"/>
    <w:rsid w:val="382D0783"/>
    <w:rsid w:val="39696D2A"/>
    <w:rsid w:val="3B8B1A48"/>
    <w:rsid w:val="3E09134A"/>
    <w:rsid w:val="3E18333B"/>
    <w:rsid w:val="414A5F02"/>
    <w:rsid w:val="437127CD"/>
    <w:rsid w:val="47AF2F63"/>
    <w:rsid w:val="4E404914"/>
    <w:rsid w:val="4E8D5680"/>
    <w:rsid w:val="55BF0815"/>
    <w:rsid w:val="5AB20948"/>
    <w:rsid w:val="749173C8"/>
    <w:rsid w:val="78D9133E"/>
    <w:rsid w:val="7CA7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2025-04-01T08:53:00Z</dcterms:created>
  <dc:creator>aile</dc:creator>
  <cp:lastModifiedBy>106623-董婧玮</cp:lastModifiedBy>
  <dcterms:modified xsi:type="dcterms:W3CDTF">2025-04-02T00:46:31Z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048342AA7E2D49C88C493F5D02B5989D_13</vt:lpwstr>
  </property>
  <property fmtid="{D5CDD505-2E9C-101B-9397-08002B2CF9AE}" pid="4" name="KSOTemplateDocerSaveRecord">
    <vt:lpwstr>eyJoZGlkIjoiZTFkMDIwZjVkNGE4Y2Q3MWQ0NzJiZTlkYzczNGYyYmUiLCJ1c2VySWQiOiIzMjI1NjMxMDYifQ==</vt:lpwstr>
  </property>
</Properties>
</file>