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center"/>
        <w:textAlignment w:val="baseline"/>
        <w:rPr>
          <w:rFonts w:hint="eastAsia" w:ascii="方正小标宋简体" w:hAnsi="方正小标宋简体" w:eastAsia="方正小标宋简体" w:cs="方正小标宋简体"/>
          <w:b w:val="0"/>
          <w:bCs w:val="0"/>
          <w:color w:val="0D0D0D" w:themeColor="text1" w:themeTint="F2"/>
          <w:sz w:val="44"/>
          <w:szCs w:val="44"/>
          <w:highlight w:val="none"/>
          <w:lang w:eastAsia="zh-CN"/>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b w:val="0"/>
          <w:bCs w:val="0"/>
          <w:color w:val="0D0D0D" w:themeColor="text1" w:themeTint="F2"/>
          <w:sz w:val="44"/>
          <w:szCs w:val="44"/>
          <w:highlight w:val="none"/>
          <w:lang w:val="en-US" w:eastAsia="zh-CN"/>
          <w14:textFill>
            <w14:solidFill>
              <w14:schemeClr w14:val="tx1">
                <w14:lumMod w14:val="95000"/>
                <w14:lumOff w14:val="5000"/>
              </w14:schemeClr>
            </w14:solidFill>
          </w14:textFill>
        </w:rPr>
        <w:t>清镇农商银行二楼及夹层档案中心档案架采购项目采购</w:t>
      </w:r>
      <w:r>
        <w:rPr>
          <w:rFonts w:hint="eastAsia" w:ascii="方正小标宋简体" w:hAnsi="方正小标宋简体" w:eastAsia="方正小标宋简体" w:cs="方正小标宋简体"/>
          <w:b w:val="0"/>
          <w:bCs w:val="0"/>
          <w:color w:val="0D0D0D" w:themeColor="text1" w:themeTint="F2"/>
          <w:sz w:val="44"/>
          <w:szCs w:val="44"/>
          <w:highlight w:val="none"/>
          <w:lang w:eastAsia="zh-CN"/>
          <w14:textFill>
            <w14:solidFill>
              <w14:schemeClr w14:val="tx1">
                <w14:lumMod w14:val="95000"/>
                <w14:lumOff w14:val="5000"/>
              </w14:schemeClr>
            </w14:solidFill>
          </w14:textFill>
        </w:rPr>
        <w:t>公告</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ascii="宋体" w:hAnsi="宋体" w:cs="宋体"/>
          <w:color w:val="0D0D0D" w:themeColor="text1" w:themeTint="F2"/>
          <w:highlight w:val="none"/>
          <w:lang w:eastAsia="zh-CN"/>
          <w14:textFill>
            <w14:solidFill>
              <w14:schemeClr w14:val="tx1">
                <w14:lumMod w14:val="95000"/>
                <w14:lumOff w14:val="5000"/>
              </w14:schemeClr>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outlineLvl w:val="1"/>
        <w:rPr>
          <w:rFonts w:hint="eastAsia" w:ascii="黑体" w:hAnsi="黑体" w:eastAsia="黑体" w:cs="黑体"/>
          <w:b w:val="0"/>
          <w:bCs w:val="0"/>
          <w:color w:val="0D0D0D" w:themeColor="text1" w:themeTint="F2"/>
          <w:sz w:val="32"/>
          <w:szCs w:val="32"/>
          <w:highlight w:val="none"/>
          <w:lang w:eastAsia="zh-CN"/>
          <w14:textFill>
            <w14:solidFill>
              <w14:schemeClr w14:val="tx1">
                <w14:lumMod w14:val="95000"/>
                <w14:lumOff w14:val="5000"/>
              </w14:schemeClr>
            </w14:solidFill>
          </w14:textFill>
        </w:rPr>
      </w:pPr>
      <w:bookmarkStart w:id="0" w:name="_Toc18099"/>
      <w:r>
        <w:rPr>
          <w:rFonts w:hint="eastAsia" w:ascii="黑体" w:hAnsi="黑体" w:eastAsia="黑体" w:cs="黑体"/>
          <w:b w:val="0"/>
          <w:bCs w:val="0"/>
          <w:color w:val="0D0D0D" w:themeColor="text1" w:themeTint="F2"/>
          <w:sz w:val="32"/>
          <w:szCs w:val="32"/>
          <w:highlight w:val="none"/>
          <w:lang w:val="en-US" w:eastAsia="zh-CN"/>
          <w14:textFill>
            <w14:solidFill>
              <w14:schemeClr w14:val="tx1">
                <w14:lumMod w14:val="95000"/>
                <w14:lumOff w14:val="5000"/>
              </w14:schemeClr>
            </w14:solidFill>
          </w14:textFill>
        </w:rPr>
        <w:t>一、采购</w:t>
      </w:r>
      <w:r>
        <w:rPr>
          <w:rFonts w:hint="eastAsia" w:ascii="黑体" w:hAnsi="黑体" w:eastAsia="黑体" w:cs="黑体"/>
          <w:b w:val="0"/>
          <w:bCs w:val="0"/>
          <w:color w:val="0D0D0D" w:themeColor="text1" w:themeTint="F2"/>
          <w:sz w:val="32"/>
          <w:szCs w:val="32"/>
          <w:highlight w:val="none"/>
          <w:lang w:eastAsia="zh-CN"/>
          <w14:textFill>
            <w14:solidFill>
              <w14:schemeClr w14:val="tx1">
                <w14:lumMod w14:val="95000"/>
                <w14:lumOff w14:val="5000"/>
              </w14:schemeClr>
            </w14:solidFill>
          </w14:textFill>
        </w:rPr>
        <w:t>条件</w:t>
      </w:r>
      <w:bookmarkEnd w:id="0"/>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本采购项目</w:t>
      </w:r>
      <w:r>
        <w:rPr>
          <w:rFonts w:hint="eastAsia" w:ascii="仿宋_GB2312" w:hAnsi="仿宋_GB2312" w:eastAsia="仿宋_GB2312" w:cs="仿宋_GB2312"/>
          <w:color w:val="0D0D0D" w:themeColor="text1" w:themeTint="F2"/>
          <w:sz w:val="32"/>
          <w:szCs w:val="32"/>
          <w:highlight w:val="none"/>
          <w:u w:val="single"/>
          <w:lang w:val="en-US" w:eastAsia="zh-CN"/>
          <w14:textFill>
            <w14:solidFill>
              <w14:schemeClr w14:val="tx1">
                <w14:lumMod w14:val="95000"/>
                <w14:lumOff w14:val="5000"/>
              </w14:schemeClr>
            </w14:solidFill>
          </w14:textFill>
        </w:rPr>
        <w:t>清镇农商银行二楼及夹层档案中心档案架采购项目</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采购人为</w:t>
      </w:r>
      <w:r>
        <w:rPr>
          <w:rFonts w:hint="eastAsia" w:ascii="仿宋_GB2312" w:hAnsi="仿宋_GB2312" w:eastAsia="仿宋_GB2312" w:cs="仿宋_GB2312"/>
          <w:color w:val="0D0D0D" w:themeColor="text1" w:themeTint="F2"/>
          <w:sz w:val="32"/>
          <w:szCs w:val="32"/>
          <w:highlight w:val="none"/>
          <w:u w:val="single"/>
          <w:lang w:eastAsia="zh-CN"/>
          <w14:textFill>
            <w14:solidFill>
              <w14:schemeClr w14:val="tx1">
                <w14:lumMod w14:val="95000"/>
                <w14:lumOff w14:val="5000"/>
              </w14:schemeClr>
            </w14:solidFill>
          </w14:textFill>
        </w:rPr>
        <w:t>贵州清镇农村商业银行股份有限公司</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，现对</w:t>
      </w:r>
      <w:r>
        <w:rPr>
          <w:rFonts w:hint="eastAsia" w:ascii="仿宋_GB2312" w:hAnsi="仿宋_GB2312" w:eastAsia="仿宋_GB2312" w:cs="仿宋_GB2312"/>
          <w:color w:val="0D0D0D" w:themeColor="text1" w:themeTint="F2"/>
          <w:sz w:val="32"/>
          <w:szCs w:val="32"/>
          <w:highlight w:val="none"/>
          <w:u w:val="single"/>
          <w:lang w:val="en-US" w:eastAsia="zh-CN"/>
          <w14:textFill>
            <w14:solidFill>
              <w14:schemeClr w14:val="tx1">
                <w14:lumMod w14:val="95000"/>
                <w14:lumOff w14:val="5000"/>
              </w14:schemeClr>
            </w14:solidFill>
          </w14:textFill>
        </w:rPr>
        <w:t>清镇农商银行二楼及夹层档案中心档案架采购项目</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进行</w:t>
      </w:r>
      <w:r>
        <w:rPr>
          <w:rFonts w:hint="eastAsia" w:ascii="仿宋_GB2312" w:hAnsi="仿宋_GB2312" w:eastAsia="仿宋_GB2312" w:cs="仿宋_GB2312"/>
          <w:color w:val="0D0D0D" w:themeColor="text1" w:themeTint="F2"/>
          <w:sz w:val="32"/>
          <w:szCs w:val="32"/>
          <w:highlight w:val="none"/>
          <w:u w:val="single"/>
          <w:lang w:eastAsia="zh-CN"/>
          <w14:textFill>
            <w14:solidFill>
              <w14:schemeClr w14:val="tx1">
                <w14:lumMod w14:val="95000"/>
                <w14:lumOff w14:val="5000"/>
              </w14:schemeClr>
            </w14:solidFill>
          </w14:textFill>
        </w:rPr>
        <w:t>公开招标</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outlineLvl w:val="1"/>
        <w:rPr>
          <w:rFonts w:hint="eastAsia" w:ascii="黑体" w:hAnsi="黑体" w:eastAsia="黑体" w:cs="黑体"/>
          <w:b w:val="0"/>
          <w:bCs w:val="0"/>
          <w:color w:val="0D0D0D" w:themeColor="text1" w:themeTint="F2"/>
          <w:sz w:val="32"/>
          <w:szCs w:val="32"/>
          <w:highlight w:val="none"/>
          <w:lang w:eastAsia="zh-CN"/>
          <w14:textFill>
            <w14:solidFill>
              <w14:schemeClr w14:val="tx1">
                <w14:lumMod w14:val="95000"/>
                <w14:lumOff w14:val="5000"/>
              </w14:schemeClr>
            </w14:solidFill>
          </w14:textFill>
        </w:rPr>
      </w:pPr>
      <w:bookmarkStart w:id="1" w:name="_Toc14180"/>
      <w:r>
        <w:rPr>
          <w:rFonts w:hint="eastAsia" w:ascii="黑体" w:hAnsi="黑体" w:eastAsia="黑体" w:cs="黑体"/>
          <w:b w:val="0"/>
          <w:bCs w:val="0"/>
          <w:color w:val="0D0D0D" w:themeColor="text1" w:themeTint="F2"/>
          <w:sz w:val="32"/>
          <w:szCs w:val="32"/>
          <w:highlight w:val="none"/>
          <w:lang w:val="en-US" w:eastAsia="zh-CN"/>
          <w14:textFill>
            <w14:solidFill>
              <w14:schemeClr w14:val="tx1">
                <w14:lumMod w14:val="95000"/>
                <w14:lumOff w14:val="5000"/>
              </w14:schemeClr>
            </w14:solidFill>
          </w14:textFill>
        </w:rPr>
        <w:t>二、</w:t>
      </w:r>
      <w:r>
        <w:rPr>
          <w:rFonts w:hint="eastAsia" w:ascii="黑体" w:hAnsi="黑体" w:eastAsia="黑体" w:cs="黑体"/>
          <w:b w:val="0"/>
          <w:bCs w:val="0"/>
          <w:color w:val="0D0D0D" w:themeColor="text1" w:themeTint="F2"/>
          <w:sz w:val="32"/>
          <w:szCs w:val="32"/>
          <w:highlight w:val="none"/>
          <w:lang w:eastAsia="zh-CN"/>
          <w14:textFill>
            <w14:solidFill>
              <w14:schemeClr w14:val="tx1">
                <w14:lumMod w14:val="95000"/>
                <w14:lumOff w14:val="5000"/>
              </w14:schemeClr>
            </w14:solidFill>
          </w14:textFill>
        </w:rPr>
        <w:t>项目概况与采购范围</w:t>
      </w:r>
      <w:bookmarkEnd w:id="1"/>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outlineLvl w:val="2"/>
        <w:rPr>
          <w:rFonts w:hint="eastAsia" w:ascii="楷体_GB2312" w:hAnsi="楷体_GB2312" w:eastAsia="楷体_GB2312" w:cs="楷体_GB2312"/>
          <w:color w:val="0D0D0D" w:themeColor="text1" w:themeTint="F2"/>
          <w:sz w:val="32"/>
          <w:szCs w:val="32"/>
          <w:highlight w:val="none"/>
          <w:lang w:eastAsia="zh-CN"/>
          <w14:textFill>
            <w14:solidFill>
              <w14:schemeClr w14:val="tx1">
                <w14:lumMod w14:val="95000"/>
                <w14:lumOff w14:val="5000"/>
              </w14:schemeClr>
            </w14:solidFill>
          </w14:textFill>
        </w:rPr>
      </w:pPr>
      <w:bookmarkStart w:id="2" w:name="_Toc25314"/>
      <w:r>
        <w:rPr>
          <w:rFonts w:hint="eastAsia" w:ascii="楷体_GB2312" w:hAnsi="楷体_GB2312" w:eastAsia="楷体_GB2312" w:cs="楷体_GB2312"/>
          <w:color w:val="0D0D0D" w:themeColor="text1" w:themeTint="F2"/>
          <w:sz w:val="32"/>
          <w:szCs w:val="32"/>
          <w:highlight w:val="none"/>
          <w:lang w:eastAsia="zh-CN"/>
          <w14:textFill>
            <w14:solidFill>
              <w14:schemeClr w14:val="tx1">
                <w14:lumMod w14:val="95000"/>
                <w14:lumOff w14:val="5000"/>
              </w14:schemeClr>
            </w14:solidFill>
          </w14:textFill>
        </w:rPr>
        <w:t>（</w:t>
      </w:r>
      <w:r>
        <w:rPr>
          <w:rFonts w:hint="eastAsia" w:ascii="楷体_GB2312" w:hAnsi="楷体_GB2312" w:eastAsia="楷体_GB2312" w:cs="楷体_GB2312"/>
          <w:color w:val="0D0D0D" w:themeColor="text1" w:themeTint="F2"/>
          <w:sz w:val="32"/>
          <w:szCs w:val="32"/>
          <w:highlight w:val="none"/>
          <w:lang w:val="en-US" w:eastAsia="zh-CN"/>
          <w14:textFill>
            <w14:solidFill>
              <w14:schemeClr w14:val="tx1">
                <w14:lumMod w14:val="95000"/>
                <w14:lumOff w14:val="5000"/>
              </w14:schemeClr>
            </w14:solidFill>
          </w14:textFill>
        </w:rPr>
        <w:t>一</w:t>
      </w:r>
      <w:r>
        <w:rPr>
          <w:rFonts w:hint="eastAsia" w:ascii="楷体_GB2312" w:hAnsi="楷体_GB2312" w:eastAsia="楷体_GB2312" w:cs="楷体_GB2312"/>
          <w:color w:val="0D0D0D" w:themeColor="text1" w:themeTint="F2"/>
          <w:sz w:val="32"/>
          <w:szCs w:val="32"/>
          <w:highlight w:val="none"/>
          <w:lang w:eastAsia="zh-CN"/>
          <w14:textFill>
            <w14:solidFill>
              <w14:schemeClr w14:val="tx1">
                <w14:lumMod w14:val="95000"/>
                <w14:lumOff w14:val="5000"/>
              </w14:schemeClr>
            </w14:solidFill>
          </w14:textFill>
        </w:rPr>
        <w:t>）项目概况</w:t>
      </w:r>
      <w:bookmarkEnd w:id="2"/>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1</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项目名称：</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清镇农商银行二楼及夹层档案中心档案架采购项目。</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2</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.送货、安装期限：供应商应在合同签订后</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30</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日内完成档案架的送货、安装。</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3</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采购</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内容：拟采购</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256</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组档案架，每组六层，每层长宽高分别为</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95</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60</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38</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cm，底座</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10</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5</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cm。</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Style w:val="4"/>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4</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项目用途：</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为提升档案管理质量，防范安全风险，拟在贵州清镇农村商业银行股份有限公司总行二楼及夹层建设档案中心采购安装档案架。</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Style w:val="4"/>
          <w:rFonts w:hint="eastAsia" w:ascii="仿宋_GB2312" w:hAnsi="仿宋_GB2312" w:eastAsia="仿宋_GB2312" w:cs="仿宋_GB2312"/>
          <w:bCs w:val="0"/>
          <w:sz w:val="32"/>
          <w:szCs w:val="32"/>
          <w:highlight w:val="none"/>
        </w:rPr>
      </w:pP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5</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.交货</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地点：采购人指定地点</w:t>
      </w:r>
      <w:r>
        <w:rPr>
          <w:rStyle w:val="4"/>
          <w:rFonts w:hint="eastAsia" w:ascii="仿宋_GB2312" w:hAnsi="仿宋_GB2312" w:eastAsia="仿宋_GB2312" w:cs="仿宋_GB2312"/>
          <w:bCs w:val="0"/>
          <w:sz w:val="32"/>
          <w:szCs w:val="32"/>
          <w:highlight w:val="none"/>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6</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.项目资金情况：</w:t>
      </w:r>
      <w:r>
        <w:rPr>
          <w:rFonts w:hint="eastAsia" w:ascii="仿宋_GB2312" w:hAnsi="仿宋_GB2312" w:eastAsia="仿宋_GB2312" w:cs="仿宋_GB2312"/>
          <w:color w:val="auto"/>
          <w:sz w:val="32"/>
          <w:szCs w:val="32"/>
          <w:highlight w:val="none"/>
        </w:rPr>
        <w:t>项目采购预算为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u w:val="single"/>
          <w:lang w:val="en-US" w:eastAsia="zh-CN"/>
        </w:rPr>
        <w:t>贰拾伍万陆仟元整</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256000</w:t>
      </w:r>
      <w:r>
        <w:rPr>
          <w:rFonts w:hint="eastAsia" w:ascii="仿宋_GB2312" w:hAnsi="仿宋_GB2312" w:eastAsia="仿宋_GB2312" w:cs="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00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包含货款、税金、</w:t>
      </w:r>
      <w:bookmarkStart w:id="11" w:name="_GoBack"/>
      <w:bookmarkEnd w:id="11"/>
      <w:r>
        <w:rPr>
          <w:rFonts w:hint="eastAsia" w:ascii="仿宋_GB2312" w:hAnsi="仿宋_GB2312" w:eastAsia="仿宋_GB2312" w:cs="仿宋_GB2312"/>
          <w:color w:val="auto"/>
          <w:sz w:val="32"/>
          <w:szCs w:val="32"/>
          <w:highlight w:val="none"/>
          <w:lang w:val="en-US" w:eastAsia="zh-CN"/>
        </w:rPr>
        <w:t>运费、安装费用等一切费用；</w:t>
      </w:r>
      <w:r>
        <w:rPr>
          <w:rFonts w:hint="eastAsia" w:ascii="仿宋_GB2312" w:hAnsi="仿宋_GB2312" w:eastAsia="仿宋_GB2312" w:cs="仿宋_GB2312"/>
          <w:color w:val="auto"/>
          <w:sz w:val="32"/>
          <w:szCs w:val="32"/>
          <w:highlight w:val="none"/>
        </w:rPr>
        <w:t>本项目的最高限价为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本项目以总价限价进行采购，总价限价为贰拾伍万陆仟元整（￥</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256000</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00</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元），包含货款、税金、运费、安装费用等一切费用。</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outlineLvl w:val="2"/>
        <w:rPr>
          <w:rFonts w:hint="eastAsia" w:ascii="楷体_GB2312" w:hAnsi="楷体_GB2312" w:eastAsia="楷体_GB2312" w:cs="楷体_GB2312"/>
          <w:color w:val="0D0D0D" w:themeColor="text1" w:themeTint="F2"/>
          <w:sz w:val="32"/>
          <w:szCs w:val="32"/>
          <w:highlight w:val="none"/>
          <w:lang w:eastAsia="zh-CN"/>
          <w14:textFill>
            <w14:solidFill>
              <w14:schemeClr w14:val="tx1">
                <w14:lumMod w14:val="95000"/>
                <w14:lumOff w14:val="5000"/>
              </w14:schemeClr>
            </w14:solidFill>
          </w14:textFill>
        </w:rPr>
      </w:pPr>
      <w:bookmarkStart w:id="3" w:name="_Toc8167"/>
      <w:r>
        <w:rPr>
          <w:rFonts w:hint="eastAsia" w:ascii="楷体_GB2312" w:hAnsi="楷体_GB2312" w:eastAsia="楷体_GB2312" w:cs="楷体_GB2312"/>
          <w:color w:val="0D0D0D" w:themeColor="text1" w:themeTint="F2"/>
          <w:sz w:val="32"/>
          <w:szCs w:val="32"/>
          <w:highlight w:val="none"/>
          <w:lang w:eastAsia="zh-CN"/>
          <w14:textFill>
            <w14:solidFill>
              <w14:schemeClr w14:val="tx1">
                <w14:lumMod w14:val="95000"/>
                <w14:lumOff w14:val="5000"/>
              </w14:schemeClr>
            </w14:solidFill>
          </w14:textFill>
        </w:rPr>
        <w:t>（</w:t>
      </w:r>
      <w:r>
        <w:rPr>
          <w:rFonts w:hint="eastAsia" w:ascii="楷体_GB2312" w:hAnsi="楷体_GB2312" w:eastAsia="楷体_GB2312" w:cs="楷体_GB2312"/>
          <w:color w:val="0D0D0D" w:themeColor="text1" w:themeTint="F2"/>
          <w:sz w:val="32"/>
          <w:szCs w:val="32"/>
          <w:highlight w:val="none"/>
          <w:lang w:val="en-US" w:eastAsia="zh-CN"/>
          <w14:textFill>
            <w14:solidFill>
              <w14:schemeClr w14:val="tx1">
                <w14:lumMod w14:val="95000"/>
                <w14:lumOff w14:val="5000"/>
              </w14:schemeClr>
            </w14:solidFill>
          </w14:textFill>
        </w:rPr>
        <w:t>二</w:t>
      </w:r>
      <w:r>
        <w:rPr>
          <w:rFonts w:hint="eastAsia" w:ascii="楷体_GB2312" w:hAnsi="楷体_GB2312" w:eastAsia="楷体_GB2312" w:cs="楷体_GB2312"/>
          <w:color w:val="0D0D0D" w:themeColor="text1" w:themeTint="F2"/>
          <w:sz w:val="32"/>
          <w:szCs w:val="32"/>
          <w:highlight w:val="none"/>
          <w:lang w:eastAsia="zh-CN"/>
          <w14:textFill>
            <w14:solidFill>
              <w14:schemeClr w14:val="tx1">
                <w14:lumMod w14:val="95000"/>
                <w14:lumOff w14:val="5000"/>
              </w14:schemeClr>
            </w14:solidFill>
          </w14:textFill>
        </w:rPr>
        <w:t>）采购范围</w:t>
      </w:r>
      <w:bookmarkEnd w:id="3"/>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outlineLvl w:val="2"/>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清镇农商银行二楼及夹层档案中心档案架采购项目</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textAlignment w:val="baseline"/>
        <w:outlineLvl w:val="2"/>
        <w:rPr>
          <w:rFonts w:hint="eastAsia" w:ascii="楷体_GB2312" w:hAnsi="楷体_GB2312" w:eastAsia="楷体_GB2312" w:cs="楷体_GB2312"/>
          <w:color w:val="0D0D0D" w:themeColor="text1" w:themeTint="F2"/>
          <w:sz w:val="32"/>
          <w:szCs w:val="32"/>
          <w:highlight w:val="none"/>
          <w:lang w:eastAsia="zh-CN"/>
          <w14:textFill>
            <w14:solidFill>
              <w14:schemeClr w14:val="tx1">
                <w14:lumMod w14:val="95000"/>
                <w14:lumOff w14:val="5000"/>
              </w14:schemeClr>
            </w14:solidFill>
          </w14:textFill>
        </w:rPr>
      </w:pPr>
      <w:bookmarkStart w:id="4" w:name="_Toc16844"/>
      <w:r>
        <w:rPr>
          <w:rFonts w:hint="eastAsia" w:ascii="楷体_GB2312" w:hAnsi="楷体_GB2312" w:eastAsia="楷体_GB2312" w:cs="楷体_GB2312"/>
          <w:color w:val="0D0D0D" w:themeColor="text1" w:themeTint="F2"/>
          <w:sz w:val="32"/>
          <w:szCs w:val="32"/>
          <w:highlight w:val="none"/>
          <w:lang w:eastAsia="zh-CN"/>
          <w14:textFill>
            <w14:solidFill>
              <w14:schemeClr w14:val="tx1">
                <w14:lumMod w14:val="95000"/>
                <w14:lumOff w14:val="5000"/>
              </w14:schemeClr>
            </w14:solidFill>
          </w14:textFill>
        </w:rPr>
        <w:t>标段划分</w:t>
      </w:r>
    </w:p>
    <w:p>
      <w:pPr>
        <w:keepNext w:val="0"/>
        <w:keepLines w:val="0"/>
        <w:pageBreakBefore w:val="0"/>
        <w:widowControl/>
        <w:numPr>
          <w:numId w:val="0"/>
        </w:numPr>
        <w:kinsoku w:val="0"/>
        <w:wordWrap/>
        <w:overflowPunct/>
        <w:topLinePunct w:val="0"/>
        <w:autoSpaceDE w:val="0"/>
        <w:autoSpaceDN w:val="0"/>
        <w:bidi w:val="0"/>
        <w:adjustRightInd w:val="0"/>
        <w:snapToGrid w:val="0"/>
        <w:spacing w:line="600" w:lineRule="exact"/>
        <w:ind w:firstLine="640" w:firstLineChars="200"/>
        <w:textAlignment w:val="baseline"/>
        <w:outlineLvl w:val="2"/>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32"/>
          <w:szCs w:val="32"/>
          <w:highlight w:val="none"/>
          <w:lang w:eastAsia="zh-CN"/>
          <w14:textFill>
            <w14:solidFill>
              <w14:schemeClr w14:val="tx1">
                <w14:lumMod w14:val="95000"/>
                <w14:lumOff w14:val="5000"/>
              </w14:schemeClr>
            </w14:solidFill>
          </w14:textFill>
        </w:rPr>
        <w:t>1</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个标段。</w:t>
      </w:r>
      <w:bookmarkEnd w:id="4"/>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textAlignment w:val="baseline"/>
        <w:outlineLvl w:val="1"/>
        <w:rPr>
          <w:rFonts w:hint="eastAsia" w:ascii="黑体" w:hAnsi="黑体" w:eastAsia="黑体" w:cs="黑体"/>
          <w:b w:val="0"/>
          <w:bCs w:val="0"/>
          <w:color w:val="0D0D0D" w:themeColor="text1" w:themeTint="F2"/>
          <w:sz w:val="32"/>
          <w:szCs w:val="32"/>
          <w:highlight w:val="none"/>
          <w:lang w:eastAsia="zh-CN"/>
          <w14:textFill>
            <w14:solidFill>
              <w14:schemeClr w14:val="tx1">
                <w14:lumMod w14:val="95000"/>
                <w14:lumOff w14:val="5000"/>
              </w14:schemeClr>
            </w14:solidFill>
          </w14:textFill>
        </w:rPr>
      </w:pPr>
      <w:bookmarkStart w:id="5" w:name="_Toc19188"/>
      <w:r>
        <w:rPr>
          <w:rFonts w:hint="eastAsia" w:ascii="黑体" w:hAnsi="黑体" w:eastAsia="黑体" w:cs="黑体"/>
          <w:b w:val="0"/>
          <w:bCs w:val="0"/>
          <w:color w:val="0D0D0D" w:themeColor="text1" w:themeTint="F2"/>
          <w:sz w:val="32"/>
          <w:szCs w:val="32"/>
          <w:highlight w:val="none"/>
          <w:lang w:val="en-US" w:eastAsia="zh-CN"/>
          <w14:textFill>
            <w14:solidFill>
              <w14:schemeClr w14:val="tx1">
                <w14:lumMod w14:val="95000"/>
                <w14:lumOff w14:val="5000"/>
              </w14:schemeClr>
            </w14:solidFill>
          </w14:textFill>
        </w:rPr>
        <w:t>三、</w:t>
      </w:r>
      <w:r>
        <w:rPr>
          <w:rFonts w:hint="eastAsia" w:ascii="黑体" w:hAnsi="黑体" w:eastAsia="黑体" w:cs="黑体"/>
          <w:b w:val="0"/>
          <w:bCs w:val="0"/>
          <w:color w:val="0D0D0D" w:themeColor="text1" w:themeTint="F2"/>
          <w:sz w:val="32"/>
          <w:szCs w:val="32"/>
          <w:highlight w:val="none"/>
          <w:lang w:eastAsia="zh-CN"/>
          <w14:textFill>
            <w14:solidFill>
              <w14:schemeClr w14:val="tx1">
                <w14:lumMod w14:val="95000"/>
                <w14:lumOff w14:val="5000"/>
              </w14:schemeClr>
            </w14:solidFill>
          </w14:textFill>
        </w:rPr>
        <w:t>投标人资格要求</w:t>
      </w:r>
      <w:bookmarkEnd w:id="5"/>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b w:val="0"/>
          <w:bCs w:val="0"/>
          <w:color w:val="0D0D0D" w:themeColor="text1" w:themeTint="F2"/>
          <w:sz w:val="32"/>
          <w:szCs w:val="32"/>
          <w:highlight w:val="none"/>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一</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）投标</w:t>
      </w:r>
      <w:r>
        <w:rPr>
          <w:rFonts w:hint="eastAsia" w:ascii="仿宋_GB2312" w:hAnsi="仿宋_GB2312" w:eastAsia="仿宋_GB2312" w:cs="仿宋_GB2312"/>
          <w:b w:val="0"/>
          <w:bCs w:val="0"/>
          <w:color w:val="0D0D0D" w:themeColor="text1" w:themeTint="F2"/>
          <w:sz w:val="32"/>
          <w:szCs w:val="32"/>
          <w:highlight w:val="none"/>
          <w:lang w:eastAsia="zh-CN"/>
          <w14:textFill>
            <w14:solidFill>
              <w14:schemeClr w14:val="tx1">
                <w14:lumMod w14:val="95000"/>
                <w14:lumOff w14:val="5000"/>
              </w14:schemeClr>
            </w14:solidFill>
          </w14:textFill>
        </w:rPr>
        <w:t>人具有履行合同能力的中华人民共和国境内注册的企业法人或其他组织，具备有效的营业执照。</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b w:val="0"/>
          <w:bCs w:val="0"/>
          <w:color w:val="0D0D0D" w:themeColor="text1" w:themeTint="F2"/>
          <w:sz w:val="32"/>
          <w:szCs w:val="32"/>
          <w:highlight w:val="none"/>
          <w:lang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二</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供应商是法人的，应提供</w:t>
      </w:r>
      <w:r>
        <w:rPr>
          <w:rFonts w:hint="default" w:ascii="Times New Roman" w:hAnsi="Times New Roman" w:eastAsia="仿宋_GB2312" w:cs="Times New Roman"/>
          <w:b w:val="0"/>
          <w:bCs w:val="0"/>
          <w:color w:val="auto"/>
          <w:sz w:val="32"/>
          <w:szCs w:val="32"/>
          <w:highlight w:val="none"/>
          <w:u w:val="none"/>
        </w:rPr>
        <w:t>202</w:t>
      </w:r>
      <w:r>
        <w:rPr>
          <w:rFonts w:hint="default" w:ascii="Times New Roman" w:hAnsi="Times New Roman" w:eastAsia="仿宋_GB2312" w:cs="Times New Roman"/>
          <w:b w:val="0"/>
          <w:bCs w:val="0"/>
          <w:color w:val="auto"/>
          <w:sz w:val="32"/>
          <w:szCs w:val="32"/>
          <w:highlight w:val="none"/>
          <w:u w:val="none"/>
          <w:lang w:val="en-US" w:eastAsia="zh-CN"/>
        </w:rPr>
        <w:t>3</w:t>
      </w:r>
      <w:r>
        <w:rPr>
          <w:rFonts w:hint="eastAsia" w:ascii="仿宋_GB2312" w:hAnsi="仿宋_GB2312" w:eastAsia="仿宋_GB2312" w:cs="仿宋_GB2312"/>
          <w:b w:val="0"/>
          <w:bCs w:val="0"/>
          <w:color w:val="auto"/>
          <w:sz w:val="32"/>
          <w:szCs w:val="32"/>
          <w:highlight w:val="none"/>
          <w:u w:val="none"/>
        </w:rPr>
        <w:t>年经审计的财务报告或</w:t>
      </w:r>
      <w:r>
        <w:rPr>
          <w:rFonts w:hint="default" w:ascii="Times New Roman" w:hAnsi="Times New Roman" w:eastAsia="仿宋_GB2312" w:cs="Times New Roman"/>
          <w:b w:val="0"/>
          <w:bCs w:val="0"/>
          <w:color w:val="auto"/>
          <w:sz w:val="32"/>
          <w:szCs w:val="32"/>
          <w:highlight w:val="none"/>
          <w:u w:val="none"/>
          <w:lang w:val="en-US" w:eastAsia="zh-CN"/>
        </w:rPr>
        <w:t>2024</w:t>
      </w:r>
      <w:r>
        <w:rPr>
          <w:rFonts w:hint="eastAsia" w:ascii="仿宋_GB2312" w:hAnsi="仿宋_GB2312" w:eastAsia="仿宋_GB2312" w:cs="仿宋_GB2312"/>
          <w:b w:val="0"/>
          <w:bCs w:val="0"/>
          <w:color w:val="auto"/>
          <w:sz w:val="32"/>
          <w:szCs w:val="32"/>
          <w:highlight w:val="none"/>
          <w:u w:val="none"/>
          <w:lang w:val="en-US" w:eastAsia="zh-CN"/>
        </w:rPr>
        <w:t>年</w:t>
      </w:r>
      <w:r>
        <w:rPr>
          <w:rFonts w:hint="eastAsia" w:ascii="仿宋_GB2312" w:hAnsi="仿宋_GB2312" w:eastAsia="仿宋_GB2312" w:cs="仿宋_GB2312"/>
          <w:b w:val="0"/>
          <w:bCs w:val="0"/>
          <w:color w:val="auto"/>
          <w:sz w:val="32"/>
          <w:szCs w:val="32"/>
          <w:highlight w:val="none"/>
          <w:u w:val="none"/>
        </w:rPr>
        <w:t>任意一月的财务报表或基</w:t>
      </w:r>
      <w:r>
        <w:rPr>
          <w:rFonts w:hint="eastAsia" w:ascii="仿宋_GB2312" w:hAnsi="仿宋_GB2312" w:eastAsia="仿宋_GB2312" w:cs="仿宋_GB2312"/>
          <w:b w:val="0"/>
          <w:bCs w:val="0"/>
          <w:color w:val="auto"/>
          <w:sz w:val="32"/>
          <w:szCs w:val="32"/>
          <w:highlight w:val="none"/>
          <w:u w:val="none"/>
        </w:rPr>
        <w:t>本开户银行</w:t>
      </w:r>
      <w:r>
        <w:rPr>
          <w:rFonts w:hint="default" w:ascii="Times New Roman" w:hAnsi="Times New Roman" w:eastAsia="仿宋_GB2312" w:cs="Times New Roman"/>
          <w:b w:val="0"/>
          <w:bCs w:val="0"/>
          <w:color w:val="auto"/>
          <w:sz w:val="32"/>
          <w:szCs w:val="32"/>
          <w:highlight w:val="none"/>
          <w:u w:val="none"/>
        </w:rPr>
        <w:t>202</w:t>
      </w:r>
      <w:r>
        <w:rPr>
          <w:rFonts w:hint="default" w:ascii="Times New Roman" w:hAnsi="Times New Roman" w:eastAsia="仿宋_GB2312" w:cs="Times New Roman"/>
          <w:b w:val="0"/>
          <w:bCs w:val="0"/>
          <w:color w:val="auto"/>
          <w:sz w:val="32"/>
          <w:szCs w:val="32"/>
          <w:highlight w:val="none"/>
          <w:u w:val="none"/>
          <w:lang w:val="en-US" w:eastAsia="zh-CN"/>
        </w:rPr>
        <w:t>4</w:t>
      </w:r>
      <w:r>
        <w:rPr>
          <w:rFonts w:hint="eastAsia" w:ascii="仿宋_GB2312" w:hAnsi="仿宋_GB2312" w:eastAsia="仿宋_GB2312" w:cs="仿宋_GB2312"/>
          <w:b w:val="0"/>
          <w:bCs w:val="0"/>
          <w:color w:val="auto"/>
          <w:sz w:val="32"/>
          <w:szCs w:val="32"/>
          <w:highlight w:val="none"/>
          <w:u w:val="none"/>
        </w:rPr>
        <w:t>年</w:t>
      </w:r>
      <w:r>
        <w:rPr>
          <w:rFonts w:hint="default" w:ascii="Times New Roman" w:hAnsi="Times New Roman" w:eastAsia="仿宋_GB2312" w:cs="Times New Roman"/>
          <w:b w:val="0"/>
          <w:bCs w:val="0"/>
          <w:color w:val="auto"/>
          <w:sz w:val="32"/>
          <w:szCs w:val="32"/>
          <w:highlight w:val="none"/>
          <w:u w:val="none"/>
        </w:rPr>
        <w:t>6</w:t>
      </w:r>
      <w:r>
        <w:rPr>
          <w:rFonts w:hint="eastAsia" w:ascii="仿宋_GB2312" w:hAnsi="仿宋_GB2312" w:eastAsia="仿宋_GB2312" w:cs="仿宋_GB2312"/>
          <w:b w:val="0"/>
          <w:bCs w:val="0"/>
          <w:color w:val="auto"/>
          <w:sz w:val="32"/>
          <w:szCs w:val="32"/>
          <w:highlight w:val="none"/>
          <w:u w:val="none"/>
        </w:rPr>
        <w:t>月以后出具的资信证明，部分其他组织和自然人，没有经审计的财务报告，可以提供银行出具的资信证明；</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三</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）具有履行合同所必须的设备和专业技术能力：提供具备履行合同所必需的设备和专业技术能力的证明材料【自行承诺】；</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四</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）具有依法缴纳税收和社会保障资金的良好记录：提供</w:t>
      </w:r>
      <w:r>
        <w:rPr>
          <w:rFonts w:hint="default" w:ascii="Times New Roman" w:hAnsi="Times New Roman" w:eastAsia="仿宋_GB2312" w:cs="Times New Roman"/>
          <w:color w:val="0D0D0D" w:themeColor="text1" w:themeTint="F2"/>
          <w:sz w:val="32"/>
          <w:szCs w:val="32"/>
          <w:highlight w:val="none"/>
          <w:lang w:eastAsia="zh-CN"/>
          <w14:textFill>
            <w14:solidFill>
              <w14:schemeClr w14:val="tx1">
                <w14:lumMod w14:val="95000"/>
                <w14:lumOff w14:val="5000"/>
              </w14:schemeClr>
            </w14:solidFill>
          </w14:textFill>
        </w:rPr>
        <w:t>202</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4</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年至今任意</w:t>
      </w:r>
      <w:r>
        <w:rPr>
          <w:rFonts w:hint="default" w:ascii="Times New Roman" w:hAnsi="Times New Roman" w:eastAsia="仿宋_GB2312" w:cs="Times New Roman"/>
          <w:color w:val="0D0D0D" w:themeColor="text1" w:themeTint="F2"/>
          <w:sz w:val="32"/>
          <w:szCs w:val="32"/>
          <w:highlight w:val="none"/>
          <w:lang w:eastAsia="zh-CN"/>
          <w14:textFill>
            <w14:solidFill>
              <w14:schemeClr w14:val="tx1">
                <w14:lumMod w14:val="95000"/>
                <w14:lumOff w14:val="5000"/>
              </w14:schemeClr>
            </w14:solidFill>
          </w14:textFill>
        </w:rPr>
        <w:t>1</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个月依法缴纳税收和社会保障资金的有效证明材料（成立不足一年的企业可提供依法缴税和社会保障资金的承诺函）；</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五</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）参加本次招标活动前</w:t>
      </w:r>
      <w:r>
        <w:rPr>
          <w:rFonts w:hint="default" w:ascii="Times New Roman" w:hAnsi="Times New Roman" w:eastAsia="仿宋_GB2312" w:cs="Times New Roman"/>
          <w:color w:val="0D0D0D" w:themeColor="text1" w:themeTint="F2"/>
          <w:sz w:val="32"/>
          <w:szCs w:val="32"/>
          <w:highlight w:val="none"/>
          <w:lang w:eastAsia="zh-CN"/>
          <w14:textFill>
            <w14:solidFill>
              <w14:schemeClr w14:val="tx1">
                <w14:lumMod w14:val="95000"/>
                <w14:lumOff w14:val="5000"/>
              </w14:schemeClr>
            </w14:solidFill>
          </w14:textFill>
        </w:rPr>
        <w:t>3</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年内在经营活动中没有重大违法记录的书面声明；</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六</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法律、行政法规规定的其他条件：供应商须承诺：在“信用中国”网站（www.creditchina.gov.cn）等渠道查询中未被列入失信被执行人名单、重大税收违法案件当事人名单，如被列入失信被执行人、重大税收违法案件当事人名单的供应商取消其投标资格，并承担由此造成的一切法律责任及后果。</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七</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）本项目的特定资格要求：</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无</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八</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）本项目</w:t>
      </w:r>
      <w:r>
        <w:rPr>
          <w:rFonts w:hint="eastAsia" w:ascii="仿宋_GB2312" w:hAnsi="仿宋_GB2312" w:eastAsia="仿宋_GB2312" w:cs="仿宋_GB2312"/>
          <w:color w:val="0D0D0D" w:themeColor="text1" w:themeTint="F2"/>
          <w:sz w:val="32"/>
          <w:szCs w:val="32"/>
          <w:highlight w:val="none"/>
          <w:u w:val="single"/>
          <w:lang w:eastAsia="zh-CN"/>
          <w14:textFill>
            <w14:solidFill>
              <w14:schemeClr w14:val="tx1">
                <w14:lumMod w14:val="95000"/>
                <w14:lumOff w14:val="5000"/>
              </w14:schemeClr>
            </w14:solidFill>
          </w14:textFill>
        </w:rPr>
        <w:t>不接受</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联合体投标。</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textAlignment w:val="baseline"/>
        <w:outlineLvl w:val="1"/>
        <w:rPr>
          <w:rFonts w:hint="eastAsia" w:ascii="黑体" w:hAnsi="黑体" w:eastAsia="黑体" w:cs="黑体"/>
          <w:b w:val="0"/>
          <w:bCs w:val="0"/>
          <w:color w:val="0D0D0D" w:themeColor="text1" w:themeTint="F2"/>
          <w:sz w:val="32"/>
          <w:szCs w:val="32"/>
          <w:highlight w:val="none"/>
          <w:lang w:eastAsia="zh-CN"/>
          <w14:textFill>
            <w14:solidFill>
              <w14:schemeClr w14:val="tx1">
                <w14:lumMod w14:val="95000"/>
                <w14:lumOff w14:val="5000"/>
              </w14:schemeClr>
            </w14:solidFill>
          </w14:textFill>
        </w:rPr>
      </w:pPr>
      <w:bookmarkStart w:id="6" w:name="_Toc13797"/>
      <w:r>
        <w:rPr>
          <w:rFonts w:hint="eastAsia" w:ascii="黑体" w:hAnsi="黑体" w:eastAsia="黑体" w:cs="黑体"/>
          <w:b w:val="0"/>
          <w:bCs w:val="0"/>
          <w:color w:val="0D0D0D" w:themeColor="text1" w:themeTint="F2"/>
          <w:sz w:val="32"/>
          <w:szCs w:val="32"/>
          <w:highlight w:val="none"/>
          <w:lang w:val="en-US" w:eastAsia="zh-CN"/>
          <w14:textFill>
            <w14:solidFill>
              <w14:schemeClr w14:val="tx1">
                <w14:lumMod w14:val="95000"/>
                <w14:lumOff w14:val="5000"/>
              </w14:schemeClr>
            </w14:solidFill>
          </w14:textFill>
        </w:rPr>
        <w:t>四、</w:t>
      </w:r>
      <w:r>
        <w:rPr>
          <w:rFonts w:hint="eastAsia" w:ascii="黑体" w:hAnsi="黑体" w:eastAsia="黑体" w:cs="黑体"/>
          <w:b w:val="0"/>
          <w:bCs w:val="0"/>
          <w:color w:val="0D0D0D" w:themeColor="text1" w:themeTint="F2"/>
          <w:sz w:val="32"/>
          <w:szCs w:val="32"/>
          <w:highlight w:val="none"/>
          <w:lang w:eastAsia="zh-CN"/>
          <w14:textFill>
            <w14:solidFill>
              <w14:schemeClr w14:val="tx1">
                <w14:lumMod w14:val="95000"/>
                <w14:lumOff w14:val="5000"/>
              </w14:schemeClr>
            </w14:solidFill>
          </w14:textFill>
        </w:rPr>
        <w:t>采购文件的获取</w:t>
      </w:r>
      <w:bookmarkEnd w:id="6"/>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color w:val="FF0000"/>
          <w:sz w:val="32"/>
          <w:szCs w:val="32"/>
          <w:highlight w:val="none"/>
          <w:lang w:eastAsia="zh-CN"/>
        </w:rPr>
      </w:pP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（一）有意投标者,请于</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2025</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年</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3</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月</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17</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日至</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2025</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年</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3</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月</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21</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日</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，每天上午</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9</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30</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12</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00</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，下午</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14</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00</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17</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00</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（北京时间，休息日节假日除外）。在现场报名（贵州粟谷信息咨询有限公司，地址：贵州省贵阳市观山湖区金融城雅实轩负</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1</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层</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62</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号）。</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二</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）采购文件、图纸或技术资料：</w:t>
      </w:r>
      <w:r>
        <w:rPr>
          <w:rFonts w:hint="default" w:ascii="Times New Roman" w:hAnsi="Times New Roman" w:eastAsia="仿宋_GB2312" w:cs="Times New Roman"/>
          <w:color w:val="0D0D0D" w:themeColor="text1" w:themeTint="F2"/>
          <w:sz w:val="32"/>
          <w:szCs w:val="32"/>
          <w:highlight w:val="none"/>
          <w:lang w:eastAsia="zh-CN"/>
          <w14:textFill>
            <w14:solidFill>
              <w14:schemeClr w14:val="tx1">
                <w14:lumMod w14:val="95000"/>
                <w14:lumOff w14:val="5000"/>
              </w14:schemeClr>
            </w14:solidFill>
          </w14:textFill>
        </w:rPr>
        <w:t>500</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元/份（人民币）含电子档，售后不退。</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textAlignment w:val="baseline"/>
        <w:outlineLvl w:val="1"/>
        <w:rPr>
          <w:rFonts w:hint="eastAsia" w:ascii="黑体" w:hAnsi="黑体" w:eastAsia="黑体" w:cs="黑体"/>
          <w:b w:val="0"/>
          <w:bCs w:val="0"/>
          <w:color w:val="0D0D0D" w:themeColor="text1" w:themeTint="F2"/>
          <w:sz w:val="32"/>
          <w:szCs w:val="32"/>
          <w:highlight w:val="none"/>
          <w:lang w:eastAsia="zh-CN"/>
          <w14:textFill>
            <w14:solidFill>
              <w14:schemeClr w14:val="tx1">
                <w14:lumMod w14:val="95000"/>
                <w14:lumOff w14:val="5000"/>
              </w14:schemeClr>
            </w14:solidFill>
          </w14:textFill>
        </w:rPr>
      </w:pPr>
      <w:bookmarkStart w:id="7" w:name="_Toc10504"/>
      <w:r>
        <w:rPr>
          <w:rFonts w:hint="eastAsia" w:ascii="黑体" w:hAnsi="黑体" w:eastAsia="黑体" w:cs="黑体"/>
          <w:b w:val="0"/>
          <w:bCs w:val="0"/>
          <w:color w:val="0D0D0D" w:themeColor="text1" w:themeTint="F2"/>
          <w:sz w:val="32"/>
          <w:szCs w:val="32"/>
          <w:highlight w:val="none"/>
          <w:lang w:val="en-US" w:eastAsia="zh-CN"/>
          <w14:textFill>
            <w14:solidFill>
              <w14:schemeClr w14:val="tx1">
                <w14:lumMod w14:val="95000"/>
                <w14:lumOff w14:val="5000"/>
              </w14:schemeClr>
            </w14:solidFill>
          </w14:textFill>
        </w:rPr>
        <w:t>五、</w:t>
      </w:r>
      <w:r>
        <w:rPr>
          <w:rFonts w:hint="eastAsia" w:ascii="黑体" w:hAnsi="黑体" w:eastAsia="黑体" w:cs="黑体"/>
          <w:b w:val="0"/>
          <w:bCs w:val="0"/>
          <w:color w:val="0D0D0D" w:themeColor="text1" w:themeTint="F2"/>
          <w:sz w:val="32"/>
          <w:szCs w:val="32"/>
          <w:highlight w:val="none"/>
          <w:lang w:eastAsia="zh-CN"/>
          <w14:textFill>
            <w14:solidFill>
              <w14:schemeClr w14:val="tx1">
                <w14:lumMod w14:val="95000"/>
                <w14:lumOff w14:val="5000"/>
              </w14:schemeClr>
            </w14:solidFill>
          </w14:textFill>
        </w:rPr>
        <w:t>投标文件的递交及相关事宜</w:t>
      </w:r>
      <w:bookmarkEnd w:id="7"/>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（一）投标文件上传递交的截止时间为</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2025</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年</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4</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月</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11</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日</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14</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时</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30</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分</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；投标文件递交方式为线下签到、递交。</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二</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）开标及投标文件送达的地点：贵州粟谷信息咨询有限公司，</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地址：贵州省贵阳市观山湖区金融城雅实轩负</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1</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层</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62</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号</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textAlignment w:val="baseline"/>
        <w:outlineLvl w:val="1"/>
        <w:rPr>
          <w:rFonts w:hint="eastAsia" w:ascii="黑体" w:hAnsi="黑体" w:eastAsia="黑体" w:cs="黑体"/>
          <w:b w:val="0"/>
          <w:bCs w:val="0"/>
          <w:color w:val="0D0D0D" w:themeColor="text1" w:themeTint="F2"/>
          <w:sz w:val="32"/>
          <w:szCs w:val="32"/>
          <w:highlight w:val="none"/>
          <w:lang w:eastAsia="zh-CN"/>
          <w14:textFill>
            <w14:solidFill>
              <w14:schemeClr w14:val="tx1">
                <w14:lumMod w14:val="95000"/>
                <w14:lumOff w14:val="5000"/>
              </w14:schemeClr>
            </w14:solidFill>
          </w14:textFill>
        </w:rPr>
      </w:pPr>
      <w:bookmarkStart w:id="8" w:name="_Toc7719"/>
      <w:r>
        <w:rPr>
          <w:rFonts w:hint="eastAsia" w:ascii="黑体" w:hAnsi="黑体" w:eastAsia="黑体" w:cs="黑体"/>
          <w:b w:val="0"/>
          <w:bCs w:val="0"/>
          <w:color w:val="0D0D0D" w:themeColor="text1" w:themeTint="F2"/>
          <w:sz w:val="32"/>
          <w:szCs w:val="32"/>
          <w:highlight w:val="none"/>
          <w:lang w:val="en-US" w:eastAsia="zh-CN"/>
          <w14:textFill>
            <w14:solidFill>
              <w14:schemeClr w14:val="tx1">
                <w14:lumMod w14:val="95000"/>
                <w14:lumOff w14:val="5000"/>
              </w14:schemeClr>
            </w14:solidFill>
          </w14:textFill>
        </w:rPr>
        <w:t>六、</w:t>
      </w:r>
      <w:r>
        <w:rPr>
          <w:rFonts w:hint="eastAsia" w:ascii="黑体" w:hAnsi="黑体" w:eastAsia="黑体" w:cs="黑体"/>
          <w:b w:val="0"/>
          <w:bCs w:val="0"/>
          <w:color w:val="0D0D0D" w:themeColor="text1" w:themeTint="F2"/>
          <w:sz w:val="32"/>
          <w:szCs w:val="32"/>
          <w:highlight w:val="none"/>
          <w:lang w:eastAsia="zh-CN"/>
          <w14:textFill>
            <w14:solidFill>
              <w14:schemeClr w14:val="tx1">
                <w14:lumMod w14:val="95000"/>
                <w14:lumOff w14:val="5000"/>
              </w14:schemeClr>
            </w14:solidFill>
          </w14:textFill>
        </w:rPr>
        <w:t>发布公告的媒介</w:t>
      </w:r>
      <w:bookmarkEnd w:id="8"/>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本次采购公告在</w:t>
      </w:r>
      <w:r>
        <w:rPr>
          <w:rFonts w:hint="eastAsia" w:ascii="仿宋_GB2312" w:hAnsi="仿宋_GB2312" w:eastAsia="仿宋_GB2312" w:cs="仿宋_GB2312"/>
          <w:color w:val="0D0D0D" w:themeColor="text1" w:themeTint="F2"/>
          <w:sz w:val="32"/>
          <w:szCs w:val="32"/>
          <w:highlight w:val="none"/>
          <w:u w:val="single"/>
          <w:lang w:eastAsia="zh-CN"/>
          <w14:textFill>
            <w14:solidFill>
              <w14:schemeClr w14:val="tx1">
                <w14:lumMod w14:val="95000"/>
                <w14:lumOff w14:val="5000"/>
              </w14:schemeClr>
            </w14:solidFill>
          </w14:textFill>
        </w:rPr>
        <w:t>贵州省招标投标公共服务平台、贵州清镇农村商业银行股份有限公司官网</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上发布。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textAlignment w:val="baseline"/>
        <w:outlineLvl w:val="1"/>
        <w:rPr>
          <w:rFonts w:hint="eastAsia" w:ascii="黑体" w:hAnsi="黑体" w:eastAsia="黑体" w:cs="黑体"/>
          <w:b w:val="0"/>
          <w:bCs w:val="0"/>
          <w:color w:val="0D0D0D" w:themeColor="text1" w:themeTint="F2"/>
          <w:sz w:val="32"/>
          <w:szCs w:val="32"/>
          <w:highlight w:val="none"/>
          <w:lang w:eastAsia="zh-CN"/>
          <w14:textFill>
            <w14:solidFill>
              <w14:schemeClr w14:val="tx1">
                <w14:lumMod w14:val="95000"/>
                <w14:lumOff w14:val="5000"/>
              </w14:schemeClr>
            </w14:solidFill>
          </w14:textFill>
        </w:rPr>
      </w:pPr>
      <w:bookmarkStart w:id="9" w:name="_Toc21474"/>
      <w:r>
        <w:rPr>
          <w:rFonts w:hint="eastAsia" w:ascii="黑体" w:hAnsi="黑体" w:eastAsia="黑体" w:cs="黑体"/>
          <w:b w:val="0"/>
          <w:bCs w:val="0"/>
          <w:color w:val="0D0D0D" w:themeColor="text1" w:themeTint="F2"/>
          <w:sz w:val="32"/>
          <w:szCs w:val="32"/>
          <w:highlight w:val="none"/>
          <w:lang w:val="en-US" w:eastAsia="zh-CN"/>
          <w14:textFill>
            <w14:solidFill>
              <w14:schemeClr w14:val="tx1">
                <w14:lumMod w14:val="95000"/>
                <w14:lumOff w14:val="5000"/>
              </w14:schemeClr>
            </w14:solidFill>
          </w14:textFill>
        </w:rPr>
        <w:t>七、</w:t>
      </w:r>
      <w:r>
        <w:rPr>
          <w:rFonts w:hint="eastAsia" w:ascii="黑体" w:hAnsi="黑体" w:eastAsia="黑体" w:cs="黑体"/>
          <w:b w:val="0"/>
          <w:bCs w:val="0"/>
          <w:color w:val="0D0D0D" w:themeColor="text1" w:themeTint="F2"/>
          <w:sz w:val="32"/>
          <w:szCs w:val="32"/>
          <w:highlight w:val="none"/>
          <w:lang w:eastAsia="zh-CN"/>
          <w14:textFill>
            <w14:solidFill>
              <w14:schemeClr w14:val="tx1">
                <w14:lumMod w14:val="95000"/>
                <w14:lumOff w14:val="5000"/>
              </w14:schemeClr>
            </w14:solidFill>
          </w14:textFill>
        </w:rPr>
        <w:t>其他</w:t>
      </w:r>
      <w:bookmarkEnd w:id="9"/>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highlight w:val="none"/>
          <w:lang w:eastAsia="zh-CN" w:bidi="ar"/>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highlight w:val="none"/>
          <w:lang w:val="en-US" w:eastAsia="zh-CN" w:bidi="ar"/>
          <w14:textFill>
            <w14:solidFill>
              <w14:schemeClr w14:val="tx1">
                <w14:lumMod w14:val="95000"/>
                <w14:lumOff w14:val="5000"/>
              </w14:schemeClr>
            </w14:solidFill>
          </w14:textFill>
        </w:rPr>
        <w:t>一</w:t>
      </w:r>
      <w:r>
        <w:rPr>
          <w:rFonts w:hint="eastAsia" w:ascii="仿宋_GB2312" w:hAnsi="仿宋_GB2312" w:eastAsia="仿宋_GB2312" w:cs="仿宋_GB2312"/>
          <w:color w:val="0D0D0D" w:themeColor="text1" w:themeTint="F2"/>
          <w:sz w:val="32"/>
          <w:szCs w:val="32"/>
          <w:highlight w:val="none"/>
          <w:lang w:eastAsia="zh-CN" w:bidi="ar"/>
          <w14:textFill>
            <w14:solidFill>
              <w14:schemeClr w14:val="tx1">
                <w14:lumMod w14:val="95000"/>
                <w14:lumOff w14:val="5000"/>
              </w14:schemeClr>
            </w14:solidFill>
          </w14:textFill>
        </w:rPr>
        <w:t>）开标地点为贵州粟谷信息咨询有限公司，</w:t>
      </w:r>
      <w:r>
        <w:rPr>
          <w:rFonts w:hint="eastAsia" w:ascii="仿宋_GB2312" w:hAnsi="仿宋_GB2312" w:eastAsia="仿宋_GB2312" w:cs="仿宋_GB2312"/>
          <w:color w:val="0D0D0D" w:themeColor="text1" w:themeTint="F2"/>
          <w:sz w:val="32"/>
          <w:szCs w:val="32"/>
          <w:highlight w:val="none"/>
          <w:lang w:val="en-US" w:eastAsia="zh-CN" w:bidi="ar"/>
          <w14:textFill>
            <w14:solidFill>
              <w14:schemeClr w14:val="tx1">
                <w14:lumMod w14:val="95000"/>
                <w14:lumOff w14:val="5000"/>
              </w14:schemeClr>
            </w14:solidFill>
          </w14:textFill>
        </w:rPr>
        <w:t>地址：贵州省贵阳市观山湖区金融城雅实轩负</w:t>
      </w:r>
      <w:r>
        <w:rPr>
          <w:rFonts w:hint="default" w:ascii="Times New Roman" w:hAnsi="Times New Roman" w:eastAsia="仿宋_GB2312" w:cs="Times New Roman"/>
          <w:color w:val="0D0D0D" w:themeColor="text1" w:themeTint="F2"/>
          <w:sz w:val="32"/>
          <w:szCs w:val="32"/>
          <w:highlight w:val="none"/>
          <w:lang w:val="en-US" w:eastAsia="zh-CN" w:bidi="ar"/>
          <w14:textFill>
            <w14:solidFill>
              <w14:schemeClr w14:val="tx1">
                <w14:lumMod w14:val="95000"/>
                <w14:lumOff w14:val="5000"/>
              </w14:schemeClr>
            </w14:solidFill>
          </w14:textFill>
        </w:rPr>
        <w:t>1</w:t>
      </w:r>
      <w:r>
        <w:rPr>
          <w:rFonts w:hint="eastAsia" w:ascii="仿宋_GB2312" w:hAnsi="仿宋_GB2312" w:eastAsia="仿宋_GB2312" w:cs="仿宋_GB2312"/>
          <w:color w:val="0D0D0D" w:themeColor="text1" w:themeTint="F2"/>
          <w:sz w:val="32"/>
          <w:szCs w:val="32"/>
          <w:highlight w:val="none"/>
          <w:lang w:val="en-US" w:eastAsia="zh-CN" w:bidi="ar"/>
          <w14:textFill>
            <w14:solidFill>
              <w14:schemeClr w14:val="tx1">
                <w14:lumMod w14:val="95000"/>
                <w14:lumOff w14:val="5000"/>
              </w14:schemeClr>
            </w14:solidFill>
          </w14:textFill>
        </w:rPr>
        <w:t>层</w:t>
      </w:r>
      <w:r>
        <w:rPr>
          <w:rFonts w:hint="default" w:ascii="Times New Roman" w:hAnsi="Times New Roman" w:eastAsia="仿宋_GB2312" w:cs="Times New Roman"/>
          <w:color w:val="0D0D0D" w:themeColor="text1" w:themeTint="F2"/>
          <w:sz w:val="32"/>
          <w:szCs w:val="32"/>
          <w:highlight w:val="none"/>
          <w:lang w:val="en-US" w:eastAsia="zh-CN" w:bidi="ar"/>
          <w14:textFill>
            <w14:solidFill>
              <w14:schemeClr w14:val="tx1">
                <w14:lumMod w14:val="95000"/>
                <w14:lumOff w14:val="5000"/>
              </w14:schemeClr>
            </w14:solidFill>
          </w14:textFill>
        </w:rPr>
        <w:t>62</w:t>
      </w:r>
      <w:r>
        <w:rPr>
          <w:rFonts w:hint="eastAsia" w:ascii="仿宋_GB2312" w:hAnsi="仿宋_GB2312" w:eastAsia="仿宋_GB2312" w:cs="仿宋_GB2312"/>
          <w:color w:val="0D0D0D" w:themeColor="text1" w:themeTint="F2"/>
          <w:sz w:val="32"/>
          <w:szCs w:val="32"/>
          <w:highlight w:val="none"/>
          <w:lang w:val="en-US" w:eastAsia="zh-CN" w:bidi="ar"/>
          <w14:textFill>
            <w14:solidFill>
              <w14:schemeClr w14:val="tx1">
                <w14:lumMod w14:val="95000"/>
                <w14:lumOff w14:val="5000"/>
              </w14:schemeClr>
            </w14:solidFill>
          </w14:textFill>
        </w:rPr>
        <w:t>号</w:t>
      </w:r>
      <w:r>
        <w:rPr>
          <w:rFonts w:hint="eastAsia" w:ascii="仿宋_GB2312" w:hAnsi="仿宋_GB2312" w:eastAsia="仿宋_GB2312" w:cs="仿宋_GB2312"/>
          <w:color w:val="0D0D0D" w:themeColor="text1" w:themeTint="F2"/>
          <w:sz w:val="32"/>
          <w:szCs w:val="32"/>
          <w:highlight w:val="none"/>
          <w:lang w:eastAsia="zh-CN" w:bidi="ar"/>
          <w14:textFill>
            <w14:solidFill>
              <w14:schemeClr w14:val="tx1">
                <w14:lumMod w14:val="95000"/>
                <w14:lumOff w14:val="5000"/>
              </w14:schemeClr>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highlight w:val="none"/>
          <w:lang w:eastAsia="zh-CN" w:bidi="ar"/>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highlight w:val="none"/>
          <w:lang w:val="en-US" w:eastAsia="zh-CN" w:bidi="ar"/>
          <w14:textFill>
            <w14:solidFill>
              <w14:schemeClr w14:val="tx1">
                <w14:lumMod w14:val="95000"/>
                <w14:lumOff w14:val="5000"/>
              </w14:schemeClr>
            </w14:solidFill>
          </w14:textFill>
        </w:rPr>
        <w:t>二</w:t>
      </w:r>
      <w:r>
        <w:rPr>
          <w:rFonts w:hint="eastAsia" w:ascii="仿宋_GB2312" w:hAnsi="仿宋_GB2312" w:eastAsia="仿宋_GB2312" w:cs="仿宋_GB2312"/>
          <w:color w:val="0D0D0D" w:themeColor="text1" w:themeTint="F2"/>
          <w:sz w:val="32"/>
          <w:szCs w:val="32"/>
          <w:highlight w:val="none"/>
          <w:lang w:eastAsia="zh-CN" w:bidi="ar"/>
          <w14:textFill>
            <w14:solidFill>
              <w14:schemeClr w14:val="tx1">
                <w14:lumMod w14:val="95000"/>
                <w14:lumOff w14:val="5000"/>
              </w14:schemeClr>
            </w14:solidFill>
          </w14:textFill>
        </w:rPr>
        <w:t>）投标人应随时</w:t>
      </w:r>
      <w:r>
        <w:rPr>
          <w:rFonts w:hint="eastAsia" w:ascii="仿宋_GB2312" w:hAnsi="仿宋_GB2312" w:eastAsia="仿宋_GB2312" w:cs="仿宋_GB2312"/>
          <w:color w:val="0D0D0D" w:themeColor="text1" w:themeTint="F2"/>
          <w:sz w:val="32"/>
          <w:szCs w:val="32"/>
          <w:highlight w:val="none"/>
          <w:lang w:val="en-US" w:eastAsia="zh-CN" w:bidi="ar"/>
          <w14:textFill>
            <w14:solidFill>
              <w14:schemeClr w14:val="tx1">
                <w14:lumMod w14:val="95000"/>
                <w14:lumOff w14:val="5000"/>
              </w14:schemeClr>
            </w14:solidFill>
          </w14:textFill>
        </w:rPr>
        <w:t>在</w:t>
      </w:r>
      <w:r>
        <w:rPr>
          <w:rFonts w:hint="eastAsia" w:ascii="仿宋_GB2312" w:hAnsi="仿宋_GB2312" w:eastAsia="仿宋_GB2312" w:cs="仿宋_GB2312"/>
          <w:color w:val="0D0D0D" w:themeColor="text1" w:themeTint="F2"/>
          <w:sz w:val="32"/>
          <w:szCs w:val="32"/>
          <w:highlight w:val="none"/>
          <w:u w:val="single"/>
          <w:lang w:eastAsia="zh-CN"/>
          <w14:textFill>
            <w14:solidFill>
              <w14:schemeClr w14:val="tx1">
                <w14:lumMod w14:val="95000"/>
                <w14:lumOff w14:val="5000"/>
              </w14:schemeClr>
            </w14:solidFill>
          </w14:textFill>
        </w:rPr>
        <w:t>贵州省招标投标公共服务平台、贵州清镇农村商业银行股份有限公司官网</w:t>
      </w:r>
      <w:r>
        <w:rPr>
          <w:rFonts w:hint="eastAsia" w:ascii="仿宋_GB2312" w:hAnsi="仿宋_GB2312" w:eastAsia="仿宋_GB2312" w:cs="仿宋_GB2312"/>
          <w:color w:val="0D0D0D" w:themeColor="text1" w:themeTint="F2"/>
          <w:sz w:val="32"/>
          <w:szCs w:val="32"/>
          <w:highlight w:val="none"/>
          <w:lang w:eastAsia="zh-CN" w:bidi="ar"/>
          <w14:textFill>
            <w14:solidFill>
              <w14:schemeClr w14:val="tx1">
                <w14:lumMod w14:val="95000"/>
                <w14:lumOff w14:val="5000"/>
              </w14:schemeClr>
            </w14:solidFill>
          </w14:textFill>
        </w:rPr>
        <w:t xml:space="preserve">查看发出的文件澄清、补充、更正等通知内容，如因投标人未及时上网查询，后果由投标人自己承担。 </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textAlignment w:val="baseline"/>
        <w:outlineLvl w:val="1"/>
        <w:rPr>
          <w:rFonts w:hint="eastAsia" w:ascii="黑体" w:hAnsi="黑体" w:eastAsia="黑体" w:cs="黑体"/>
          <w:b w:val="0"/>
          <w:bCs w:val="0"/>
          <w:color w:val="0D0D0D" w:themeColor="text1" w:themeTint="F2"/>
          <w:sz w:val="32"/>
          <w:szCs w:val="32"/>
          <w:highlight w:val="none"/>
          <w14:textFill>
            <w14:solidFill>
              <w14:schemeClr w14:val="tx1">
                <w14:lumMod w14:val="95000"/>
                <w14:lumOff w14:val="5000"/>
              </w14:schemeClr>
            </w14:solidFill>
          </w14:textFill>
        </w:rPr>
      </w:pPr>
      <w:bookmarkStart w:id="10" w:name="_Toc12636"/>
      <w:r>
        <w:rPr>
          <w:rFonts w:hint="eastAsia" w:ascii="黑体" w:hAnsi="黑体" w:eastAsia="黑体" w:cs="黑体"/>
          <w:b w:val="0"/>
          <w:bCs w:val="0"/>
          <w:color w:val="0D0D0D" w:themeColor="text1" w:themeTint="F2"/>
          <w:sz w:val="32"/>
          <w:szCs w:val="32"/>
          <w:highlight w:val="none"/>
          <w:lang w:val="en-US" w:eastAsia="zh-CN"/>
          <w14:textFill>
            <w14:solidFill>
              <w14:schemeClr w14:val="tx1">
                <w14:lumMod w14:val="95000"/>
                <w14:lumOff w14:val="5000"/>
              </w14:schemeClr>
            </w14:solidFill>
          </w14:textFill>
        </w:rPr>
        <w:t>八、</w:t>
      </w:r>
      <w:r>
        <w:rPr>
          <w:rFonts w:hint="eastAsia" w:ascii="黑体" w:hAnsi="黑体" w:eastAsia="黑体" w:cs="黑体"/>
          <w:b w:val="0"/>
          <w:bCs w:val="0"/>
          <w:color w:val="0D0D0D" w:themeColor="text1" w:themeTint="F2"/>
          <w:sz w:val="32"/>
          <w:szCs w:val="32"/>
          <w:highlight w:val="none"/>
          <w14:textFill>
            <w14:solidFill>
              <w14:schemeClr w14:val="tx1">
                <w14:lumMod w14:val="95000"/>
                <w14:lumOff w14:val="5000"/>
              </w14:schemeClr>
            </w14:solidFill>
          </w14:textFill>
        </w:rPr>
        <w:t>联系方式</w:t>
      </w:r>
      <w:bookmarkEnd w:id="10"/>
    </w:p>
    <w:tbl>
      <w:tblPr>
        <w:tblStyle w:val="5"/>
        <w:tblW w:w="10257" w:type="dxa"/>
        <w:jc w:val="center"/>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0" w:type="dxa"/>
          <w:bottom w:w="0" w:type="dxa"/>
          <w:right w:w="0" w:type="dxa"/>
        </w:tblCellMar>
      </w:tblPr>
      <w:tblGrid>
        <w:gridCol w:w="1634"/>
        <w:gridCol w:w="3082"/>
        <w:gridCol w:w="1968"/>
        <w:gridCol w:w="3573"/>
      </w:tblGrid>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0" w:type="dxa"/>
            <w:bottom w:w="0" w:type="dxa"/>
            <w:right w:w="0" w:type="dxa"/>
          </w:tblCellMar>
        </w:tblPrEx>
        <w:trPr>
          <w:trHeight w:val="599" w:hRule="atLeast"/>
          <w:jc w:val="center"/>
        </w:trPr>
        <w:tc>
          <w:tcPr>
            <w:tcW w:w="1634" w:type="dxa"/>
            <w:vAlign w:val="center"/>
          </w:tcPr>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center"/>
              <w:textAlignment w:val="baseline"/>
              <w:rPr>
                <w:rFonts w:hint="eastAsia" w:ascii="仿宋_GB2312" w:hAnsi="仿宋_GB2312" w:eastAsia="仿宋_GB2312" w:cs="仿宋_GB2312"/>
                <w:color w:val="0D0D0D" w:themeColor="text1" w:themeTint="F2"/>
                <w:sz w:val="28"/>
                <w:szCs w:val="28"/>
                <w:highlight w:val="none"/>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highlight w:val="none"/>
                <w:lang w:eastAsia="zh-CN"/>
                <w14:textFill>
                  <w14:solidFill>
                    <w14:schemeClr w14:val="tx1">
                      <w14:lumMod w14:val="95000"/>
                      <w14:lumOff w14:val="5000"/>
                    </w14:schemeClr>
                  </w14:solidFill>
                </w14:textFill>
              </w:rPr>
              <w:t>采购</w:t>
            </w:r>
            <w:r>
              <w:rPr>
                <w:rFonts w:hint="eastAsia" w:ascii="仿宋_GB2312" w:hAnsi="仿宋_GB2312" w:eastAsia="仿宋_GB2312" w:cs="仿宋_GB2312"/>
                <w:color w:val="0D0D0D" w:themeColor="text1" w:themeTint="F2"/>
                <w:sz w:val="28"/>
                <w:szCs w:val="28"/>
                <w:highlight w:val="none"/>
                <w14:textFill>
                  <w14:solidFill>
                    <w14:schemeClr w14:val="tx1">
                      <w14:lumMod w14:val="95000"/>
                      <w14:lumOff w14:val="5000"/>
                    </w14:schemeClr>
                  </w14:solidFill>
                </w14:textFill>
              </w:rPr>
              <w:t>人：</w:t>
            </w:r>
          </w:p>
        </w:tc>
        <w:tc>
          <w:tcPr>
            <w:tcW w:w="3082" w:type="dxa"/>
            <w:vAlign w:val="center"/>
          </w:tcPr>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center"/>
              <w:textAlignment w:val="baseline"/>
              <w:rPr>
                <w:rFonts w:hint="eastAsia" w:ascii="仿宋_GB2312" w:hAnsi="仿宋_GB2312" w:eastAsia="仿宋_GB2312" w:cs="仿宋_GB2312"/>
                <w:color w:val="0D0D0D" w:themeColor="text1" w:themeTint="F2"/>
                <w:sz w:val="28"/>
                <w:szCs w:val="28"/>
                <w:highlight w:val="none"/>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highlight w:val="none"/>
                <w:lang w:eastAsia="zh-CN"/>
                <w14:textFill>
                  <w14:solidFill>
                    <w14:schemeClr w14:val="tx1">
                      <w14:lumMod w14:val="95000"/>
                      <w14:lumOff w14:val="5000"/>
                    </w14:schemeClr>
                  </w14:solidFill>
                </w14:textFill>
              </w:rPr>
              <w:t>贵州清镇农村商业银行股份有限公司</w:t>
            </w:r>
          </w:p>
        </w:tc>
        <w:tc>
          <w:tcPr>
            <w:tcW w:w="1968" w:type="dxa"/>
            <w:vAlign w:val="center"/>
          </w:tcPr>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center"/>
              <w:textAlignment w:val="baseline"/>
              <w:rPr>
                <w:rFonts w:hint="eastAsia" w:ascii="仿宋_GB2312" w:hAnsi="仿宋_GB2312" w:eastAsia="仿宋_GB2312" w:cs="仿宋_GB2312"/>
                <w:color w:val="0D0D0D" w:themeColor="text1" w:themeTint="F2"/>
                <w:sz w:val="28"/>
                <w:szCs w:val="28"/>
                <w:highlight w:val="none"/>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highlight w:val="none"/>
                <w14:textFill>
                  <w14:solidFill>
                    <w14:schemeClr w14:val="tx1">
                      <w14:lumMod w14:val="95000"/>
                      <w14:lumOff w14:val="5000"/>
                    </w14:schemeClr>
                  </w14:solidFill>
                </w14:textFill>
              </w:rPr>
              <w:t>招标代理机构：</w:t>
            </w:r>
          </w:p>
        </w:tc>
        <w:tc>
          <w:tcPr>
            <w:tcW w:w="3573" w:type="dxa"/>
            <w:vAlign w:val="center"/>
          </w:tcPr>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center"/>
              <w:textAlignment w:val="baseline"/>
              <w:rPr>
                <w:rFonts w:hint="eastAsia" w:ascii="仿宋_GB2312" w:hAnsi="仿宋_GB2312" w:eastAsia="仿宋_GB2312" w:cs="仿宋_GB2312"/>
                <w:color w:val="0D0D0D" w:themeColor="text1" w:themeTint="F2"/>
                <w:sz w:val="28"/>
                <w:szCs w:val="28"/>
                <w:highlight w:val="none"/>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highlight w:val="none"/>
                <w:lang w:eastAsia="zh-CN"/>
                <w14:textFill>
                  <w14:solidFill>
                    <w14:schemeClr w14:val="tx1">
                      <w14:lumMod w14:val="95000"/>
                      <w14:lumOff w14:val="5000"/>
                    </w14:schemeClr>
                  </w14:solidFill>
                </w14:textFill>
              </w:rPr>
              <w:t>贵州粟谷信息咨询有限公司</w:t>
            </w: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0" w:type="dxa"/>
            <w:bottom w:w="0" w:type="dxa"/>
            <w:right w:w="0" w:type="dxa"/>
          </w:tblCellMar>
        </w:tblPrEx>
        <w:trPr>
          <w:trHeight w:val="906" w:hRule="atLeast"/>
          <w:jc w:val="center"/>
        </w:trPr>
        <w:tc>
          <w:tcPr>
            <w:tcW w:w="1634" w:type="dxa"/>
            <w:vAlign w:val="center"/>
          </w:tcPr>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center"/>
              <w:textAlignment w:val="baseline"/>
              <w:rPr>
                <w:rFonts w:hint="eastAsia" w:ascii="仿宋_GB2312" w:hAnsi="仿宋_GB2312" w:eastAsia="仿宋_GB2312" w:cs="仿宋_GB2312"/>
                <w:color w:val="0D0D0D" w:themeColor="text1" w:themeTint="F2"/>
                <w:sz w:val="28"/>
                <w:szCs w:val="28"/>
                <w:highlight w:val="none"/>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highlight w:val="none"/>
                <w14:textFill>
                  <w14:solidFill>
                    <w14:schemeClr w14:val="tx1">
                      <w14:lumMod w14:val="95000"/>
                      <w14:lumOff w14:val="5000"/>
                    </w14:schemeClr>
                  </w14:solidFill>
                </w14:textFill>
              </w:rPr>
              <w:t>地址：</w:t>
            </w:r>
          </w:p>
        </w:tc>
        <w:tc>
          <w:tcPr>
            <w:tcW w:w="3082" w:type="dxa"/>
            <w:vAlign w:val="center"/>
          </w:tcPr>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center"/>
              <w:textAlignment w:val="baseline"/>
              <w:rPr>
                <w:rFonts w:hint="eastAsia" w:ascii="仿宋_GB2312" w:hAnsi="仿宋_GB2312" w:eastAsia="仿宋_GB2312" w:cs="仿宋_GB2312"/>
                <w:color w:val="0D0D0D" w:themeColor="text1" w:themeTint="F2"/>
                <w:sz w:val="28"/>
                <w:szCs w:val="28"/>
                <w:highlight w:val="none"/>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highlight w:val="none"/>
                <w:lang w:eastAsia="zh-CN"/>
                <w14:textFill>
                  <w14:solidFill>
                    <w14:schemeClr w14:val="tx1">
                      <w14:lumMod w14:val="95000"/>
                      <w14:lumOff w14:val="5000"/>
                    </w14:schemeClr>
                  </w14:solidFill>
                </w14:textFill>
              </w:rPr>
              <w:t>贵州省贵阳市清镇市青龙街道办事处云岭东路</w:t>
            </w:r>
          </w:p>
        </w:tc>
        <w:tc>
          <w:tcPr>
            <w:tcW w:w="1968" w:type="dxa"/>
            <w:vAlign w:val="center"/>
          </w:tcPr>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center"/>
              <w:textAlignment w:val="baseline"/>
              <w:rPr>
                <w:rFonts w:hint="eastAsia" w:ascii="仿宋_GB2312" w:hAnsi="仿宋_GB2312" w:eastAsia="仿宋_GB2312" w:cs="仿宋_GB2312"/>
                <w:color w:val="0D0D0D" w:themeColor="text1" w:themeTint="F2"/>
                <w:sz w:val="28"/>
                <w:szCs w:val="28"/>
                <w:highlight w:val="none"/>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highlight w:val="none"/>
                <w14:textFill>
                  <w14:solidFill>
                    <w14:schemeClr w14:val="tx1">
                      <w14:lumMod w14:val="95000"/>
                      <w14:lumOff w14:val="5000"/>
                    </w14:schemeClr>
                  </w14:solidFill>
                </w14:textFill>
              </w:rPr>
              <w:t>地址</w:t>
            </w:r>
            <w:r>
              <w:rPr>
                <w:rFonts w:hint="eastAsia" w:ascii="仿宋_GB2312" w:hAnsi="仿宋_GB2312" w:eastAsia="仿宋_GB2312" w:cs="仿宋_GB2312"/>
                <w:color w:val="0D0D0D" w:themeColor="text1" w:themeTint="F2"/>
                <w:sz w:val="28"/>
                <w:szCs w:val="28"/>
                <w:highlight w:val="none"/>
                <w:lang w:eastAsia="zh-CN"/>
                <w14:textFill>
                  <w14:solidFill>
                    <w14:schemeClr w14:val="tx1">
                      <w14:lumMod w14:val="95000"/>
                      <w14:lumOff w14:val="5000"/>
                    </w14:schemeClr>
                  </w14:solidFill>
                </w14:textFill>
              </w:rPr>
              <w:t>：</w:t>
            </w:r>
          </w:p>
        </w:tc>
        <w:tc>
          <w:tcPr>
            <w:tcW w:w="3573" w:type="dxa"/>
            <w:vAlign w:val="center"/>
          </w:tcPr>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center"/>
              <w:textAlignment w:val="baseline"/>
              <w:rPr>
                <w:rFonts w:hint="eastAsia" w:ascii="仿宋_GB2312" w:hAnsi="仿宋_GB2312" w:eastAsia="仿宋_GB2312" w:cs="仿宋_GB2312"/>
                <w:color w:val="0D0D0D" w:themeColor="text1" w:themeTint="F2"/>
                <w:sz w:val="28"/>
                <w:szCs w:val="28"/>
                <w:highlight w:val="none"/>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highlight w:val="none"/>
                <w:lang w:eastAsia="zh-CN"/>
                <w14:textFill>
                  <w14:solidFill>
                    <w14:schemeClr w14:val="tx1">
                      <w14:lumMod w14:val="95000"/>
                      <w14:lumOff w14:val="5000"/>
                    </w14:schemeClr>
                  </w14:solidFill>
                </w14:textFill>
              </w:rPr>
              <w:t>贵州省贵阳市观山湖区金融城雅实轩负</w:t>
            </w:r>
            <w:r>
              <w:rPr>
                <w:rFonts w:hint="default" w:ascii="Times New Roman" w:hAnsi="Times New Roman" w:eastAsia="仿宋_GB2312" w:cs="Times New Roman"/>
                <w:color w:val="0D0D0D" w:themeColor="text1" w:themeTint="F2"/>
                <w:sz w:val="28"/>
                <w:szCs w:val="28"/>
                <w:highlight w:val="none"/>
                <w:lang w:eastAsia="zh-CN"/>
                <w14:textFill>
                  <w14:solidFill>
                    <w14:schemeClr w14:val="tx1">
                      <w14:lumMod w14:val="95000"/>
                      <w14:lumOff w14:val="5000"/>
                    </w14:schemeClr>
                  </w14:solidFill>
                </w14:textFill>
              </w:rPr>
              <w:t>1</w:t>
            </w:r>
            <w:r>
              <w:rPr>
                <w:rFonts w:hint="eastAsia" w:ascii="仿宋_GB2312" w:hAnsi="仿宋_GB2312" w:eastAsia="仿宋_GB2312" w:cs="仿宋_GB2312"/>
                <w:color w:val="0D0D0D" w:themeColor="text1" w:themeTint="F2"/>
                <w:sz w:val="28"/>
                <w:szCs w:val="28"/>
                <w:highlight w:val="none"/>
                <w:lang w:eastAsia="zh-CN"/>
                <w14:textFill>
                  <w14:solidFill>
                    <w14:schemeClr w14:val="tx1">
                      <w14:lumMod w14:val="95000"/>
                      <w14:lumOff w14:val="5000"/>
                    </w14:schemeClr>
                  </w14:solidFill>
                </w14:textFill>
              </w:rPr>
              <w:t>层</w:t>
            </w:r>
            <w:r>
              <w:rPr>
                <w:rFonts w:hint="default" w:ascii="Times New Roman" w:hAnsi="Times New Roman" w:eastAsia="仿宋_GB2312" w:cs="Times New Roman"/>
                <w:color w:val="0D0D0D" w:themeColor="text1" w:themeTint="F2"/>
                <w:sz w:val="28"/>
                <w:szCs w:val="28"/>
                <w:highlight w:val="none"/>
                <w:lang w:eastAsia="zh-CN"/>
                <w14:textFill>
                  <w14:solidFill>
                    <w14:schemeClr w14:val="tx1">
                      <w14:lumMod w14:val="95000"/>
                      <w14:lumOff w14:val="5000"/>
                    </w14:schemeClr>
                  </w14:solidFill>
                </w14:textFill>
              </w:rPr>
              <w:t>62</w:t>
            </w:r>
            <w:r>
              <w:rPr>
                <w:rFonts w:hint="eastAsia" w:ascii="仿宋_GB2312" w:hAnsi="仿宋_GB2312" w:eastAsia="仿宋_GB2312" w:cs="仿宋_GB2312"/>
                <w:color w:val="0D0D0D" w:themeColor="text1" w:themeTint="F2"/>
                <w:sz w:val="28"/>
                <w:szCs w:val="28"/>
                <w:highlight w:val="none"/>
                <w:lang w:eastAsia="zh-CN"/>
                <w14:textFill>
                  <w14:solidFill>
                    <w14:schemeClr w14:val="tx1">
                      <w14:lumMod w14:val="95000"/>
                      <w14:lumOff w14:val="5000"/>
                    </w14:schemeClr>
                  </w14:solidFill>
                </w14:textFill>
              </w:rPr>
              <w:t>号</w:t>
            </w: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0" w:type="dxa"/>
            <w:bottom w:w="0" w:type="dxa"/>
            <w:right w:w="0" w:type="dxa"/>
          </w:tblCellMar>
        </w:tblPrEx>
        <w:trPr>
          <w:trHeight w:val="591" w:hRule="atLeast"/>
          <w:jc w:val="center"/>
        </w:trPr>
        <w:tc>
          <w:tcPr>
            <w:tcW w:w="1634" w:type="dxa"/>
            <w:vAlign w:val="center"/>
          </w:tcPr>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center"/>
              <w:textAlignment w:val="baseline"/>
              <w:rPr>
                <w:rFonts w:hint="eastAsia" w:ascii="仿宋_GB2312" w:hAnsi="仿宋_GB2312" w:eastAsia="仿宋_GB2312" w:cs="仿宋_GB2312"/>
                <w:color w:val="0D0D0D" w:themeColor="text1" w:themeTint="F2"/>
                <w:sz w:val="28"/>
                <w:szCs w:val="28"/>
                <w:highlight w:val="none"/>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highlight w:val="none"/>
                <w14:textFill>
                  <w14:solidFill>
                    <w14:schemeClr w14:val="tx1">
                      <w14:lumMod w14:val="95000"/>
                      <w14:lumOff w14:val="5000"/>
                    </w14:schemeClr>
                  </w14:solidFill>
                </w14:textFill>
              </w:rPr>
              <w:t>联系人：</w:t>
            </w:r>
          </w:p>
        </w:tc>
        <w:tc>
          <w:tcPr>
            <w:tcW w:w="3082" w:type="dxa"/>
            <w:vAlign w:val="center"/>
          </w:tcPr>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center"/>
              <w:textAlignment w:val="baseline"/>
              <w:rPr>
                <w:rFonts w:hint="eastAsia" w:ascii="仿宋_GB2312" w:hAnsi="仿宋_GB2312" w:eastAsia="仿宋_GB2312" w:cs="仿宋_GB2312"/>
                <w:color w:val="0D0D0D" w:themeColor="text1" w:themeTint="F2"/>
                <w:sz w:val="28"/>
                <w:szCs w:val="28"/>
                <w:highlight w:val="none"/>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highlight w:val="none"/>
                <w:lang w:eastAsia="zh-CN"/>
                <w14:textFill>
                  <w14:solidFill>
                    <w14:schemeClr w14:val="tx1">
                      <w14:lumMod w14:val="95000"/>
                      <w14:lumOff w14:val="5000"/>
                    </w14:schemeClr>
                  </w14:solidFill>
                </w14:textFill>
              </w:rPr>
              <w:t>集采办</w:t>
            </w:r>
          </w:p>
        </w:tc>
        <w:tc>
          <w:tcPr>
            <w:tcW w:w="1968" w:type="dxa"/>
            <w:vAlign w:val="center"/>
          </w:tcPr>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center"/>
              <w:textAlignment w:val="baseline"/>
              <w:rPr>
                <w:rFonts w:hint="eastAsia" w:ascii="仿宋_GB2312" w:hAnsi="仿宋_GB2312" w:eastAsia="仿宋_GB2312" w:cs="仿宋_GB2312"/>
                <w:color w:val="0D0D0D" w:themeColor="text1" w:themeTint="F2"/>
                <w:sz w:val="28"/>
                <w:szCs w:val="28"/>
                <w:highlight w:val="none"/>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highlight w:val="none"/>
                <w14:textFill>
                  <w14:solidFill>
                    <w14:schemeClr w14:val="tx1">
                      <w14:lumMod w14:val="95000"/>
                      <w14:lumOff w14:val="5000"/>
                    </w14:schemeClr>
                  </w14:solidFill>
                </w14:textFill>
              </w:rPr>
              <w:t>联系人：</w:t>
            </w:r>
          </w:p>
        </w:tc>
        <w:tc>
          <w:tcPr>
            <w:tcW w:w="3573" w:type="dxa"/>
            <w:vAlign w:val="center"/>
          </w:tcPr>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center"/>
              <w:textAlignment w:val="baseline"/>
              <w:rPr>
                <w:rFonts w:hint="eastAsia" w:ascii="仿宋_GB2312" w:hAnsi="仿宋_GB2312" w:eastAsia="仿宋_GB2312" w:cs="仿宋_GB2312"/>
                <w:color w:val="0D0D0D" w:themeColor="text1" w:themeTint="F2"/>
                <w:sz w:val="28"/>
                <w:szCs w:val="28"/>
                <w:highlight w:val="none"/>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highlight w:val="none"/>
                <w:lang w:eastAsia="zh-CN"/>
                <w14:textFill>
                  <w14:solidFill>
                    <w14:schemeClr w14:val="tx1">
                      <w14:lumMod w14:val="95000"/>
                      <w14:lumOff w14:val="5000"/>
                    </w14:schemeClr>
                  </w14:solidFill>
                </w14:textFill>
              </w:rPr>
              <w:t>蒲老师</w:t>
            </w: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0" w:type="dxa"/>
            <w:bottom w:w="0" w:type="dxa"/>
            <w:right w:w="0" w:type="dxa"/>
          </w:tblCellMar>
        </w:tblPrEx>
        <w:trPr>
          <w:trHeight w:val="570" w:hRule="atLeast"/>
          <w:jc w:val="center"/>
        </w:trPr>
        <w:tc>
          <w:tcPr>
            <w:tcW w:w="1634" w:type="dxa"/>
            <w:vAlign w:val="center"/>
          </w:tcPr>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center"/>
              <w:textAlignment w:val="baseline"/>
              <w:rPr>
                <w:rFonts w:hint="eastAsia" w:ascii="仿宋_GB2312" w:hAnsi="仿宋_GB2312" w:eastAsia="仿宋_GB2312" w:cs="仿宋_GB2312"/>
                <w:color w:val="0D0D0D" w:themeColor="text1" w:themeTint="F2"/>
                <w:sz w:val="28"/>
                <w:szCs w:val="28"/>
                <w:highlight w:val="none"/>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highlight w:val="none"/>
                <w14:textFill>
                  <w14:solidFill>
                    <w14:schemeClr w14:val="tx1">
                      <w14:lumMod w14:val="95000"/>
                      <w14:lumOff w14:val="5000"/>
                    </w14:schemeClr>
                  </w14:solidFill>
                </w14:textFill>
              </w:rPr>
              <w:t>电话：</w:t>
            </w:r>
          </w:p>
        </w:tc>
        <w:tc>
          <w:tcPr>
            <w:tcW w:w="3082" w:type="dxa"/>
            <w:vAlign w:val="center"/>
          </w:tcPr>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center"/>
              <w:textAlignment w:val="baseline"/>
              <w:rPr>
                <w:rFonts w:hint="eastAsia" w:ascii="仿宋_GB2312" w:hAnsi="仿宋_GB2312" w:eastAsia="仿宋_GB2312" w:cs="仿宋_GB2312"/>
                <w:color w:val="0D0D0D" w:themeColor="text1" w:themeTint="F2"/>
                <w:sz w:val="28"/>
                <w:szCs w:val="28"/>
                <w:highlight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8"/>
                <w:szCs w:val="28"/>
                <w:highlight w:val="none"/>
                <w:lang w:eastAsia="zh-CN"/>
                <w14:textFill>
                  <w14:solidFill>
                    <w14:schemeClr w14:val="tx1">
                      <w14:lumMod w14:val="95000"/>
                      <w14:lumOff w14:val="5000"/>
                    </w14:schemeClr>
                  </w14:solidFill>
                </w14:textFill>
              </w:rPr>
              <w:t>0851</w:t>
            </w:r>
            <w:r>
              <w:rPr>
                <w:rFonts w:hint="eastAsia" w:ascii="仿宋_GB2312" w:hAnsi="仿宋_GB2312" w:eastAsia="仿宋_GB2312" w:cs="仿宋_GB2312"/>
                <w:color w:val="0D0D0D" w:themeColor="text1" w:themeTint="F2"/>
                <w:sz w:val="28"/>
                <w:szCs w:val="28"/>
                <w:highlight w:val="none"/>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z w:val="28"/>
                <w:szCs w:val="28"/>
                <w:highlight w:val="none"/>
                <w:lang w:eastAsia="zh-CN"/>
                <w14:textFill>
                  <w14:solidFill>
                    <w14:schemeClr w14:val="tx1">
                      <w14:lumMod w14:val="95000"/>
                      <w14:lumOff w14:val="5000"/>
                    </w14:schemeClr>
                  </w14:solidFill>
                </w14:textFill>
              </w:rPr>
              <w:t>82600367</w:t>
            </w:r>
          </w:p>
        </w:tc>
        <w:tc>
          <w:tcPr>
            <w:tcW w:w="1968" w:type="dxa"/>
            <w:vAlign w:val="center"/>
          </w:tcPr>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center"/>
              <w:textAlignment w:val="baseline"/>
              <w:rPr>
                <w:rFonts w:hint="eastAsia" w:ascii="仿宋_GB2312" w:hAnsi="仿宋_GB2312" w:eastAsia="仿宋_GB2312" w:cs="仿宋_GB2312"/>
                <w:color w:val="0D0D0D" w:themeColor="text1" w:themeTint="F2"/>
                <w:sz w:val="28"/>
                <w:szCs w:val="28"/>
                <w:highlight w:val="none"/>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highlight w:val="none"/>
                <w14:textFill>
                  <w14:solidFill>
                    <w14:schemeClr w14:val="tx1">
                      <w14:lumMod w14:val="95000"/>
                      <w14:lumOff w14:val="5000"/>
                    </w14:schemeClr>
                  </w14:solidFill>
                </w14:textFill>
              </w:rPr>
              <w:t>电话：</w:t>
            </w:r>
          </w:p>
        </w:tc>
        <w:tc>
          <w:tcPr>
            <w:tcW w:w="3573" w:type="dxa"/>
            <w:vAlign w:val="center"/>
          </w:tcPr>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center"/>
              <w:textAlignment w:val="baseline"/>
              <w:rPr>
                <w:rFonts w:hint="eastAsia" w:ascii="仿宋_GB2312" w:hAnsi="仿宋_GB2312" w:eastAsia="仿宋_GB2312" w:cs="仿宋_GB2312"/>
                <w:color w:val="0D0D0D" w:themeColor="text1" w:themeTint="F2"/>
                <w:sz w:val="28"/>
                <w:szCs w:val="28"/>
                <w:highlight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8"/>
                <w:szCs w:val="28"/>
                <w:highlight w:val="none"/>
                <w:lang w:eastAsia="zh-CN"/>
                <w14:textFill>
                  <w14:solidFill>
                    <w14:schemeClr w14:val="tx1">
                      <w14:lumMod w14:val="95000"/>
                      <w14:lumOff w14:val="5000"/>
                    </w14:schemeClr>
                  </w14:solidFill>
                </w14:textFill>
              </w:rPr>
              <w:t>13037842593</w:t>
            </w:r>
          </w:p>
        </w:tc>
      </w:tr>
    </w:tbl>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highlight w:val="none"/>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highlight w:val="none"/>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highlight w:val="none"/>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080" w:firstLineChars="1900"/>
        <w:textAlignment w:val="baseline"/>
        <w:rPr>
          <w:rFonts w:hint="eastAsia" w:ascii="仿宋_GB2312" w:hAnsi="仿宋_GB2312" w:eastAsia="仿宋_GB2312" w:cs="仿宋_GB2312"/>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2025</w:t>
      </w:r>
      <w:r>
        <w:rPr>
          <w:rFonts w:hint="eastAsia" w:ascii="仿宋_GB2312" w:hAnsi="仿宋_GB2312" w:eastAsia="仿宋_GB2312" w:cs="仿宋_GB2312"/>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32"/>
          <w:highlight w:val="none"/>
          <w:lang w:val="en-US" w:eastAsia="zh-CN"/>
        </w:rPr>
        <w:t>月</w:t>
      </w:r>
      <w:r>
        <w:rPr>
          <w:rFonts w:hint="default" w:ascii="Times New Roman" w:hAnsi="Times New Roman" w:eastAsia="仿宋_GB2312" w:cs="Times New Roman"/>
          <w:sz w:val="32"/>
          <w:szCs w:val="32"/>
          <w:highlight w:val="none"/>
          <w:lang w:val="en-US" w:eastAsia="zh-CN"/>
        </w:rPr>
        <w:t>14</w:t>
      </w:r>
      <w:r>
        <w:rPr>
          <w:rFonts w:hint="eastAsia" w:ascii="仿宋_GB2312" w:hAnsi="仿宋_GB2312" w:eastAsia="仿宋_GB2312" w:cs="仿宋_GB2312"/>
          <w:sz w:val="32"/>
          <w:szCs w:val="32"/>
          <w:highlight w:val="none"/>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EAAE4F"/>
    <w:multiLevelType w:val="singleLevel"/>
    <w:tmpl w:val="E5EAAE4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06F1B"/>
    <w:rsid w:val="00124BAD"/>
    <w:rsid w:val="001E5462"/>
    <w:rsid w:val="004C393F"/>
    <w:rsid w:val="004E51DA"/>
    <w:rsid w:val="00781B7C"/>
    <w:rsid w:val="00BA6E70"/>
    <w:rsid w:val="00C56C03"/>
    <w:rsid w:val="00D37481"/>
    <w:rsid w:val="00DC7155"/>
    <w:rsid w:val="00F72FB7"/>
    <w:rsid w:val="013416AE"/>
    <w:rsid w:val="013C59D9"/>
    <w:rsid w:val="0169075F"/>
    <w:rsid w:val="017052C3"/>
    <w:rsid w:val="01D506F4"/>
    <w:rsid w:val="01D933E5"/>
    <w:rsid w:val="01D9489B"/>
    <w:rsid w:val="01F05E43"/>
    <w:rsid w:val="02174161"/>
    <w:rsid w:val="02457CA2"/>
    <w:rsid w:val="024F4D29"/>
    <w:rsid w:val="02507F7A"/>
    <w:rsid w:val="028227A7"/>
    <w:rsid w:val="02B668C9"/>
    <w:rsid w:val="03083C97"/>
    <w:rsid w:val="03142C0D"/>
    <w:rsid w:val="03221041"/>
    <w:rsid w:val="034B494F"/>
    <w:rsid w:val="034F498D"/>
    <w:rsid w:val="037A747A"/>
    <w:rsid w:val="0397156C"/>
    <w:rsid w:val="03B4536B"/>
    <w:rsid w:val="03BF266E"/>
    <w:rsid w:val="03C35F7C"/>
    <w:rsid w:val="04483E47"/>
    <w:rsid w:val="046D66DC"/>
    <w:rsid w:val="0479291C"/>
    <w:rsid w:val="04923294"/>
    <w:rsid w:val="0495342F"/>
    <w:rsid w:val="04964A6F"/>
    <w:rsid w:val="04B14267"/>
    <w:rsid w:val="04D05FBF"/>
    <w:rsid w:val="04E10F93"/>
    <w:rsid w:val="04F061C9"/>
    <w:rsid w:val="050F2098"/>
    <w:rsid w:val="052470F2"/>
    <w:rsid w:val="05291ED6"/>
    <w:rsid w:val="053D3AE2"/>
    <w:rsid w:val="05826A9D"/>
    <w:rsid w:val="05830467"/>
    <w:rsid w:val="05CB7CA0"/>
    <w:rsid w:val="05CC4AA2"/>
    <w:rsid w:val="05CD4B51"/>
    <w:rsid w:val="05D714B9"/>
    <w:rsid w:val="05DE372F"/>
    <w:rsid w:val="05E30E1B"/>
    <w:rsid w:val="05E45919"/>
    <w:rsid w:val="05F901B4"/>
    <w:rsid w:val="06121A51"/>
    <w:rsid w:val="06404278"/>
    <w:rsid w:val="06623801"/>
    <w:rsid w:val="067918F8"/>
    <w:rsid w:val="069C7483"/>
    <w:rsid w:val="069F10AF"/>
    <w:rsid w:val="06BE540F"/>
    <w:rsid w:val="06CA3407"/>
    <w:rsid w:val="06D42239"/>
    <w:rsid w:val="06D95E0E"/>
    <w:rsid w:val="06F72A36"/>
    <w:rsid w:val="07012BCE"/>
    <w:rsid w:val="07024954"/>
    <w:rsid w:val="07496AFB"/>
    <w:rsid w:val="074C0078"/>
    <w:rsid w:val="075B50C0"/>
    <w:rsid w:val="078C620F"/>
    <w:rsid w:val="07B16836"/>
    <w:rsid w:val="07C5619D"/>
    <w:rsid w:val="07D63005"/>
    <w:rsid w:val="08362AC2"/>
    <w:rsid w:val="08764B60"/>
    <w:rsid w:val="08A26028"/>
    <w:rsid w:val="08D93050"/>
    <w:rsid w:val="08E44531"/>
    <w:rsid w:val="08E5113E"/>
    <w:rsid w:val="09175A27"/>
    <w:rsid w:val="09335E28"/>
    <w:rsid w:val="09400D7F"/>
    <w:rsid w:val="0A07022C"/>
    <w:rsid w:val="0A2F4E8D"/>
    <w:rsid w:val="0A4C2433"/>
    <w:rsid w:val="0A5D2EF1"/>
    <w:rsid w:val="0AC950FC"/>
    <w:rsid w:val="0AF75529"/>
    <w:rsid w:val="0AFE4ADE"/>
    <w:rsid w:val="0B066C90"/>
    <w:rsid w:val="0B440270"/>
    <w:rsid w:val="0B464529"/>
    <w:rsid w:val="0B7369B3"/>
    <w:rsid w:val="0B881EC9"/>
    <w:rsid w:val="0BAD4F63"/>
    <w:rsid w:val="0BD62AC0"/>
    <w:rsid w:val="0BFA3DAA"/>
    <w:rsid w:val="0BFC05A9"/>
    <w:rsid w:val="0C0C3AC4"/>
    <w:rsid w:val="0C134C09"/>
    <w:rsid w:val="0C1C0AAF"/>
    <w:rsid w:val="0C2A5070"/>
    <w:rsid w:val="0C2D2CCB"/>
    <w:rsid w:val="0C4E42B5"/>
    <w:rsid w:val="0C5D0B7B"/>
    <w:rsid w:val="0C674241"/>
    <w:rsid w:val="0C7F21E1"/>
    <w:rsid w:val="0CB41686"/>
    <w:rsid w:val="0CC02C3A"/>
    <w:rsid w:val="0CDB35C5"/>
    <w:rsid w:val="0D132A19"/>
    <w:rsid w:val="0D272F86"/>
    <w:rsid w:val="0D303AC1"/>
    <w:rsid w:val="0D3B2984"/>
    <w:rsid w:val="0D5D13A9"/>
    <w:rsid w:val="0D8402CB"/>
    <w:rsid w:val="0D894A65"/>
    <w:rsid w:val="0DAE1A4A"/>
    <w:rsid w:val="0DAE4A96"/>
    <w:rsid w:val="0DB23BC4"/>
    <w:rsid w:val="0DCC5818"/>
    <w:rsid w:val="0E081C19"/>
    <w:rsid w:val="0E291E2D"/>
    <w:rsid w:val="0E2936CF"/>
    <w:rsid w:val="0E380162"/>
    <w:rsid w:val="0E3C5ADA"/>
    <w:rsid w:val="0E404AB6"/>
    <w:rsid w:val="0E524042"/>
    <w:rsid w:val="0E722144"/>
    <w:rsid w:val="0E786008"/>
    <w:rsid w:val="0EA65BA9"/>
    <w:rsid w:val="0EBA0289"/>
    <w:rsid w:val="0ED80050"/>
    <w:rsid w:val="0F2B6C7B"/>
    <w:rsid w:val="0F30626A"/>
    <w:rsid w:val="0F3B353A"/>
    <w:rsid w:val="0F651350"/>
    <w:rsid w:val="0F7011F2"/>
    <w:rsid w:val="0F7E2D98"/>
    <w:rsid w:val="0F9F4177"/>
    <w:rsid w:val="0FFD6650"/>
    <w:rsid w:val="1027620D"/>
    <w:rsid w:val="102D3428"/>
    <w:rsid w:val="10597E68"/>
    <w:rsid w:val="106F7919"/>
    <w:rsid w:val="10903768"/>
    <w:rsid w:val="109329CF"/>
    <w:rsid w:val="10C46019"/>
    <w:rsid w:val="10CE1877"/>
    <w:rsid w:val="10E11AAE"/>
    <w:rsid w:val="10E1304E"/>
    <w:rsid w:val="115E666A"/>
    <w:rsid w:val="11642638"/>
    <w:rsid w:val="119135FB"/>
    <w:rsid w:val="11A931DC"/>
    <w:rsid w:val="11D57018"/>
    <w:rsid w:val="11F04178"/>
    <w:rsid w:val="120E10AC"/>
    <w:rsid w:val="122E24C9"/>
    <w:rsid w:val="12652A0C"/>
    <w:rsid w:val="12E24E27"/>
    <w:rsid w:val="12E554F7"/>
    <w:rsid w:val="13100208"/>
    <w:rsid w:val="13663EF9"/>
    <w:rsid w:val="136B1E69"/>
    <w:rsid w:val="13914EBF"/>
    <w:rsid w:val="13A8474B"/>
    <w:rsid w:val="13AE307A"/>
    <w:rsid w:val="13E13EFA"/>
    <w:rsid w:val="14106F75"/>
    <w:rsid w:val="14216111"/>
    <w:rsid w:val="14257F82"/>
    <w:rsid w:val="14A11294"/>
    <w:rsid w:val="14A4678E"/>
    <w:rsid w:val="14D8642F"/>
    <w:rsid w:val="150511ED"/>
    <w:rsid w:val="15273D63"/>
    <w:rsid w:val="153D145F"/>
    <w:rsid w:val="159940BE"/>
    <w:rsid w:val="15A911CE"/>
    <w:rsid w:val="15C04125"/>
    <w:rsid w:val="15E83C27"/>
    <w:rsid w:val="162B08A6"/>
    <w:rsid w:val="163140C5"/>
    <w:rsid w:val="165164E1"/>
    <w:rsid w:val="16524C88"/>
    <w:rsid w:val="167A4F63"/>
    <w:rsid w:val="169E054A"/>
    <w:rsid w:val="16AB0BC9"/>
    <w:rsid w:val="16D90283"/>
    <w:rsid w:val="16E27B80"/>
    <w:rsid w:val="16E56105"/>
    <w:rsid w:val="16EA0C7A"/>
    <w:rsid w:val="17096A40"/>
    <w:rsid w:val="172561C2"/>
    <w:rsid w:val="172F24CA"/>
    <w:rsid w:val="17430249"/>
    <w:rsid w:val="178C0C5F"/>
    <w:rsid w:val="17D75B68"/>
    <w:rsid w:val="180F5625"/>
    <w:rsid w:val="18136B64"/>
    <w:rsid w:val="182617E3"/>
    <w:rsid w:val="186A20DD"/>
    <w:rsid w:val="18765459"/>
    <w:rsid w:val="189302D4"/>
    <w:rsid w:val="18B73FB7"/>
    <w:rsid w:val="18D4402F"/>
    <w:rsid w:val="18D85637"/>
    <w:rsid w:val="18DA74A4"/>
    <w:rsid w:val="190C4AFD"/>
    <w:rsid w:val="19144B08"/>
    <w:rsid w:val="191B1519"/>
    <w:rsid w:val="193D5E12"/>
    <w:rsid w:val="194B71F3"/>
    <w:rsid w:val="1967248F"/>
    <w:rsid w:val="198E3126"/>
    <w:rsid w:val="19937A62"/>
    <w:rsid w:val="199D3E71"/>
    <w:rsid w:val="19A10483"/>
    <w:rsid w:val="19A24E8B"/>
    <w:rsid w:val="19AC1554"/>
    <w:rsid w:val="19B82707"/>
    <w:rsid w:val="19EE75EE"/>
    <w:rsid w:val="1A08407E"/>
    <w:rsid w:val="1A230790"/>
    <w:rsid w:val="1A553BB2"/>
    <w:rsid w:val="1A671D8C"/>
    <w:rsid w:val="1A8F3EFC"/>
    <w:rsid w:val="1AA84DE7"/>
    <w:rsid w:val="1AE25CD4"/>
    <w:rsid w:val="1B2229F3"/>
    <w:rsid w:val="1B302E52"/>
    <w:rsid w:val="1B410326"/>
    <w:rsid w:val="1B48303F"/>
    <w:rsid w:val="1B5F2638"/>
    <w:rsid w:val="1BAE38A7"/>
    <w:rsid w:val="1BDD762E"/>
    <w:rsid w:val="1BEF27DB"/>
    <w:rsid w:val="1C257661"/>
    <w:rsid w:val="1C4074D9"/>
    <w:rsid w:val="1C52100D"/>
    <w:rsid w:val="1C595C71"/>
    <w:rsid w:val="1C6B4831"/>
    <w:rsid w:val="1C731B0A"/>
    <w:rsid w:val="1C7A3E12"/>
    <w:rsid w:val="1C8864B9"/>
    <w:rsid w:val="1C8C4BE5"/>
    <w:rsid w:val="1C8E6DA8"/>
    <w:rsid w:val="1C982127"/>
    <w:rsid w:val="1CA01160"/>
    <w:rsid w:val="1CF65DCD"/>
    <w:rsid w:val="1D425F86"/>
    <w:rsid w:val="1D8103B7"/>
    <w:rsid w:val="1D820BBD"/>
    <w:rsid w:val="1DA61CC9"/>
    <w:rsid w:val="1DAB6B1D"/>
    <w:rsid w:val="1DB742A8"/>
    <w:rsid w:val="1DC1107F"/>
    <w:rsid w:val="1DCA5631"/>
    <w:rsid w:val="1DD23A17"/>
    <w:rsid w:val="1DF35238"/>
    <w:rsid w:val="1E0A4048"/>
    <w:rsid w:val="1E225AEE"/>
    <w:rsid w:val="1E526154"/>
    <w:rsid w:val="1E7579DB"/>
    <w:rsid w:val="1E7C3512"/>
    <w:rsid w:val="1E9857A7"/>
    <w:rsid w:val="1EAC0FD4"/>
    <w:rsid w:val="1EC91A4C"/>
    <w:rsid w:val="1ECB068F"/>
    <w:rsid w:val="1ECD7A12"/>
    <w:rsid w:val="1EF02CE3"/>
    <w:rsid w:val="1F083DD8"/>
    <w:rsid w:val="1F105ADA"/>
    <w:rsid w:val="1F1A4C6C"/>
    <w:rsid w:val="1F2927FE"/>
    <w:rsid w:val="1F5F6360"/>
    <w:rsid w:val="1F8231A2"/>
    <w:rsid w:val="1F8B31CC"/>
    <w:rsid w:val="1FCF2FA0"/>
    <w:rsid w:val="1FE44D60"/>
    <w:rsid w:val="1FF337C1"/>
    <w:rsid w:val="200C3FF5"/>
    <w:rsid w:val="2035595E"/>
    <w:rsid w:val="205B3C73"/>
    <w:rsid w:val="20802A4A"/>
    <w:rsid w:val="20DC15B2"/>
    <w:rsid w:val="20F03DB4"/>
    <w:rsid w:val="211E743E"/>
    <w:rsid w:val="212B369C"/>
    <w:rsid w:val="2144555F"/>
    <w:rsid w:val="215A202A"/>
    <w:rsid w:val="216A584F"/>
    <w:rsid w:val="216D5A8C"/>
    <w:rsid w:val="21727134"/>
    <w:rsid w:val="218C625B"/>
    <w:rsid w:val="2193738F"/>
    <w:rsid w:val="21AF0E1B"/>
    <w:rsid w:val="21D517E2"/>
    <w:rsid w:val="221D63FA"/>
    <w:rsid w:val="22275C06"/>
    <w:rsid w:val="225666B5"/>
    <w:rsid w:val="225F07CE"/>
    <w:rsid w:val="226325CA"/>
    <w:rsid w:val="22642590"/>
    <w:rsid w:val="22647468"/>
    <w:rsid w:val="226905B6"/>
    <w:rsid w:val="226F1120"/>
    <w:rsid w:val="227F2310"/>
    <w:rsid w:val="22A640F6"/>
    <w:rsid w:val="22B042AB"/>
    <w:rsid w:val="22B83FB8"/>
    <w:rsid w:val="22F36E06"/>
    <w:rsid w:val="23603E4E"/>
    <w:rsid w:val="237B34D4"/>
    <w:rsid w:val="23843202"/>
    <w:rsid w:val="23BF7907"/>
    <w:rsid w:val="23CB1E93"/>
    <w:rsid w:val="24403E4C"/>
    <w:rsid w:val="24471AD9"/>
    <w:rsid w:val="24B86734"/>
    <w:rsid w:val="24BC6572"/>
    <w:rsid w:val="25037ECA"/>
    <w:rsid w:val="25550E0A"/>
    <w:rsid w:val="256C5532"/>
    <w:rsid w:val="259251F2"/>
    <w:rsid w:val="259C5951"/>
    <w:rsid w:val="25A1760F"/>
    <w:rsid w:val="25A426A7"/>
    <w:rsid w:val="25A827C9"/>
    <w:rsid w:val="25AA0330"/>
    <w:rsid w:val="25B663AF"/>
    <w:rsid w:val="25CC3149"/>
    <w:rsid w:val="25D86019"/>
    <w:rsid w:val="262D3EC4"/>
    <w:rsid w:val="26612EA3"/>
    <w:rsid w:val="26984C51"/>
    <w:rsid w:val="26E33BEC"/>
    <w:rsid w:val="26F91A51"/>
    <w:rsid w:val="27340129"/>
    <w:rsid w:val="274F208F"/>
    <w:rsid w:val="27515DFC"/>
    <w:rsid w:val="275A6615"/>
    <w:rsid w:val="27613E53"/>
    <w:rsid w:val="276E622F"/>
    <w:rsid w:val="27710954"/>
    <w:rsid w:val="277B238D"/>
    <w:rsid w:val="277E22DB"/>
    <w:rsid w:val="27815C33"/>
    <w:rsid w:val="27C66720"/>
    <w:rsid w:val="27FF154D"/>
    <w:rsid w:val="27FF3BBF"/>
    <w:rsid w:val="2813327E"/>
    <w:rsid w:val="2819738B"/>
    <w:rsid w:val="28422AF6"/>
    <w:rsid w:val="28514DC9"/>
    <w:rsid w:val="28722115"/>
    <w:rsid w:val="28B73548"/>
    <w:rsid w:val="28B7531D"/>
    <w:rsid w:val="29171C48"/>
    <w:rsid w:val="292A7752"/>
    <w:rsid w:val="2957275F"/>
    <w:rsid w:val="296018D2"/>
    <w:rsid w:val="29652F62"/>
    <w:rsid w:val="2996297C"/>
    <w:rsid w:val="29A3781F"/>
    <w:rsid w:val="29FB1031"/>
    <w:rsid w:val="2A21017B"/>
    <w:rsid w:val="2A283A65"/>
    <w:rsid w:val="2A2B6962"/>
    <w:rsid w:val="2A5515F2"/>
    <w:rsid w:val="2A5640AC"/>
    <w:rsid w:val="2A6452EB"/>
    <w:rsid w:val="2A9D196F"/>
    <w:rsid w:val="2AC469A3"/>
    <w:rsid w:val="2ACD294C"/>
    <w:rsid w:val="2AED2836"/>
    <w:rsid w:val="2B2F678C"/>
    <w:rsid w:val="2B485DEB"/>
    <w:rsid w:val="2B4B6347"/>
    <w:rsid w:val="2B9A30DA"/>
    <w:rsid w:val="2BB655E2"/>
    <w:rsid w:val="2BB7207A"/>
    <w:rsid w:val="2BC00F2C"/>
    <w:rsid w:val="2BC877BE"/>
    <w:rsid w:val="2BC95C93"/>
    <w:rsid w:val="2BCF2C19"/>
    <w:rsid w:val="2BFB4105"/>
    <w:rsid w:val="2C443B07"/>
    <w:rsid w:val="2C6176CB"/>
    <w:rsid w:val="2C9703E0"/>
    <w:rsid w:val="2CC16C3E"/>
    <w:rsid w:val="2CC64DC2"/>
    <w:rsid w:val="2CDE62A3"/>
    <w:rsid w:val="2D025E05"/>
    <w:rsid w:val="2D4C6A4F"/>
    <w:rsid w:val="2D6E72E2"/>
    <w:rsid w:val="2D882123"/>
    <w:rsid w:val="2D8843CF"/>
    <w:rsid w:val="2D973827"/>
    <w:rsid w:val="2DA506EF"/>
    <w:rsid w:val="2DD16793"/>
    <w:rsid w:val="2DD32FC4"/>
    <w:rsid w:val="2DF63BE2"/>
    <w:rsid w:val="2E2B2D88"/>
    <w:rsid w:val="2E3217F2"/>
    <w:rsid w:val="2E587F1A"/>
    <w:rsid w:val="2E5A426C"/>
    <w:rsid w:val="2E7E3A93"/>
    <w:rsid w:val="2E8D3EA4"/>
    <w:rsid w:val="2E963F3D"/>
    <w:rsid w:val="2EB8572F"/>
    <w:rsid w:val="2EBA6289"/>
    <w:rsid w:val="2EBF07E9"/>
    <w:rsid w:val="2ED573BA"/>
    <w:rsid w:val="2F1A32F9"/>
    <w:rsid w:val="2F686074"/>
    <w:rsid w:val="2F9B6A39"/>
    <w:rsid w:val="2FAF404D"/>
    <w:rsid w:val="2FB75848"/>
    <w:rsid w:val="2FE54B60"/>
    <w:rsid w:val="30016ED2"/>
    <w:rsid w:val="3089314A"/>
    <w:rsid w:val="30AA4B04"/>
    <w:rsid w:val="30B531FE"/>
    <w:rsid w:val="30B60299"/>
    <w:rsid w:val="31040C1C"/>
    <w:rsid w:val="310A0313"/>
    <w:rsid w:val="311B57B6"/>
    <w:rsid w:val="311E68CC"/>
    <w:rsid w:val="312028F3"/>
    <w:rsid w:val="312414DE"/>
    <w:rsid w:val="3124189D"/>
    <w:rsid w:val="3124230F"/>
    <w:rsid w:val="31567BC9"/>
    <w:rsid w:val="31625061"/>
    <w:rsid w:val="3171004B"/>
    <w:rsid w:val="317B23B2"/>
    <w:rsid w:val="319E3B14"/>
    <w:rsid w:val="31B053EF"/>
    <w:rsid w:val="31BA5D19"/>
    <w:rsid w:val="31C13183"/>
    <w:rsid w:val="31F445B2"/>
    <w:rsid w:val="32111F5C"/>
    <w:rsid w:val="325E5E25"/>
    <w:rsid w:val="32AE4B37"/>
    <w:rsid w:val="32BB0A84"/>
    <w:rsid w:val="32E56ED1"/>
    <w:rsid w:val="32F16B83"/>
    <w:rsid w:val="33C40177"/>
    <w:rsid w:val="33DF1BCF"/>
    <w:rsid w:val="33DF6AD6"/>
    <w:rsid w:val="33E7302A"/>
    <w:rsid w:val="341636C5"/>
    <w:rsid w:val="343A2989"/>
    <w:rsid w:val="345B151C"/>
    <w:rsid w:val="34B91A02"/>
    <w:rsid w:val="34CB2F08"/>
    <w:rsid w:val="35313F21"/>
    <w:rsid w:val="35393CA5"/>
    <w:rsid w:val="355F7872"/>
    <w:rsid w:val="35663E3B"/>
    <w:rsid w:val="357877DA"/>
    <w:rsid w:val="357A0672"/>
    <w:rsid w:val="35923769"/>
    <w:rsid w:val="35B93AD6"/>
    <w:rsid w:val="35E350A1"/>
    <w:rsid w:val="35E80EBD"/>
    <w:rsid w:val="360C3DBC"/>
    <w:rsid w:val="36151B84"/>
    <w:rsid w:val="361A0ACA"/>
    <w:rsid w:val="363B0A33"/>
    <w:rsid w:val="364A4FE6"/>
    <w:rsid w:val="3683096F"/>
    <w:rsid w:val="368F3E5A"/>
    <w:rsid w:val="36B137E4"/>
    <w:rsid w:val="36CC2902"/>
    <w:rsid w:val="36F22033"/>
    <w:rsid w:val="37026A22"/>
    <w:rsid w:val="3746335F"/>
    <w:rsid w:val="37751965"/>
    <w:rsid w:val="37B7003F"/>
    <w:rsid w:val="37EE6836"/>
    <w:rsid w:val="37F478FB"/>
    <w:rsid w:val="380D666F"/>
    <w:rsid w:val="38191B19"/>
    <w:rsid w:val="383E5A4E"/>
    <w:rsid w:val="38625557"/>
    <w:rsid w:val="3918563B"/>
    <w:rsid w:val="393A4FDF"/>
    <w:rsid w:val="39D345C9"/>
    <w:rsid w:val="39EE65D6"/>
    <w:rsid w:val="3A24057B"/>
    <w:rsid w:val="3A5365A1"/>
    <w:rsid w:val="3A85094A"/>
    <w:rsid w:val="3AC21B6F"/>
    <w:rsid w:val="3AEF58D1"/>
    <w:rsid w:val="3B1E68DC"/>
    <w:rsid w:val="3B2057E5"/>
    <w:rsid w:val="3B366062"/>
    <w:rsid w:val="3B5A0B5A"/>
    <w:rsid w:val="3B745E13"/>
    <w:rsid w:val="3B8B1FD1"/>
    <w:rsid w:val="3B957A69"/>
    <w:rsid w:val="3BA13C0C"/>
    <w:rsid w:val="3BA352C1"/>
    <w:rsid w:val="3BA75A75"/>
    <w:rsid w:val="3C083AEB"/>
    <w:rsid w:val="3C4C7DDF"/>
    <w:rsid w:val="3C571FB7"/>
    <w:rsid w:val="3C9B59B2"/>
    <w:rsid w:val="3C9C5BAA"/>
    <w:rsid w:val="3CD70C98"/>
    <w:rsid w:val="3CE24312"/>
    <w:rsid w:val="3CFF5D66"/>
    <w:rsid w:val="3D0975FE"/>
    <w:rsid w:val="3D160686"/>
    <w:rsid w:val="3D1D2A85"/>
    <w:rsid w:val="3D7437B3"/>
    <w:rsid w:val="3D8B1BED"/>
    <w:rsid w:val="3DB75329"/>
    <w:rsid w:val="3DE03546"/>
    <w:rsid w:val="3DE263FB"/>
    <w:rsid w:val="3DE808DA"/>
    <w:rsid w:val="3DFA2499"/>
    <w:rsid w:val="3E0A0C1D"/>
    <w:rsid w:val="3E0B6FDA"/>
    <w:rsid w:val="3E1A0D26"/>
    <w:rsid w:val="3E1D6519"/>
    <w:rsid w:val="3E237F62"/>
    <w:rsid w:val="3E2E48EF"/>
    <w:rsid w:val="3E891E67"/>
    <w:rsid w:val="3EB46DA0"/>
    <w:rsid w:val="3EB775F3"/>
    <w:rsid w:val="3EB96AAC"/>
    <w:rsid w:val="3ED609FE"/>
    <w:rsid w:val="3EE054EF"/>
    <w:rsid w:val="3EF706BD"/>
    <w:rsid w:val="3F5D0327"/>
    <w:rsid w:val="3F5E0C5A"/>
    <w:rsid w:val="3F906577"/>
    <w:rsid w:val="3F9E38CB"/>
    <w:rsid w:val="3FB970E3"/>
    <w:rsid w:val="3FBF0965"/>
    <w:rsid w:val="3FE06F1B"/>
    <w:rsid w:val="400D63E1"/>
    <w:rsid w:val="402C228F"/>
    <w:rsid w:val="405E76AF"/>
    <w:rsid w:val="40634DB8"/>
    <w:rsid w:val="40780EE2"/>
    <w:rsid w:val="40B170EF"/>
    <w:rsid w:val="40B6742E"/>
    <w:rsid w:val="40BF36FF"/>
    <w:rsid w:val="40CE5970"/>
    <w:rsid w:val="411B7537"/>
    <w:rsid w:val="41213EA8"/>
    <w:rsid w:val="41322AEB"/>
    <w:rsid w:val="41541502"/>
    <w:rsid w:val="415577D5"/>
    <w:rsid w:val="41637156"/>
    <w:rsid w:val="41654B0D"/>
    <w:rsid w:val="417B150E"/>
    <w:rsid w:val="41B71BA6"/>
    <w:rsid w:val="420E05FC"/>
    <w:rsid w:val="4228362A"/>
    <w:rsid w:val="42300A84"/>
    <w:rsid w:val="423C3904"/>
    <w:rsid w:val="426671E4"/>
    <w:rsid w:val="429810ED"/>
    <w:rsid w:val="429E5284"/>
    <w:rsid w:val="42FC0435"/>
    <w:rsid w:val="43161B52"/>
    <w:rsid w:val="43204C7F"/>
    <w:rsid w:val="43256B7E"/>
    <w:rsid w:val="4327152F"/>
    <w:rsid w:val="432E091D"/>
    <w:rsid w:val="434E501E"/>
    <w:rsid w:val="435C0A75"/>
    <w:rsid w:val="439970A3"/>
    <w:rsid w:val="43D27E62"/>
    <w:rsid w:val="43F63646"/>
    <w:rsid w:val="43FC5986"/>
    <w:rsid w:val="44226BD2"/>
    <w:rsid w:val="44552A9E"/>
    <w:rsid w:val="449E30E1"/>
    <w:rsid w:val="44B12BFE"/>
    <w:rsid w:val="44E46CF6"/>
    <w:rsid w:val="44FE772D"/>
    <w:rsid w:val="45162CBA"/>
    <w:rsid w:val="45483D83"/>
    <w:rsid w:val="455F56DB"/>
    <w:rsid w:val="457C7C22"/>
    <w:rsid w:val="457F20C8"/>
    <w:rsid w:val="45951A34"/>
    <w:rsid w:val="45A556A3"/>
    <w:rsid w:val="45BB0E91"/>
    <w:rsid w:val="460C0D0C"/>
    <w:rsid w:val="4667529E"/>
    <w:rsid w:val="4673057D"/>
    <w:rsid w:val="46A7615A"/>
    <w:rsid w:val="46B55A1D"/>
    <w:rsid w:val="46C24260"/>
    <w:rsid w:val="470B5EF2"/>
    <w:rsid w:val="471A44A8"/>
    <w:rsid w:val="47463445"/>
    <w:rsid w:val="479D6A03"/>
    <w:rsid w:val="47B906AE"/>
    <w:rsid w:val="47DC2D30"/>
    <w:rsid w:val="47F56133"/>
    <w:rsid w:val="481C3978"/>
    <w:rsid w:val="485A300C"/>
    <w:rsid w:val="487A1616"/>
    <w:rsid w:val="48876C69"/>
    <w:rsid w:val="48931EB4"/>
    <w:rsid w:val="4895079D"/>
    <w:rsid w:val="48BE3F15"/>
    <w:rsid w:val="48C5000E"/>
    <w:rsid w:val="48D25E67"/>
    <w:rsid w:val="48FC63DA"/>
    <w:rsid w:val="48FD7714"/>
    <w:rsid w:val="49105852"/>
    <w:rsid w:val="491A018C"/>
    <w:rsid w:val="49321F16"/>
    <w:rsid w:val="495A4B55"/>
    <w:rsid w:val="4980187B"/>
    <w:rsid w:val="49966EE2"/>
    <w:rsid w:val="49AA7E86"/>
    <w:rsid w:val="49B10EF8"/>
    <w:rsid w:val="49D95DD5"/>
    <w:rsid w:val="4A003161"/>
    <w:rsid w:val="4A273A9C"/>
    <w:rsid w:val="4A274EC0"/>
    <w:rsid w:val="4A291DD5"/>
    <w:rsid w:val="4A440A98"/>
    <w:rsid w:val="4A566A6C"/>
    <w:rsid w:val="4A62765E"/>
    <w:rsid w:val="4A79005E"/>
    <w:rsid w:val="4A992F24"/>
    <w:rsid w:val="4ABF2900"/>
    <w:rsid w:val="4ADD6C93"/>
    <w:rsid w:val="4AEE2A72"/>
    <w:rsid w:val="4B106005"/>
    <w:rsid w:val="4B200E8C"/>
    <w:rsid w:val="4B340A98"/>
    <w:rsid w:val="4B357BC4"/>
    <w:rsid w:val="4B390DA5"/>
    <w:rsid w:val="4B407AA3"/>
    <w:rsid w:val="4B613DCD"/>
    <w:rsid w:val="4B7645A7"/>
    <w:rsid w:val="4B7A3177"/>
    <w:rsid w:val="4B7D377A"/>
    <w:rsid w:val="4BC763BF"/>
    <w:rsid w:val="4C0438B1"/>
    <w:rsid w:val="4C0F4AD6"/>
    <w:rsid w:val="4C240D41"/>
    <w:rsid w:val="4C2F5B8B"/>
    <w:rsid w:val="4C361822"/>
    <w:rsid w:val="4CA7362E"/>
    <w:rsid w:val="4CBC3EB9"/>
    <w:rsid w:val="4CC60C56"/>
    <w:rsid w:val="4CE26522"/>
    <w:rsid w:val="4CFA54CA"/>
    <w:rsid w:val="4D197588"/>
    <w:rsid w:val="4D2C19BE"/>
    <w:rsid w:val="4D351D4C"/>
    <w:rsid w:val="4D35297A"/>
    <w:rsid w:val="4D5419AD"/>
    <w:rsid w:val="4D9864EE"/>
    <w:rsid w:val="4DA469C5"/>
    <w:rsid w:val="4DAE2890"/>
    <w:rsid w:val="4E1B6AC8"/>
    <w:rsid w:val="4E3262ED"/>
    <w:rsid w:val="4E610A51"/>
    <w:rsid w:val="4E7A286E"/>
    <w:rsid w:val="4ECA7B7D"/>
    <w:rsid w:val="4ED10906"/>
    <w:rsid w:val="4EEC6DDD"/>
    <w:rsid w:val="4F1555CB"/>
    <w:rsid w:val="4F1F3CE1"/>
    <w:rsid w:val="4F4A3B48"/>
    <w:rsid w:val="4F5E42EB"/>
    <w:rsid w:val="4F675952"/>
    <w:rsid w:val="4F901CDA"/>
    <w:rsid w:val="4FEC05A6"/>
    <w:rsid w:val="500D356A"/>
    <w:rsid w:val="502E15D5"/>
    <w:rsid w:val="50372989"/>
    <w:rsid w:val="505419FB"/>
    <w:rsid w:val="50846A78"/>
    <w:rsid w:val="508A4659"/>
    <w:rsid w:val="50CF575F"/>
    <w:rsid w:val="50FB48B5"/>
    <w:rsid w:val="51367950"/>
    <w:rsid w:val="513D52AE"/>
    <w:rsid w:val="514A277D"/>
    <w:rsid w:val="515402FC"/>
    <w:rsid w:val="515666F5"/>
    <w:rsid w:val="515B397F"/>
    <w:rsid w:val="51A15CA2"/>
    <w:rsid w:val="51DB16E6"/>
    <w:rsid w:val="522D1F3E"/>
    <w:rsid w:val="522D48C2"/>
    <w:rsid w:val="52385D60"/>
    <w:rsid w:val="524943A4"/>
    <w:rsid w:val="529C317C"/>
    <w:rsid w:val="52A43C81"/>
    <w:rsid w:val="52AA0A45"/>
    <w:rsid w:val="52CF08A8"/>
    <w:rsid w:val="52D0431C"/>
    <w:rsid w:val="52E1100D"/>
    <w:rsid w:val="53295B9C"/>
    <w:rsid w:val="533F5C7D"/>
    <w:rsid w:val="53433EA2"/>
    <w:rsid w:val="53B052A5"/>
    <w:rsid w:val="53BF59D7"/>
    <w:rsid w:val="53EE7388"/>
    <w:rsid w:val="53F901A4"/>
    <w:rsid w:val="540333D5"/>
    <w:rsid w:val="541B2414"/>
    <w:rsid w:val="54451D50"/>
    <w:rsid w:val="547038B6"/>
    <w:rsid w:val="547E5273"/>
    <w:rsid w:val="54DE487F"/>
    <w:rsid w:val="54FB5400"/>
    <w:rsid w:val="55002128"/>
    <w:rsid w:val="55080283"/>
    <w:rsid w:val="554912DF"/>
    <w:rsid w:val="556E08D2"/>
    <w:rsid w:val="55705947"/>
    <w:rsid w:val="55CC44AE"/>
    <w:rsid w:val="55CF359D"/>
    <w:rsid w:val="55D60E6B"/>
    <w:rsid w:val="55EC473E"/>
    <w:rsid w:val="561C6B9F"/>
    <w:rsid w:val="561E4786"/>
    <w:rsid w:val="563E3A22"/>
    <w:rsid w:val="56456191"/>
    <w:rsid w:val="565664EA"/>
    <w:rsid w:val="566E2D95"/>
    <w:rsid w:val="56770F03"/>
    <w:rsid w:val="567B0249"/>
    <w:rsid w:val="567D0838"/>
    <w:rsid w:val="568B1B4B"/>
    <w:rsid w:val="56A3149B"/>
    <w:rsid w:val="56AF72C6"/>
    <w:rsid w:val="572B6FAD"/>
    <w:rsid w:val="572E460C"/>
    <w:rsid w:val="573205E3"/>
    <w:rsid w:val="57392613"/>
    <w:rsid w:val="57693121"/>
    <w:rsid w:val="578667B8"/>
    <w:rsid w:val="5792217D"/>
    <w:rsid w:val="57A91706"/>
    <w:rsid w:val="5810185C"/>
    <w:rsid w:val="581D7673"/>
    <w:rsid w:val="588A0F4F"/>
    <w:rsid w:val="58BF30B4"/>
    <w:rsid w:val="58E833FD"/>
    <w:rsid w:val="591C2102"/>
    <w:rsid w:val="594F0FDE"/>
    <w:rsid w:val="598E4528"/>
    <w:rsid w:val="59AE5898"/>
    <w:rsid w:val="5A073371"/>
    <w:rsid w:val="5A615544"/>
    <w:rsid w:val="5ACE7EC7"/>
    <w:rsid w:val="5ADA6F31"/>
    <w:rsid w:val="5AFA4995"/>
    <w:rsid w:val="5B025F20"/>
    <w:rsid w:val="5B1D5133"/>
    <w:rsid w:val="5B2E480F"/>
    <w:rsid w:val="5B846FCA"/>
    <w:rsid w:val="5B9D5674"/>
    <w:rsid w:val="5BED4761"/>
    <w:rsid w:val="5C2B3A2A"/>
    <w:rsid w:val="5C6B10D6"/>
    <w:rsid w:val="5C8C15D8"/>
    <w:rsid w:val="5CBB08A8"/>
    <w:rsid w:val="5CCC7271"/>
    <w:rsid w:val="5DA97F9C"/>
    <w:rsid w:val="5DAD18B1"/>
    <w:rsid w:val="5DD0484A"/>
    <w:rsid w:val="5DFE1E6E"/>
    <w:rsid w:val="5E0A4305"/>
    <w:rsid w:val="5E0A699D"/>
    <w:rsid w:val="5E725873"/>
    <w:rsid w:val="5E727909"/>
    <w:rsid w:val="5E73770C"/>
    <w:rsid w:val="5E80006C"/>
    <w:rsid w:val="5E937303"/>
    <w:rsid w:val="5EBB2A35"/>
    <w:rsid w:val="5EBB62B6"/>
    <w:rsid w:val="5F0C72D6"/>
    <w:rsid w:val="5F405675"/>
    <w:rsid w:val="5F53401F"/>
    <w:rsid w:val="5F5340FE"/>
    <w:rsid w:val="5F7E6F0F"/>
    <w:rsid w:val="6024657A"/>
    <w:rsid w:val="60345AB4"/>
    <w:rsid w:val="6043460E"/>
    <w:rsid w:val="60614AD7"/>
    <w:rsid w:val="60876052"/>
    <w:rsid w:val="60A01B6B"/>
    <w:rsid w:val="60B650CD"/>
    <w:rsid w:val="60C670F7"/>
    <w:rsid w:val="60D334FA"/>
    <w:rsid w:val="60EF2AC6"/>
    <w:rsid w:val="61085FC1"/>
    <w:rsid w:val="613F6042"/>
    <w:rsid w:val="617A51C5"/>
    <w:rsid w:val="61C25370"/>
    <w:rsid w:val="61C57C8D"/>
    <w:rsid w:val="61D11B48"/>
    <w:rsid w:val="61D91226"/>
    <w:rsid w:val="61F22331"/>
    <w:rsid w:val="620E76AA"/>
    <w:rsid w:val="622A0C34"/>
    <w:rsid w:val="626E37A5"/>
    <w:rsid w:val="62A445D9"/>
    <w:rsid w:val="62A76CD4"/>
    <w:rsid w:val="62B418C6"/>
    <w:rsid w:val="62C16EE5"/>
    <w:rsid w:val="62F33EE0"/>
    <w:rsid w:val="63413008"/>
    <w:rsid w:val="63512206"/>
    <w:rsid w:val="63676E18"/>
    <w:rsid w:val="636B1A2D"/>
    <w:rsid w:val="63987461"/>
    <w:rsid w:val="63AF350B"/>
    <w:rsid w:val="63FE66F1"/>
    <w:rsid w:val="6412483D"/>
    <w:rsid w:val="64334ED4"/>
    <w:rsid w:val="643C070E"/>
    <w:rsid w:val="644A1553"/>
    <w:rsid w:val="645C7BC3"/>
    <w:rsid w:val="6466249B"/>
    <w:rsid w:val="64826412"/>
    <w:rsid w:val="6488040D"/>
    <w:rsid w:val="649E4537"/>
    <w:rsid w:val="64AB52EE"/>
    <w:rsid w:val="64D91CDA"/>
    <w:rsid w:val="64D91D74"/>
    <w:rsid w:val="650E7333"/>
    <w:rsid w:val="65181B5B"/>
    <w:rsid w:val="65282198"/>
    <w:rsid w:val="65300D1C"/>
    <w:rsid w:val="6543612F"/>
    <w:rsid w:val="654377A3"/>
    <w:rsid w:val="65602EFE"/>
    <w:rsid w:val="65632F50"/>
    <w:rsid w:val="656E3A4A"/>
    <w:rsid w:val="657C2554"/>
    <w:rsid w:val="65825F8F"/>
    <w:rsid w:val="65954576"/>
    <w:rsid w:val="65983318"/>
    <w:rsid w:val="65CC54A9"/>
    <w:rsid w:val="66090DF8"/>
    <w:rsid w:val="66305A6F"/>
    <w:rsid w:val="66531C12"/>
    <w:rsid w:val="668C2642"/>
    <w:rsid w:val="668D74A7"/>
    <w:rsid w:val="66B32827"/>
    <w:rsid w:val="66F97424"/>
    <w:rsid w:val="67460495"/>
    <w:rsid w:val="674B5A4B"/>
    <w:rsid w:val="677E2112"/>
    <w:rsid w:val="67A80CE1"/>
    <w:rsid w:val="67C43F8D"/>
    <w:rsid w:val="67E417AF"/>
    <w:rsid w:val="68293584"/>
    <w:rsid w:val="683B0551"/>
    <w:rsid w:val="688A3905"/>
    <w:rsid w:val="68E44DD0"/>
    <w:rsid w:val="68E765C3"/>
    <w:rsid w:val="6900175E"/>
    <w:rsid w:val="693B6D27"/>
    <w:rsid w:val="69481AA1"/>
    <w:rsid w:val="695B3C92"/>
    <w:rsid w:val="695F5747"/>
    <w:rsid w:val="699C206C"/>
    <w:rsid w:val="69A35D15"/>
    <w:rsid w:val="69A93C34"/>
    <w:rsid w:val="69BF4A95"/>
    <w:rsid w:val="69E431F2"/>
    <w:rsid w:val="6A086C57"/>
    <w:rsid w:val="6A283CEE"/>
    <w:rsid w:val="6A342C79"/>
    <w:rsid w:val="6A366CBE"/>
    <w:rsid w:val="6A54663A"/>
    <w:rsid w:val="6A66520B"/>
    <w:rsid w:val="6A7269DE"/>
    <w:rsid w:val="6A7E28E9"/>
    <w:rsid w:val="6A8D47E1"/>
    <w:rsid w:val="6A915354"/>
    <w:rsid w:val="6A9A2455"/>
    <w:rsid w:val="6AE13A95"/>
    <w:rsid w:val="6AE14DEB"/>
    <w:rsid w:val="6AE17A79"/>
    <w:rsid w:val="6AF52ADF"/>
    <w:rsid w:val="6B7C7826"/>
    <w:rsid w:val="6BA67793"/>
    <w:rsid w:val="6BB407D5"/>
    <w:rsid w:val="6BDC631C"/>
    <w:rsid w:val="6BE8300F"/>
    <w:rsid w:val="6C145657"/>
    <w:rsid w:val="6C397586"/>
    <w:rsid w:val="6C433947"/>
    <w:rsid w:val="6C4E4D99"/>
    <w:rsid w:val="6C63414C"/>
    <w:rsid w:val="6C876514"/>
    <w:rsid w:val="6C8D0AC1"/>
    <w:rsid w:val="6C97116E"/>
    <w:rsid w:val="6CA25CB4"/>
    <w:rsid w:val="6CAF7592"/>
    <w:rsid w:val="6CC04B64"/>
    <w:rsid w:val="6D032CE2"/>
    <w:rsid w:val="6D7C28E4"/>
    <w:rsid w:val="6D7D5278"/>
    <w:rsid w:val="6D7F1704"/>
    <w:rsid w:val="6DB717EA"/>
    <w:rsid w:val="6E0D67AD"/>
    <w:rsid w:val="6E285AA8"/>
    <w:rsid w:val="6E6F2FE7"/>
    <w:rsid w:val="6E856ADA"/>
    <w:rsid w:val="6E985D5D"/>
    <w:rsid w:val="6E9C42D5"/>
    <w:rsid w:val="6EB556B0"/>
    <w:rsid w:val="6EB8202A"/>
    <w:rsid w:val="6EBB6EA1"/>
    <w:rsid w:val="6ED543B7"/>
    <w:rsid w:val="6F072F9E"/>
    <w:rsid w:val="6F086E2C"/>
    <w:rsid w:val="6F4E60D6"/>
    <w:rsid w:val="6F5C69CF"/>
    <w:rsid w:val="6F5C7549"/>
    <w:rsid w:val="6F8F6F91"/>
    <w:rsid w:val="6F93438F"/>
    <w:rsid w:val="6FC27219"/>
    <w:rsid w:val="6FED627B"/>
    <w:rsid w:val="6FF727BA"/>
    <w:rsid w:val="6FFE7D75"/>
    <w:rsid w:val="700F0225"/>
    <w:rsid w:val="701412DD"/>
    <w:rsid w:val="70216002"/>
    <w:rsid w:val="702E0A4B"/>
    <w:rsid w:val="707A6A44"/>
    <w:rsid w:val="708B3024"/>
    <w:rsid w:val="70A014F7"/>
    <w:rsid w:val="70A611E3"/>
    <w:rsid w:val="70CC1B41"/>
    <w:rsid w:val="70D855CB"/>
    <w:rsid w:val="70E12DE6"/>
    <w:rsid w:val="71507389"/>
    <w:rsid w:val="71507ED7"/>
    <w:rsid w:val="71595FA8"/>
    <w:rsid w:val="716226CD"/>
    <w:rsid w:val="719D0D71"/>
    <w:rsid w:val="71A610B6"/>
    <w:rsid w:val="71A90815"/>
    <w:rsid w:val="71B63AFB"/>
    <w:rsid w:val="71CE4C89"/>
    <w:rsid w:val="71E204A3"/>
    <w:rsid w:val="724B4B27"/>
    <w:rsid w:val="726B0E3D"/>
    <w:rsid w:val="728B5986"/>
    <w:rsid w:val="729224F8"/>
    <w:rsid w:val="72B579BA"/>
    <w:rsid w:val="72BA4082"/>
    <w:rsid w:val="73054BE8"/>
    <w:rsid w:val="730736CE"/>
    <w:rsid w:val="73203FB6"/>
    <w:rsid w:val="732C7AD4"/>
    <w:rsid w:val="7342402F"/>
    <w:rsid w:val="7359403E"/>
    <w:rsid w:val="739E20B2"/>
    <w:rsid w:val="73EB21D2"/>
    <w:rsid w:val="73EF5758"/>
    <w:rsid w:val="73F065E3"/>
    <w:rsid w:val="73F370A1"/>
    <w:rsid w:val="743C2CEC"/>
    <w:rsid w:val="743E4446"/>
    <w:rsid w:val="747A1C5D"/>
    <w:rsid w:val="74A92717"/>
    <w:rsid w:val="74C657DA"/>
    <w:rsid w:val="751F4A96"/>
    <w:rsid w:val="753430E8"/>
    <w:rsid w:val="755E0D86"/>
    <w:rsid w:val="756E3C5A"/>
    <w:rsid w:val="75B95FE7"/>
    <w:rsid w:val="75E45BE8"/>
    <w:rsid w:val="75FD2650"/>
    <w:rsid w:val="76024E9E"/>
    <w:rsid w:val="7606204C"/>
    <w:rsid w:val="76426BF7"/>
    <w:rsid w:val="76586173"/>
    <w:rsid w:val="76705BEB"/>
    <w:rsid w:val="7682492C"/>
    <w:rsid w:val="769113F2"/>
    <w:rsid w:val="76AB263D"/>
    <w:rsid w:val="76EF5B8E"/>
    <w:rsid w:val="770026B0"/>
    <w:rsid w:val="770335D6"/>
    <w:rsid w:val="771E5D3B"/>
    <w:rsid w:val="77597F2E"/>
    <w:rsid w:val="77714569"/>
    <w:rsid w:val="777B63C7"/>
    <w:rsid w:val="777E0684"/>
    <w:rsid w:val="779A5AA6"/>
    <w:rsid w:val="77DA6593"/>
    <w:rsid w:val="77DE3D0E"/>
    <w:rsid w:val="77E377FC"/>
    <w:rsid w:val="77E459ED"/>
    <w:rsid w:val="77F37BA4"/>
    <w:rsid w:val="78261D5F"/>
    <w:rsid w:val="784F0423"/>
    <w:rsid w:val="785278A3"/>
    <w:rsid w:val="78587475"/>
    <w:rsid w:val="786A5FF1"/>
    <w:rsid w:val="78926AF9"/>
    <w:rsid w:val="78AE4E39"/>
    <w:rsid w:val="78BB10FB"/>
    <w:rsid w:val="78E508A7"/>
    <w:rsid w:val="78E51227"/>
    <w:rsid w:val="78FD039F"/>
    <w:rsid w:val="7910749A"/>
    <w:rsid w:val="793F0284"/>
    <w:rsid w:val="79480F8E"/>
    <w:rsid w:val="7955357B"/>
    <w:rsid w:val="799C0ECA"/>
    <w:rsid w:val="79A86F5E"/>
    <w:rsid w:val="79AD3A0C"/>
    <w:rsid w:val="79D601B5"/>
    <w:rsid w:val="79D74E16"/>
    <w:rsid w:val="79DB5F84"/>
    <w:rsid w:val="7A577A05"/>
    <w:rsid w:val="7A5B1FAE"/>
    <w:rsid w:val="7A5E2E13"/>
    <w:rsid w:val="7A6244E6"/>
    <w:rsid w:val="7AAA48C0"/>
    <w:rsid w:val="7ACE2A01"/>
    <w:rsid w:val="7AD247B4"/>
    <w:rsid w:val="7B215A5B"/>
    <w:rsid w:val="7B9F2859"/>
    <w:rsid w:val="7BC16ECD"/>
    <w:rsid w:val="7C4B4F23"/>
    <w:rsid w:val="7C52593D"/>
    <w:rsid w:val="7C5778C3"/>
    <w:rsid w:val="7C7B755A"/>
    <w:rsid w:val="7C7F59F5"/>
    <w:rsid w:val="7C9B1CB9"/>
    <w:rsid w:val="7C9E00B3"/>
    <w:rsid w:val="7CE04944"/>
    <w:rsid w:val="7CF92672"/>
    <w:rsid w:val="7D34331F"/>
    <w:rsid w:val="7D427717"/>
    <w:rsid w:val="7D481679"/>
    <w:rsid w:val="7D7014FE"/>
    <w:rsid w:val="7DAA4386"/>
    <w:rsid w:val="7E0C450D"/>
    <w:rsid w:val="7E0E6262"/>
    <w:rsid w:val="7E200D34"/>
    <w:rsid w:val="7E395F76"/>
    <w:rsid w:val="7E460D31"/>
    <w:rsid w:val="7E661808"/>
    <w:rsid w:val="7F082810"/>
    <w:rsid w:val="7F3B50EE"/>
    <w:rsid w:val="7F5E2897"/>
    <w:rsid w:val="7F655749"/>
    <w:rsid w:val="7F8E2730"/>
    <w:rsid w:val="7F8F7144"/>
    <w:rsid w:val="7FA04EC3"/>
    <w:rsid w:val="7FBA5566"/>
    <w:rsid w:val="7FC0444F"/>
    <w:rsid w:val="7FD4237B"/>
    <w:rsid w:val="7FED6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360" w:lineRule="auto"/>
      <w:ind w:firstLine="480" w:firstLineChars="200"/>
      <w:textAlignment w:val="baseline"/>
    </w:pPr>
    <w:rPr>
      <w:rFonts w:ascii="Arial" w:hAnsi="Arial" w:eastAsia="宋体" w:cs="Arial"/>
      <w:snapToGrid w:val="0"/>
      <w:color w:val="000000"/>
      <w:sz w:val="24"/>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22"/>
    <w:rPr>
      <w:rFonts w:eastAsia="黑体"/>
      <w:bCs/>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2025-03-14T05:56:00Z</dcterms:created>
  <dc:creator>106623-董婧玮</dc:creator>
  <cp:lastModifiedBy>106623-董婧玮</cp:lastModifiedBy>
  <dcterms:modified xsi:type="dcterms:W3CDTF">2025-03-14T06:06:18Z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