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sz w:val="44"/>
          <w:szCs w:val="44"/>
        </w:rPr>
      </w:pPr>
      <w:r>
        <w:rPr>
          <w:rFonts w:ascii="Times New Roman" w:hAnsi="方正小标宋简体" w:eastAsia="方正小标宋简体" w:cs="Times New Roman"/>
          <w:sz w:val="44"/>
          <w:szCs w:val="44"/>
        </w:rPr>
        <w:t>贵州清镇农村商业银行股份有限公司关于与</w:t>
      </w:r>
      <w:r>
        <w:rPr>
          <w:rFonts w:hint="eastAsia" w:ascii="Times New Roman" w:hAnsi="方正小标宋简体" w:eastAsia="方正小标宋简体" w:cs="Times New Roman"/>
          <w:sz w:val="44"/>
          <w:szCs w:val="44"/>
        </w:rPr>
        <w:t>贵州红枫湖耐火材料有限公司</w:t>
      </w:r>
      <w:r>
        <w:rPr>
          <w:rFonts w:ascii="Times New Roman" w:hAnsi="方正小标宋简体" w:eastAsia="方正小标宋简体" w:cs="Times New Roman"/>
          <w:sz w:val="44"/>
          <w:szCs w:val="44"/>
        </w:rPr>
        <w:t>重大关联交易事项的公告</w:t>
      </w:r>
    </w:p>
    <w:p>
      <w:pPr>
        <w:keepNext w:val="0"/>
        <w:keepLines w:val="0"/>
        <w:pageBreakBefore w:val="0"/>
        <w:widowControl w:val="0"/>
        <w:kinsoku/>
        <w:wordWrap/>
        <w:overflowPunct/>
        <w:topLinePunct w:val="0"/>
        <w:autoSpaceDE/>
        <w:autoSpaceDN/>
        <w:bidi w:val="0"/>
        <w:adjustRightInd/>
        <w:snapToGrid/>
        <w:spacing w:line="600" w:lineRule="exact"/>
        <w:ind w:firstLine="380" w:firstLineChars="200"/>
        <w:textAlignment w:val="auto"/>
        <w:rPr>
          <w:rFonts w:ascii="Times New Roman" w:hAnsi="Times New Roman" w:eastAsia="sans-serif" w:cs="Times New Roman"/>
          <w:color w:val="333333"/>
          <w:sz w:val="19"/>
          <w:szCs w:val="19"/>
          <w:shd w:val="clear" w:color="auto" w:fill="FFFFFF"/>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根据《银行保险机构关联交易管理办法》（中国银行保险监督管理委员会令〔</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w:t>
      </w:r>
      <w:r>
        <w:rPr>
          <w:rFonts w:ascii="Times New Roman" w:hAnsi="Times New Roman" w:eastAsia="仿宋_GB2312" w:cs="Times New Roman"/>
          <w:sz w:val="32"/>
          <w:szCs w:val="32"/>
        </w:rPr>
        <w:t>1</w:t>
      </w:r>
      <w:r>
        <w:rPr>
          <w:rFonts w:ascii="Times New Roman" w:hAnsi="仿宋_GB2312" w:eastAsia="仿宋_GB2312" w:cs="Times New Roman"/>
          <w:sz w:val="32"/>
          <w:szCs w:val="32"/>
        </w:rPr>
        <w:t>号），现将贵州清镇农村商业银行股份有限公司（以下简称</w:t>
      </w:r>
      <w:r>
        <w:rPr>
          <w:rFonts w:ascii="Times New Roman" w:hAnsi="Times New Roman" w:eastAsia="仿宋_GB2312" w:cs="Times New Roman"/>
          <w:sz w:val="32"/>
          <w:szCs w:val="32"/>
        </w:rPr>
        <w:t>“</w:t>
      </w:r>
      <w:r>
        <w:rPr>
          <w:rFonts w:ascii="Times New Roman" w:hAnsi="仿宋_GB2312" w:eastAsia="仿宋_GB2312" w:cs="Times New Roman"/>
          <w:sz w:val="32"/>
          <w:szCs w:val="32"/>
        </w:rPr>
        <w:t>本行</w:t>
      </w:r>
      <w:r>
        <w:rPr>
          <w:rFonts w:ascii="Times New Roman" w:hAnsi="Times New Roman" w:eastAsia="仿宋_GB2312" w:cs="Times New Roman"/>
          <w:sz w:val="32"/>
          <w:szCs w:val="32"/>
        </w:rPr>
        <w:t>”</w:t>
      </w:r>
      <w:r>
        <w:rPr>
          <w:rFonts w:ascii="Times New Roman" w:hAnsi="仿宋_GB2312" w:eastAsia="仿宋_GB2312" w:cs="Times New Roman"/>
          <w:sz w:val="32"/>
          <w:szCs w:val="32"/>
        </w:rPr>
        <w:t>）与</w:t>
      </w:r>
      <w:r>
        <w:rPr>
          <w:rFonts w:hint="eastAsia" w:ascii="仿宋_GB2312" w:hAnsi="仿宋" w:eastAsia="仿宋_GB2312" w:cs="Times New Roman"/>
          <w:sz w:val="32"/>
          <w:szCs w:val="32"/>
        </w:rPr>
        <w:t>贵州红枫湖耐火材料有限公司</w:t>
      </w:r>
      <w:r>
        <w:rPr>
          <w:rFonts w:ascii="Times New Roman" w:hAnsi="仿宋_GB2312" w:eastAsia="仿宋_GB2312" w:cs="Times New Roman"/>
          <w:sz w:val="32"/>
          <w:szCs w:val="32"/>
        </w:rPr>
        <w:t>重大关联交易情况公告如下：</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黑体" w:cs="Times New Roman"/>
          <w:sz w:val="32"/>
          <w:szCs w:val="32"/>
        </w:rPr>
      </w:pPr>
      <w:r>
        <w:rPr>
          <w:rFonts w:ascii="Times New Roman" w:hAnsi="黑体" w:eastAsia="黑体" w:cs="Times New Roman"/>
          <w:sz w:val="32"/>
          <w:szCs w:val="32"/>
        </w:rPr>
        <w:t>一、基本概述</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仿宋_GB2312" w:eastAsia="仿宋_GB2312" w:cs="Times New Roman"/>
          <w:sz w:val="32"/>
          <w:szCs w:val="32"/>
        </w:rPr>
        <w:t>年</w:t>
      </w:r>
      <w:r>
        <w:rPr>
          <w:rFonts w:hint="eastAsia" w:ascii="Times New Roman" w:hAnsi="仿宋_GB2312" w:eastAsia="仿宋_GB2312" w:cs="Times New Roman"/>
          <w:sz w:val="32"/>
          <w:szCs w:val="32"/>
          <w:lang w:val="en-US" w:eastAsia="zh-CN"/>
        </w:rPr>
        <w:t>2</w:t>
      </w:r>
      <w:r>
        <w:rPr>
          <w:rFonts w:ascii="Times New Roman" w:hAnsi="仿宋_GB2312" w:eastAsia="仿宋_GB2312" w:cs="Times New Roman"/>
          <w:sz w:val="32"/>
          <w:szCs w:val="32"/>
        </w:rPr>
        <w:t>月</w:t>
      </w:r>
      <w:r>
        <w:rPr>
          <w:rFonts w:hint="eastAsia" w:ascii="Times New Roman" w:hAnsi="仿宋_GB2312" w:eastAsia="仿宋_GB2312" w:cs="Times New Roman"/>
          <w:sz w:val="32"/>
          <w:szCs w:val="32"/>
          <w:lang w:val="en-US" w:eastAsia="zh-CN"/>
        </w:rPr>
        <w:t>24</w:t>
      </w:r>
      <w:r>
        <w:rPr>
          <w:rFonts w:ascii="Times New Roman" w:hAnsi="仿宋_GB2312" w:eastAsia="仿宋_GB2312" w:cs="Times New Roman"/>
          <w:sz w:val="32"/>
          <w:szCs w:val="32"/>
        </w:rPr>
        <w:t>日，本行向</w:t>
      </w:r>
      <w:r>
        <w:rPr>
          <w:rFonts w:hint="eastAsia" w:ascii="仿宋_GB2312" w:hAnsi="仿宋" w:eastAsia="仿宋_GB2312" w:cs="Times New Roman"/>
          <w:sz w:val="32"/>
          <w:szCs w:val="32"/>
        </w:rPr>
        <w:t>贵州红枫湖耐火材料有限公司</w:t>
      </w:r>
      <w:r>
        <w:rPr>
          <w:rFonts w:ascii="Times New Roman" w:hAnsi="仿宋_GB2312" w:eastAsia="仿宋_GB2312" w:cs="Times New Roman"/>
          <w:sz w:val="32"/>
          <w:szCs w:val="32"/>
        </w:rPr>
        <w:t>发放贷款</w:t>
      </w:r>
      <w:r>
        <w:rPr>
          <w:rFonts w:ascii="Times New Roman" w:hAnsi="Times New Roman" w:eastAsia="仿宋_GB2312" w:cs="Times New Roman"/>
          <w:sz w:val="32"/>
          <w:szCs w:val="32"/>
        </w:rPr>
        <w:t>1</w:t>
      </w:r>
      <w:r>
        <w:rPr>
          <w:rFonts w:ascii="Times New Roman" w:hAnsi="仿宋_GB2312" w:eastAsia="仿宋_GB2312" w:cs="Times New Roman"/>
          <w:sz w:val="32"/>
          <w:szCs w:val="32"/>
        </w:rPr>
        <w:t>笔，金额</w:t>
      </w:r>
      <w:r>
        <w:rPr>
          <w:rFonts w:hint="eastAsia" w:ascii="Times New Roman" w:hAnsi="Times New Roman" w:eastAsia="仿宋_GB2312" w:cs="Times New Roman"/>
          <w:sz w:val="32"/>
          <w:szCs w:val="32"/>
          <w:lang w:val="en-US" w:eastAsia="zh-CN"/>
        </w:rPr>
        <w:t>1050</w:t>
      </w:r>
      <w:r>
        <w:rPr>
          <w:rFonts w:ascii="Times New Roman" w:hAnsi="仿宋_GB2312" w:eastAsia="仿宋_GB2312" w:cs="Times New Roman"/>
          <w:sz w:val="32"/>
          <w:szCs w:val="32"/>
        </w:rPr>
        <w:t>万元，期限</w:t>
      </w:r>
      <w:r>
        <w:rPr>
          <w:rFonts w:ascii="Times New Roman" w:hAnsi="Times New Roman" w:eastAsia="仿宋_GB2312" w:cs="Times New Roman"/>
          <w:sz w:val="32"/>
          <w:szCs w:val="32"/>
        </w:rPr>
        <w:t>2</w:t>
      </w:r>
      <w:r>
        <w:rPr>
          <w:rFonts w:ascii="Times New Roman" w:hAnsi="仿宋_GB2312" w:eastAsia="仿宋_GB2312" w:cs="Times New Roman"/>
          <w:sz w:val="32"/>
          <w:szCs w:val="32"/>
        </w:rPr>
        <w:t>年，贷款利率</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0%</w:t>
      </w:r>
      <w:r>
        <w:rPr>
          <w:rFonts w:ascii="Times New Roman" w:hAnsi="仿宋_GB2312" w:eastAsia="仿宋_GB2312" w:cs="Times New Roman"/>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黑体" w:cs="Times New Roman"/>
          <w:sz w:val="32"/>
          <w:szCs w:val="32"/>
        </w:rPr>
      </w:pPr>
      <w:r>
        <w:rPr>
          <w:rFonts w:ascii="Times New Roman" w:hAnsi="黑体" w:eastAsia="黑体" w:cs="Times New Roman"/>
          <w:sz w:val="32"/>
          <w:szCs w:val="32"/>
        </w:rPr>
        <w:t>二、交易对手情况</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仿宋_GB2312" w:eastAsia="仿宋_GB2312" w:cs="Times New Roman"/>
          <w:sz w:val="32"/>
          <w:szCs w:val="32"/>
        </w:rPr>
      </w:pPr>
      <w:r>
        <w:rPr>
          <w:rFonts w:hint="eastAsia" w:ascii="Times New Roman" w:hAnsi="仿宋_GB2312" w:eastAsia="仿宋_GB2312" w:cs="Times New Roman"/>
          <w:sz w:val="32"/>
          <w:szCs w:val="32"/>
        </w:rPr>
        <w:t>贵州红枫湖耐火材料有限公司</w:t>
      </w:r>
      <w:r>
        <w:rPr>
          <w:rFonts w:ascii="Times New Roman" w:hAnsi="仿宋_GB2312" w:eastAsia="仿宋_GB2312" w:cs="Times New Roman"/>
          <w:sz w:val="32"/>
          <w:szCs w:val="32"/>
        </w:rPr>
        <w:t>成立于20</w:t>
      </w:r>
      <w:r>
        <w:rPr>
          <w:rFonts w:hint="eastAsia" w:ascii="Times New Roman" w:hAnsi="仿宋_GB2312" w:eastAsia="仿宋_GB2312" w:cs="Times New Roman"/>
          <w:sz w:val="32"/>
          <w:szCs w:val="32"/>
          <w:lang w:val="en-US" w:eastAsia="zh-CN"/>
        </w:rPr>
        <w:t>03</w:t>
      </w:r>
      <w:r>
        <w:rPr>
          <w:rFonts w:ascii="Times New Roman" w:hAnsi="仿宋_GB2312" w:eastAsia="仿宋_GB2312" w:cs="Times New Roman"/>
          <w:sz w:val="32"/>
          <w:szCs w:val="32"/>
        </w:rPr>
        <w:t>年</w:t>
      </w:r>
      <w:r>
        <w:rPr>
          <w:rFonts w:hint="eastAsia" w:ascii="Times New Roman" w:hAnsi="仿宋_GB2312" w:eastAsia="仿宋_GB2312" w:cs="Times New Roman"/>
          <w:sz w:val="32"/>
          <w:szCs w:val="32"/>
          <w:lang w:val="en-US" w:eastAsia="zh-CN"/>
        </w:rPr>
        <w:t>1</w:t>
      </w:r>
      <w:r>
        <w:rPr>
          <w:rFonts w:ascii="Times New Roman" w:hAnsi="仿宋_GB2312" w:eastAsia="仿宋_GB2312" w:cs="Times New Roman"/>
          <w:sz w:val="32"/>
          <w:szCs w:val="32"/>
        </w:rPr>
        <w:t>月</w:t>
      </w:r>
      <w:r>
        <w:rPr>
          <w:rFonts w:hint="eastAsia" w:ascii="Times New Roman" w:hAnsi="仿宋_GB2312" w:eastAsia="仿宋_GB2312" w:cs="Times New Roman"/>
          <w:sz w:val="32"/>
          <w:szCs w:val="32"/>
          <w:lang w:val="en-US" w:eastAsia="zh-CN"/>
        </w:rPr>
        <w:t>29</w:t>
      </w:r>
      <w:r>
        <w:rPr>
          <w:rFonts w:ascii="Times New Roman" w:hAnsi="仿宋_GB2312" w:eastAsia="仿宋_GB2312" w:cs="Times New Roman"/>
          <w:sz w:val="32"/>
          <w:szCs w:val="32"/>
        </w:rPr>
        <w:t>日，注册资本为</w:t>
      </w:r>
      <w:r>
        <w:rPr>
          <w:rFonts w:hint="eastAsia" w:ascii="Times New Roman" w:hAnsi="仿宋_GB2312" w:eastAsia="仿宋_GB2312" w:cs="Times New Roman"/>
          <w:sz w:val="32"/>
          <w:szCs w:val="32"/>
          <w:lang w:val="en-US" w:eastAsia="zh-CN"/>
        </w:rPr>
        <w:t>2689</w:t>
      </w:r>
      <w:r>
        <w:rPr>
          <w:rFonts w:ascii="Times New Roman" w:hAnsi="仿宋_GB2312" w:eastAsia="仿宋_GB2312" w:cs="Times New Roman"/>
          <w:sz w:val="32"/>
          <w:szCs w:val="32"/>
        </w:rPr>
        <w:t>万元，统一社会信用代码：</w:t>
      </w:r>
      <w:r>
        <w:rPr>
          <w:rFonts w:hint="eastAsia" w:ascii="Times New Roman" w:hAnsi="仿宋_GB2312" w:eastAsia="仿宋_GB2312" w:cs="Times New Roman"/>
          <w:sz w:val="32"/>
          <w:szCs w:val="32"/>
        </w:rPr>
        <w:t>91520181761390912N</w:t>
      </w:r>
      <w:r>
        <w:rPr>
          <w:rFonts w:ascii="Times New Roman" w:hAnsi="仿宋_GB2312" w:eastAsia="仿宋_GB2312" w:cs="Times New Roman"/>
          <w:sz w:val="32"/>
          <w:szCs w:val="32"/>
        </w:rPr>
        <w:t>，注册地址：</w:t>
      </w:r>
      <w:r>
        <w:rPr>
          <w:rFonts w:hint="eastAsia" w:ascii="Times New Roman" w:hAnsi="仿宋_GB2312" w:eastAsia="仿宋_GB2312" w:cs="Times New Roman"/>
          <w:sz w:val="32"/>
          <w:szCs w:val="32"/>
          <w:lang w:eastAsia="zh-CN"/>
        </w:rPr>
        <w:t>贵州省贵阳市清镇市中心村</w:t>
      </w:r>
      <w:r>
        <w:rPr>
          <w:rFonts w:ascii="Times New Roman" w:hAnsi="仿宋_GB2312" w:eastAsia="仿宋_GB2312" w:cs="Times New Roman"/>
          <w:sz w:val="32"/>
          <w:szCs w:val="32"/>
        </w:rPr>
        <w:t>，法定代表人：</w:t>
      </w:r>
      <w:r>
        <w:rPr>
          <w:rFonts w:hint="eastAsia" w:ascii="Times New Roman" w:hAnsi="仿宋_GB2312" w:eastAsia="仿宋_GB2312" w:cs="Times New Roman"/>
          <w:sz w:val="32"/>
          <w:szCs w:val="32"/>
        </w:rPr>
        <w:t>王志远</w:t>
      </w:r>
      <w:r>
        <w:rPr>
          <w:rFonts w:ascii="Times New Roman" w:hAnsi="仿宋_GB2312" w:eastAsia="仿宋_GB2312" w:cs="Times New Roman"/>
          <w:sz w:val="32"/>
          <w:szCs w:val="32"/>
        </w:rPr>
        <w:t>。经营范围：</w:t>
      </w:r>
      <w:r>
        <w:rPr>
          <w:rFonts w:hint="eastAsia" w:ascii="Times New Roman" w:hAnsi="仿宋_GB2312" w:eastAsia="仿宋_GB2312" w:cs="Times New Roman"/>
          <w:sz w:val="32"/>
          <w:szCs w:val="32"/>
        </w:rPr>
        <w:t>生产、销售：耐火材料；销售建材；窑炉耐火材料工程设计、安装。</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仿宋_GB2312" w:eastAsia="仿宋_GB2312" w:cs="Times New Roman"/>
          <w:sz w:val="32"/>
          <w:szCs w:val="32"/>
        </w:rPr>
      </w:pPr>
      <w:r>
        <w:rPr>
          <w:rFonts w:hint="eastAsia" w:ascii="Times New Roman" w:hAnsi="仿宋_GB2312" w:eastAsia="仿宋_GB2312" w:cs="Times New Roman"/>
          <w:sz w:val="32"/>
          <w:szCs w:val="32"/>
          <w:lang w:val="en-US" w:eastAsia="zh-CN"/>
        </w:rPr>
        <w:t>借款公司法定代表人</w:t>
      </w:r>
      <w:r>
        <w:rPr>
          <w:rFonts w:hint="eastAsia" w:ascii="Times New Roman" w:hAnsi="仿宋_GB2312" w:eastAsia="仿宋_GB2312" w:cs="Times New Roman"/>
          <w:sz w:val="32"/>
          <w:szCs w:val="32"/>
        </w:rPr>
        <w:t>王志远</w:t>
      </w:r>
      <w:r>
        <w:rPr>
          <w:rFonts w:hint="eastAsia" w:ascii="Times New Roman" w:hAnsi="仿宋_GB2312" w:eastAsia="仿宋_GB2312" w:cs="Times New Roman"/>
          <w:sz w:val="32"/>
          <w:szCs w:val="32"/>
          <w:lang w:val="en-US" w:eastAsia="zh-CN"/>
        </w:rPr>
        <w:t>是本行监事王惟的父亲，</w:t>
      </w:r>
      <w:r>
        <w:rPr>
          <w:rFonts w:hint="eastAsia" w:ascii="Times New Roman" w:hAnsi="仿宋_GB2312" w:eastAsia="仿宋_GB2312" w:cs="Times New Roman"/>
          <w:sz w:val="32"/>
          <w:szCs w:val="32"/>
        </w:rPr>
        <w:t>根据《银行保险机构关联交易管理办法》，本行监事控制或施加重大影响的法人或非法人组织为本行关联方认定范围，</w:t>
      </w:r>
      <w:r>
        <w:rPr>
          <w:rFonts w:hint="eastAsia" w:ascii="Times New Roman" w:hAnsi="仿宋_GB2312" w:eastAsia="仿宋_GB2312" w:cs="Times New Roman"/>
          <w:sz w:val="32"/>
          <w:szCs w:val="32"/>
          <w:lang w:val="en-US" w:eastAsia="zh-CN"/>
        </w:rPr>
        <w:t>本行</w:t>
      </w:r>
      <w:r>
        <w:rPr>
          <w:rFonts w:hint="eastAsia" w:ascii="Times New Roman" w:hAnsi="仿宋_GB2312" w:eastAsia="仿宋_GB2312" w:cs="Times New Roman"/>
          <w:sz w:val="32"/>
          <w:szCs w:val="32"/>
        </w:rPr>
        <w:t>将贵州红枫湖耐火材料有限公司认定为本行关联方。</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黑体" w:cs="Times New Roman"/>
          <w:sz w:val="32"/>
          <w:szCs w:val="32"/>
        </w:rPr>
      </w:pPr>
      <w:r>
        <w:rPr>
          <w:rFonts w:ascii="Times New Roman" w:hAnsi="黑体" w:eastAsia="黑体" w:cs="Times New Roman"/>
          <w:sz w:val="32"/>
          <w:szCs w:val="32"/>
        </w:rPr>
        <w:t>三、定价政策</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定价不优于其他非关联方。</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黑体" w:cs="Times New Roman"/>
          <w:sz w:val="32"/>
          <w:szCs w:val="32"/>
        </w:rPr>
      </w:pPr>
      <w:r>
        <w:rPr>
          <w:rFonts w:ascii="Times New Roman" w:hAnsi="黑体" w:eastAsia="黑体" w:cs="Times New Roman"/>
          <w:sz w:val="32"/>
          <w:szCs w:val="32"/>
        </w:rPr>
        <w:t>四、交易金额及相应比例</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仿宋_GB2312" w:eastAsia="仿宋_GB2312" w:cs="Times New Roman"/>
          <w:sz w:val="32"/>
          <w:szCs w:val="32"/>
        </w:rPr>
      </w:pPr>
      <w:r>
        <w:rPr>
          <w:rFonts w:ascii="Times New Roman" w:hAnsi="仿宋_GB2312" w:eastAsia="仿宋_GB2312" w:cs="Times New Roman"/>
          <w:sz w:val="32"/>
          <w:szCs w:val="32"/>
        </w:rPr>
        <w:t>截止202</w:t>
      </w:r>
      <w:r>
        <w:rPr>
          <w:rFonts w:hint="eastAsia" w:ascii="Times New Roman" w:hAnsi="仿宋_GB2312" w:eastAsia="仿宋_GB2312" w:cs="Times New Roman"/>
          <w:sz w:val="32"/>
          <w:szCs w:val="32"/>
          <w:lang w:val="en-US" w:eastAsia="zh-CN"/>
        </w:rPr>
        <w:t>4</w:t>
      </w:r>
      <w:r>
        <w:rPr>
          <w:rFonts w:ascii="Times New Roman" w:hAnsi="仿宋_GB2312" w:eastAsia="仿宋_GB2312" w:cs="Times New Roman"/>
          <w:sz w:val="32"/>
          <w:szCs w:val="32"/>
        </w:rPr>
        <w:t>年12月末，本行资本净额</w:t>
      </w:r>
      <w:r>
        <w:rPr>
          <w:rFonts w:hint="eastAsia" w:ascii="Times New Roman" w:hAnsi="仿宋_GB2312" w:eastAsia="仿宋_GB2312" w:cs="Times New Roman"/>
          <w:sz w:val="32"/>
          <w:szCs w:val="32"/>
        </w:rPr>
        <w:t>88998.69</w:t>
      </w:r>
      <w:r>
        <w:rPr>
          <w:rFonts w:ascii="Times New Roman" w:hAnsi="仿宋_GB2312" w:eastAsia="仿宋_GB2312" w:cs="Times New Roman"/>
          <w:sz w:val="32"/>
          <w:szCs w:val="32"/>
        </w:rPr>
        <w:t>万元，本笔关联交易金额</w:t>
      </w:r>
      <w:r>
        <w:rPr>
          <w:rFonts w:hint="eastAsia" w:ascii="Times New Roman" w:hAnsi="仿宋_GB2312" w:eastAsia="仿宋_GB2312" w:cs="Times New Roman"/>
          <w:sz w:val="32"/>
          <w:szCs w:val="32"/>
          <w:lang w:val="en-US" w:eastAsia="zh-CN"/>
        </w:rPr>
        <w:t>1050</w:t>
      </w:r>
      <w:r>
        <w:rPr>
          <w:rFonts w:ascii="Times New Roman" w:hAnsi="仿宋_GB2312" w:eastAsia="仿宋_GB2312" w:cs="Times New Roman"/>
          <w:sz w:val="32"/>
          <w:szCs w:val="32"/>
        </w:rPr>
        <w:t>万元，为存量</w:t>
      </w:r>
      <w:r>
        <w:rPr>
          <w:rFonts w:hint="eastAsia" w:ascii="Times New Roman" w:hAnsi="仿宋_GB2312" w:eastAsia="仿宋_GB2312" w:cs="Times New Roman"/>
          <w:sz w:val="32"/>
          <w:szCs w:val="32"/>
          <w:lang w:val="en-US" w:eastAsia="zh-CN"/>
        </w:rPr>
        <w:t>客户收回再贷</w:t>
      </w:r>
      <w:bookmarkStart w:id="0" w:name="_GoBack"/>
      <w:bookmarkEnd w:id="0"/>
      <w:r>
        <w:rPr>
          <w:rFonts w:ascii="Times New Roman" w:hAnsi="仿宋_GB2312" w:eastAsia="仿宋_GB2312" w:cs="Times New Roman"/>
          <w:sz w:val="32"/>
          <w:szCs w:val="32"/>
        </w:rPr>
        <w:t>业务，与本行资本净额占比为</w:t>
      </w:r>
      <w:r>
        <w:rPr>
          <w:rFonts w:hint="eastAsia" w:ascii="Times New Roman" w:hAnsi="仿宋_GB2312" w:eastAsia="仿宋_GB2312" w:cs="Times New Roman"/>
          <w:sz w:val="32"/>
          <w:szCs w:val="32"/>
          <w:lang w:val="en-US" w:eastAsia="zh-CN"/>
        </w:rPr>
        <w:t>1.18</w:t>
      </w:r>
      <w:r>
        <w:rPr>
          <w:rFonts w:ascii="Times New Roman" w:hAnsi="仿宋_GB2312" w:eastAsia="仿宋_GB2312" w:cs="Times New Roman"/>
          <w:sz w:val="32"/>
          <w:szCs w:val="32"/>
        </w:rPr>
        <w:t>%，未超出监管机构监管要求（对单个关联方的授信余额不得超过资本净额的10%）。</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本笔业务与</w:t>
      </w:r>
      <w:r>
        <w:rPr>
          <w:rFonts w:hint="eastAsia" w:ascii="Times New Roman" w:hAnsi="仿宋_GB2312" w:eastAsia="仿宋_GB2312" w:cs="Times New Roman"/>
          <w:sz w:val="32"/>
          <w:szCs w:val="32"/>
        </w:rPr>
        <w:t>贵州凌冠贸易有限公司</w:t>
      </w:r>
      <w:r>
        <w:rPr>
          <w:rFonts w:hint="eastAsia" w:ascii="Times New Roman" w:hAnsi="仿宋_GB2312" w:eastAsia="仿宋_GB2312" w:cs="Times New Roman"/>
          <w:sz w:val="32"/>
          <w:szCs w:val="32"/>
          <w:lang w:val="en-US" w:eastAsia="zh-CN"/>
        </w:rPr>
        <w:t>470万元贷款组成集团授信，集团授信额度1520万元，</w:t>
      </w:r>
      <w:r>
        <w:rPr>
          <w:rFonts w:ascii="Times New Roman" w:hAnsi="仿宋_GB2312" w:eastAsia="仿宋_GB2312" w:cs="Times New Roman"/>
          <w:sz w:val="32"/>
          <w:szCs w:val="32"/>
        </w:rPr>
        <w:t>与本行资本净额占比为</w:t>
      </w:r>
      <w:r>
        <w:rPr>
          <w:rFonts w:hint="eastAsia" w:ascii="Times New Roman" w:hAnsi="仿宋_GB2312" w:eastAsia="仿宋_GB2312" w:cs="Times New Roman"/>
          <w:sz w:val="32"/>
          <w:szCs w:val="32"/>
          <w:lang w:val="en-US" w:eastAsia="zh-CN"/>
        </w:rPr>
        <w:t>1.71</w:t>
      </w:r>
      <w:r>
        <w:rPr>
          <w:rFonts w:ascii="Times New Roman" w:hAnsi="仿宋_GB2312" w:eastAsia="仿宋_GB2312" w:cs="Times New Roman"/>
          <w:sz w:val="32"/>
          <w:szCs w:val="32"/>
        </w:rPr>
        <w:t>%，未超出监管机构监管要求（对</w:t>
      </w:r>
      <w:r>
        <w:rPr>
          <w:rFonts w:hint="eastAsia" w:ascii="Times New Roman" w:hAnsi="仿宋_GB2312" w:eastAsia="仿宋_GB2312" w:cs="Times New Roman"/>
          <w:sz w:val="32"/>
          <w:szCs w:val="32"/>
        </w:rPr>
        <w:t>单个关联法人或非法人组织所在集团客户</w:t>
      </w:r>
      <w:r>
        <w:rPr>
          <w:rFonts w:ascii="Times New Roman" w:hAnsi="仿宋_GB2312" w:eastAsia="仿宋_GB2312" w:cs="Times New Roman"/>
          <w:sz w:val="32"/>
          <w:szCs w:val="32"/>
        </w:rPr>
        <w:t>的</w:t>
      </w:r>
      <w:r>
        <w:rPr>
          <w:rFonts w:hint="eastAsia" w:ascii="Times New Roman" w:hAnsi="仿宋_GB2312" w:eastAsia="仿宋_GB2312" w:cs="Times New Roman"/>
          <w:sz w:val="32"/>
          <w:szCs w:val="32"/>
          <w:lang w:val="en-US" w:eastAsia="zh-CN"/>
        </w:rPr>
        <w:t>合计</w:t>
      </w:r>
      <w:r>
        <w:rPr>
          <w:rFonts w:ascii="Times New Roman" w:hAnsi="仿宋_GB2312" w:eastAsia="仿宋_GB2312" w:cs="Times New Roman"/>
          <w:sz w:val="32"/>
          <w:szCs w:val="32"/>
        </w:rPr>
        <w:t>授信余额不得超过资本净额的1</w:t>
      </w:r>
      <w:r>
        <w:rPr>
          <w:rFonts w:hint="eastAsia" w:ascii="Times New Roman" w:hAnsi="仿宋_GB2312" w:eastAsia="仿宋_GB2312" w:cs="Times New Roman"/>
          <w:sz w:val="32"/>
          <w:szCs w:val="32"/>
          <w:lang w:val="en-US" w:eastAsia="zh-CN"/>
        </w:rPr>
        <w:t>5</w:t>
      </w:r>
      <w:r>
        <w:rPr>
          <w:rFonts w:ascii="Times New Roman" w:hAnsi="仿宋_GB2312" w:eastAsia="仿宋_GB2312" w:cs="Times New Roman"/>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黑体" w:cs="Times New Roman"/>
          <w:sz w:val="32"/>
          <w:szCs w:val="32"/>
        </w:rPr>
      </w:pPr>
      <w:r>
        <w:rPr>
          <w:rFonts w:ascii="Times New Roman" w:hAnsi="黑体" w:eastAsia="黑体" w:cs="Times New Roman"/>
          <w:sz w:val="32"/>
          <w:szCs w:val="32"/>
        </w:rPr>
        <w:t>五、审查审批流程</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作为重大关联交易业务，我行已按照关联交易管理要求，经关联交易控制委员会审核、董事会审议审批。</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黑体" w:cs="Times New Roman"/>
          <w:sz w:val="32"/>
          <w:szCs w:val="32"/>
        </w:rPr>
      </w:pPr>
      <w:r>
        <w:rPr>
          <w:rFonts w:ascii="Times New Roman" w:hAnsi="黑体" w:eastAsia="黑体" w:cs="Times New Roman"/>
          <w:sz w:val="32"/>
          <w:szCs w:val="32"/>
        </w:rPr>
        <w:t>六、独立董事意见</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关于重大关联交易，本行独立董事就公允性、合规性、内部审批程序发表书面意见，认定符合规定。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Times New Roman" w:hAnsi="Times New Roman" w:eastAsia="仿宋_GB2312" w:cs="Times New Roman"/>
          <w:color w:val="333333"/>
          <w:sz w:val="32"/>
          <w:szCs w:val="32"/>
          <w:shd w:val="clear" w:color="auto" w:fill="FFFFFF"/>
        </w:rPr>
      </w:pPr>
      <w:r>
        <w:rPr>
          <w:rFonts w:ascii="Times New Roman" w:hAnsi="仿宋_GB2312" w:eastAsia="仿宋_GB2312" w:cs="Times New Roman"/>
          <w:color w:val="333333"/>
          <w:sz w:val="32"/>
          <w:szCs w:val="32"/>
          <w:shd w:val="clear" w:color="auto" w:fill="FFFFFF"/>
        </w:rPr>
        <w:t>贵州清镇农村商业银行股份有限公司</w:t>
      </w:r>
    </w:p>
    <w:p>
      <w:pPr>
        <w:pStyle w:val="2"/>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ascii="Times New Roman" w:hAnsi="Times New Roman" w:cs="Times New Roman"/>
          <w:sz w:val="32"/>
          <w:szCs w:val="32"/>
        </w:rPr>
      </w:pPr>
      <w:r>
        <w:rPr>
          <w:rFonts w:ascii="Times New Roman" w:hAnsi="Times New Roman" w:eastAsia="仿宋_GB2312" w:cs="Times New Roman"/>
          <w:color w:val="333333"/>
          <w:sz w:val="32"/>
          <w:szCs w:val="32"/>
          <w:shd w:val="clear" w:color="auto" w:fill="FFFFFF"/>
        </w:rPr>
        <w:t>202</w:t>
      </w:r>
      <w:r>
        <w:rPr>
          <w:rFonts w:hint="eastAsia" w:ascii="Times New Roman" w:hAnsi="Times New Roman" w:eastAsia="仿宋_GB2312" w:cs="Times New Roman"/>
          <w:color w:val="333333"/>
          <w:sz w:val="32"/>
          <w:szCs w:val="32"/>
          <w:shd w:val="clear" w:color="auto" w:fill="FFFFFF"/>
          <w:lang w:val="en-US" w:eastAsia="zh-CN"/>
        </w:rPr>
        <w:t>5</w:t>
      </w:r>
      <w:r>
        <w:rPr>
          <w:rFonts w:ascii="Times New Roman" w:hAnsi="仿宋_GB2312" w:eastAsia="仿宋_GB2312" w:cs="Times New Roman"/>
          <w:color w:val="333333"/>
          <w:sz w:val="32"/>
          <w:szCs w:val="32"/>
          <w:shd w:val="clear" w:color="auto" w:fill="FFFFFF"/>
        </w:rPr>
        <w:t>年</w:t>
      </w:r>
      <w:r>
        <w:rPr>
          <w:rFonts w:ascii="Times New Roman" w:hAnsi="Times New Roman" w:eastAsia="仿宋_GB2312" w:cs="Times New Roman"/>
          <w:color w:val="333333"/>
          <w:sz w:val="32"/>
          <w:szCs w:val="32"/>
          <w:shd w:val="clear" w:color="auto" w:fill="FFFFFF"/>
        </w:rPr>
        <w:t>2</w:t>
      </w:r>
      <w:r>
        <w:rPr>
          <w:rFonts w:ascii="Times New Roman" w:hAnsi="仿宋_GB2312" w:eastAsia="仿宋_GB2312" w:cs="Times New Roman"/>
          <w:color w:val="333333"/>
          <w:sz w:val="32"/>
          <w:szCs w:val="32"/>
          <w:shd w:val="clear" w:color="auto" w:fill="FFFFFF"/>
        </w:rPr>
        <w:t>月</w:t>
      </w:r>
      <w:r>
        <w:rPr>
          <w:rFonts w:hint="eastAsia" w:ascii="Times New Roman" w:hAnsi="仿宋_GB2312" w:eastAsia="仿宋_GB2312" w:cs="Times New Roman"/>
          <w:color w:val="333333"/>
          <w:sz w:val="32"/>
          <w:szCs w:val="32"/>
          <w:shd w:val="clear" w:color="auto" w:fill="FFFFFF"/>
          <w:lang w:val="en-US" w:eastAsia="zh-CN"/>
        </w:rPr>
        <w:t>25</w:t>
      </w:r>
      <w:r>
        <w:rPr>
          <w:rFonts w:ascii="Times New Roman" w:hAnsi="仿宋_GB2312" w:eastAsia="仿宋_GB2312" w:cs="Times New Roman"/>
          <w:color w:val="333333"/>
          <w:sz w:val="32"/>
          <w:szCs w:val="32"/>
          <w:shd w:val="clear" w:color="auto" w:fill="FFFFFF"/>
        </w:rPr>
        <w:t>日</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20.15pt;width:62pt;mso-position-horizontal:outside;mso-position-horizontal-relative:margin;z-index:251659264;mso-width-relative:page;mso-height-relative:page;" filled="f" stroked="f" coordsize="21600,21600">
          <v:path/>
          <v:fill on="f" focussize="0,0"/>
          <v:stroke on="f"/>
          <v:imagedata o:title=""/>
          <o:lock v:ext="edit" aspectratio="f"/>
          <v:textbox inset="0mm,0mm,0mm,0mm">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40.2pt;width:89.1pt;mso-position-horizontal:outside;mso-position-horizontal-relative:margin;z-index:251660288;mso-width-relative:page;mso-height-relative:page;" filled="f" stroked="f" coordsize="21600,21600">
          <v:path/>
          <v:fill on="f" focussize="0,0"/>
          <v:stroke on="f"/>
          <v:imagedata o:title=""/>
          <o:lock v:ext="edit" aspectratio="f"/>
          <v:textbox inset="0mm,0mm,0mm,0mm">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c5OGZiZDRiNjA3Y2U0ZDhkODg5YjAxNWEyNzNjM2MifQ=="/>
  </w:docVars>
  <w:rsids>
    <w:rsidRoot w:val="007630C8"/>
    <w:rsid w:val="00487D53"/>
    <w:rsid w:val="005A7EDA"/>
    <w:rsid w:val="007630C8"/>
    <w:rsid w:val="00805D08"/>
    <w:rsid w:val="00A2399E"/>
    <w:rsid w:val="00AA0F4E"/>
    <w:rsid w:val="00D909D3"/>
    <w:rsid w:val="00E74DDD"/>
    <w:rsid w:val="03DD24AD"/>
    <w:rsid w:val="05B9677F"/>
    <w:rsid w:val="0E6F20D1"/>
    <w:rsid w:val="0F8971C2"/>
    <w:rsid w:val="10BC5375"/>
    <w:rsid w:val="12656690"/>
    <w:rsid w:val="13DA0AAC"/>
    <w:rsid w:val="151211D1"/>
    <w:rsid w:val="1A5D3725"/>
    <w:rsid w:val="23040BE2"/>
    <w:rsid w:val="24280900"/>
    <w:rsid w:val="26CC7C68"/>
    <w:rsid w:val="28D472A8"/>
    <w:rsid w:val="296A19BB"/>
    <w:rsid w:val="2C0003B4"/>
    <w:rsid w:val="33ED121E"/>
    <w:rsid w:val="363F59CF"/>
    <w:rsid w:val="38A367D8"/>
    <w:rsid w:val="3C365E9F"/>
    <w:rsid w:val="41E94CAC"/>
    <w:rsid w:val="449000D0"/>
    <w:rsid w:val="4C2B067F"/>
    <w:rsid w:val="4DFE254E"/>
    <w:rsid w:val="4EB948D3"/>
    <w:rsid w:val="51273B6A"/>
    <w:rsid w:val="555F108D"/>
    <w:rsid w:val="5623359A"/>
    <w:rsid w:val="57DD1426"/>
    <w:rsid w:val="5B3D02AB"/>
    <w:rsid w:val="60364E32"/>
    <w:rsid w:val="61262616"/>
    <w:rsid w:val="6F971706"/>
    <w:rsid w:val="71BC7EA6"/>
    <w:rsid w:val="73526025"/>
    <w:rsid w:val="7755783D"/>
    <w:rsid w:val="79020895"/>
    <w:rsid w:val="7A61783D"/>
    <w:rsid w:val="7B3D3E06"/>
    <w:rsid w:val="7BB37D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748</Words>
  <Characters>821</Characters>
  <Lines>5</Lines>
  <Paragraphs>1</Paragraphs>
  <TotalTime>3</TotalTime>
  <ScaleCrop>false</ScaleCrop>
  <LinksUpToDate>false</LinksUpToDate>
  <CharactersWithSpaces>821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2023-07-12T02:19:00Z</dcterms:created>
  <dc:creator>XYL</dc:creator>
  <cp:lastModifiedBy>❦✯Shine✭❧</cp:lastModifiedBy>
  <dcterms:modified xsi:type="dcterms:W3CDTF">2025-02-25T03:43:00Z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8A0F55A462AB45918CF816053EE353C0_12</vt:lpwstr>
  </property>
</Properties>
</file>