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85"/>
                <w:kern w:val="0"/>
                <w:sz w:val="36"/>
                <w:szCs w:val="36"/>
                <w:lang w:val="en-US" w:eastAsia="zh-CN" w:bidi="ar"/>
              </w:rPr>
              <w:t>从江农商银行2025年风险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85"/>
                <w:kern w:val="0"/>
                <w:sz w:val="36"/>
                <w:szCs w:val="36"/>
                <w:lang w:val="en-US" w:eastAsia="zh-CN" w:bidi="ar"/>
              </w:rPr>
              <w:t>代理法律服务项目供应商征集报名表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434F63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1EF0683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8D6E71"/>
    <w:rsid w:val="27DC2E77"/>
    <w:rsid w:val="27F9339A"/>
    <w:rsid w:val="28A9283D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7F16BE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刘艺楠</cp:lastModifiedBy>
  <cp:lastPrinted>2023-02-10T03:49:00Z</cp:lastPrinted>
  <dcterms:modified xsi:type="dcterms:W3CDTF">2025-01-27T01:47:53Z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