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贵州瓮安农村商业银行股份有限公司</w:t>
      </w:r>
    </w:p>
    <w:p>
      <w:pPr>
        <w:spacing w:after="0" w:line="58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一般关联交易信息披露</w:t>
      </w:r>
      <w:r>
        <w:rPr>
          <w:rFonts w:hint="default" w:ascii="Times New Roman" w:hAnsi="Times New Roman" w:eastAsia="方正小标宋简体" w:cs="Times New Roman"/>
          <w:b w:val="0"/>
          <w:bCs w:val="0"/>
          <w:sz w:val="44"/>
          <w:szCs w:val="44"/>
          <w:lang w:eastAsia="zh-CN"/>
        </w:rPr>
        <w:t>报告</w:t>
      </w:r>
    </w:p>
    <w:p>
      <w:pPr>
        <w:spacing w:after="0" w:line="580" w:lineRule="exact"/>
        <w:jc w:val="center"/>
        <w:rPr>
          <w:rFonts w:ascii="Times New Roman" w:hAnsi="Times New Roman" w:eastAsia="微软雅黑" w:cs="Times New Roman"/>
          <w:b/>
          <w:bCs/>
          <w:sz w:val="24"/>
          <w:szCs w:val="24"/>
        </w:rPr>
      </w:pPr>
      <w:r>
        <w:rPr>
          <w:rFonts w:hint="default" w:ascii="Times New Roman" w:hAnsi="Times New Roman" w:eastAsia="微软雅黑" w:cs="Times New Roman"/>
          <w:b/>
          <w:bCs/>
          <w:sz w:val="24"/>
          <w:szCs w:val="24"/>
          <w:lang w:val="en-US" w:eastAsia="zh-CN"/>
        </w:rPr>
        <w:t xml:space="preserve">            </w:t>
      </w: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2024</w:t>
      </w:r>
      <w:r>
        <w:rPr>
          <w:rFonts w:hint="default" w:ascii="Times New Roman" w:hAnsi="Times New Roman" w:eastAsia="楷体_GB2312" w:cs="Times New Roman"/>
          <w:b w:val="0"/>
          <w:bCs w:val="0"/>
          <w:sz w:val="32"/>
          <w:szCs w:val="32"/>
        </w:rPr>
        <w:t>年第</w:t>
      </w: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 xml:space="preserve">季度） </w:t>
      </w:r>
    </w:p>
    <w:p>
      <w:pPr>
        <w:spacing w:after="0" w:line="580" w:lineRule="exact"/>
        <w:ind w:firstLine="480" w:firstLineChars="200"/>
        <w:rPr>
          <w:rFonts w:ascii="Times New Roman" w:hAnsi="Times New Roman" w:eastAsia="微软雅黑" w:cs="Times New Roman"/>
          <w:sz w:val="24"/>
          <w:szCs w:val="24"/>
        </w:rPr>
      </w:pPr>
    </w:p>
    <w:p>
      <w:pPr>
        <w:spacing w:after="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rPr>
        <w:t>银保监会</w:t>
      </w:r>
      <w:r>
        <w:rPr>
          <w:rFonts w:hint="default" w:ascii="Times New Roman" w:hAnsi="Times New Roman" w:eastAsia="仿宋_GB2312" w:cs="Times New Roman"/>
          <w:sz w:val="32"/>
          <w:szCs w:val="32"/>
          <w:lang w:eastAsia="zh-CN"/>
        </w:rPr>
        <w:t>（现国家金融监督管理总局）</w:t>
      </w:r>
      <w:r>
        <w:rPr>
          <w:rFonts w:hint="default" w:ascii="Times New Roman" w:hAnsi="Times New Roman" w:eastAsia="仿宋_GB2312" w:cs="Times New Roman"/>
          <w:sz w:val="32"/>
          <w:szCs w:val="32"/>
        </w:rPr>
        <w:t>《银行保险机构关联交易管理办法》相</w:t>
      </w:r>
      <w:bookmarkStart w:id="0" w:name="_GoBack"/>
      <w:bookmarkEnd w:id="0"/>
      <w:r>
        <w:rPr>
          <w:rFonts w:hint="default" w:ascii="Times New Roman" w:hAnsi="Times New Roman" w:eastAsia="仿宋_GB2312" w:cs="Times New Roman"/>
          <w:sz w:val="32"/>
          <w:szCs w:val="32"/>
        </w:rPr>
        <w:t>关规定，</w:t>
      </w:r>
      <w:r>
        <w:rPr>
          <w:rFonts w:hint="default" w:ascii="Times New Roman" w:hAnsi="Times New Roman" w:eastAsia="仿宋_GB2312" w:cs="Times New Roman"/>
          <w:sz w:val="32"/>
          <w:szCs w:val="32"/>
          <w:lang w:eastAsia="zh-CN"/>
        </w:rPr>
        <w:t>贵州瓮安农村商业银行股份有限公司</w:t>
      </w:r>
      <w:r>
        <w:rPr>
          <w:rFonts w:hint="default" w:ascii="Times New Roman" w:hAnsi="Times New Roman" w:eastAsia="仿宋_GB2312" w:cs="Times New Roman"/>
          <w:sz w:val="32"/>
          <w:szCs w:val="32"/>
        </w:rPr>
        <w:t>与关联方的交易遵守法律法规和有关监管规定，遵循诚信、公允的原则。现将</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 xml:space="preserve"> 年第</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季度一般关联交易披露如下： </w:t>
      </w:r>
    </w:p>
    <w:p>
      <w:pPr>
        <w:spacing w:line="580" w:lineRule="exact"/>
        <w:jc w:val="center"/>
        <w:rPr>
          <w:rFonts w:ascii="Times New Roman" w:hAnsi="Times New Roman" w:eastAsia="微软雅黑" w:cs="Times New Roman"/>
          <w:sz w:val="24"/>
          <w:szCs w:val="24"/>
        </w:rPr>
      </w:pPr>
      <w:r>
        <w:rPr>
          <w:rFonts w:hint="default" w:ascii="Times New Roman" w:hAnsi="Times New Roman" w:eastAsia="微软雅黑" w:cs="Times New Roman"/>
          <w:sz w:val="24"/>
          <w:szCs w:val="24"/>
          <w:lang w:val="en-US" w:eastAsia="zh-CN"/>
        </w:rPr>
        <w:t xml:space="preserve">                                                     </w:t>
      </w:r>
      <w:r>
        <w:rPr>
          <w:rFonts w:hint="eastAsia" w:ascii="Times New Roman" w:hAnsi="Times New Roman" w:eastAsia="微软雅黑" w:cs="Times New Roman"/>
          <w:sz w:val="24"/>
          <w:szCs w:val="24"/>
          <w:lang w:val="en-US" w:eastAsia="zh-CN"/>
        </w:rPr>
        <w:t xml:space="preserve">                            </w:t>
      </w:r>
      <w:r>
        <w:rPr>
          <w:rFonts w:ascii="Times New Roman" w:hAnsi="Times New Roman" w:eastAsia="微软雅黑" w:cs="Times New Roman"/>
          <w:sz w:val="24"/>
          <w:szCs w:val="24"/>
        </w:rPr>
        <w:t xml:space="preserve">单位：人民币 </w:t>
      </w:r>
      <w:r>
        <w:rPr>
          <w:rFonts w:hint="default" w:ascii="Times New Roman" w:hAnsi="Times New Roman" w:eastAsia="微软雅黑" w:cs="Times New Roman"/>
          <w:sz w:val="24"/>
          <w:szCs w:val="24"/>
          <w:lang w:val="en-US" w:eastAsia="zh-CN"/>
        </w:rPr>
        <w:t xml:space="preserve"> </w:t>
      </w:r>
      <w:r>
        <w:rPr>
          <w:rFonts w:ascii="Times New Roman" w:hAnsi="Times New Roman" w:eastAsia="微软雅黑" w:cs="Times New Roman"/>
          <w:sz w:val="24"/>
          <w:szCs w:val="24"/>
        </w:rPr>
        <w:t>万</w:t>
      </w:r>
      <w:r>
        <w:rPr>
          <w:rFonts w:hint="default" w:ascii="Times New Roman" w:hAnsi="Times New Roman" w:eastAsia="微软雅黑" w:cs="Times New Roman"/>
          <w:sz w:val="24"/>
          <w:szCs w:val="24"/>
        </w:rPr>
        <w:t>元</w:t>
      </w:r>
    </w:p>
    <w:tbl>
      <w:tblPr>
        <w:tblStyle w:val="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62" w:type="dxa"/>
            <w:vAlign w:val="center"/>
          </w:tcPr>
          <w:p>
            <w:pPr>
              <w:spacing w:after="0" w:line="580" w:lineRule="exact"/>
              <w:jc w:val="center"/>
              <w:rPr>
                <w:rFonts w:ascii="Times New Roman" w:hAnsi="Times New Roman" w:eastAsia="微软雅黑" w:cs="Times New Roman"/>
              </w:rPr>
            </w:pPr>
            <w:r>
              <w:rPr>
                <w:rFonts w:ascii="Times New Roman" w:hAnsi="Times New Roman" w:eastAsia="微软雅黑" w:cs="Times New Roman"/>
              </w:rPr>
              <w:t>关联交易类型</w:t>
            </w:r>
          </w:p>
        </w:tc>
        <w:tc>
          <w:tcPr>
            <w:tcW w:w="3402" w:type="dxa"/>
            <w:vAlign w:val="center"/>
          </w:tcPr>
          <w:p>
            <w:pPr>
              <w:spacing w:after="0" w:line="580" w:lineRule="exact"/>
              <w:jc w:val="center"/>
              <w:rPr>
                <w:rFonts w:ascii="Times New Roman" w:hAnsi="Times New Roman" w:eastAsia="微软雅黑" w:cs="Times New Roman"/>
              </w:rPr>
            </w:pPr>
            <w:r>
              <w:rPr>
                <w:rFonts w:ascii="Times New Roman" w:hAnsi="Times New Roman" w:eastAsia="微软雅黑" w:cs="Times New Roman"/>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vAlign w:val="center"/>
          </w:tcPr>
          <w:p>
            <w:pPr>
              <w:spacing w:after="0" w:line="580" w:lineRule="exact"/>
              <w:jc w:val="center"/>
              <w:rPr>
                <w:rFonts w:ascii="Times New Roman" w:hAnsi="Times New Roman" w:eastAsia="微软雅黑" w:cs="Times New Roman"/>
              </w:rPr>
            </w:pPr>
            <w:r>
              <w:rPr>
                <w:rFonts w:hint="default" w:ascii="Times New Roman" w:hAnsi="Times New Roman" w:eastAsia="微软雅黑" w:cs="Times New Roman"/>
              </w:rPr>
              <w:t>授信类关联交易</w:t>
            </w:r>
          </w:p>
        </w:tc>
        <w:tc>
          <w:tcPr>
            <w:tcW w:w="3402" w:type="dxa"/>
            <w:vAlign w:val="center"/>
          </w:tcPr>
          <w:p>
            <w:pPr>
              <w:spacing w:after="0" w:line="580" w:lineRule="exact"/>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391.05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962" w:type="dxa"/>
            <w:vAlign w:val="center"/>
          </w:tcPr>
          <w:p>
            <w:pPr>
              <w:spacing w:after="0" w:line="580" w:lineRule="exact"/>
              <w:jc w:val="center"/>
              <w:rPr>
                <w:rFonts w:ascii="Times New Roman" w:hAnsi="Times New Roman" w:eastAsia="微软雅黑" w:cs="Times New Roman"/>
              </w:rPr>
            </w:pPr>
            <w:r>
              <w:rPr>
                <w:rFonts w:hint="default" w:ascii="Times New Roman" w:hAnsi="Times New Roman" w:eastAsia="微软雅黑" w:cs="Times New Roman"/>
              </w:rPr>
              <w:t>资产转移类关联交易</w:t>
            </w:r>
          </w:p>
        </w:tc>
        <w:tc>
          <w:tcPr>
            <w:tcW w:w="3402" w:type="dxa"/>
            <w:vAlign w:val="center"/>
          </w:tcPr>
          <w:p>
            <w:pPr>
              <w:spacing w:after="0" w:line="580" w:lineRule="exact"/>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vAlign w:val="center"/>
          </w:tcPr>
          <w:p>
            <w:pPr>
              <w:spacing w:after="0" w:line="580" w:lineRule="exact"/>
              <w:jc w:val="center"/>
              <w:rPr>
                <w:rFonts w:ascii="Times New Roman" w:hAnsi="Times New Roman" w:eastAsia="微软雅黑" w:cs="Times New Roman"/>
              </w:rPr>
            </w:pPr>
            <w:r>
              <w:rPr>
                <w:rFonts w:hint="default" w:ascii="Times New Roman" w:hAnsi="Times New Roman" w:eastAsia="微软雅黑" w:cs="Times New Roman"/>
              </w:rPr>
              <w:t>服务类关联交易</w:t>
            </w:r>
          </w:p>
        </w:tc>
        <w:tc>
          <w:tcPr>
            <w:tcW w:w="3402" w:type="dxa"/>
            <w:vAlign w:val="center"/>
          </w:tcPr>
          <w:p>
            <w:pPr>
              <w:spacing w:after="0" w:line="580" w:lineRule="exact"/>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vAlign w:val="center"/>
          </w:tcPr>
          <w:p>
            <w:pPr>
              <w:spacing w:after="0" w:line="580" w:lineRule="exact"/>
              <w:jc w:val="center"/>
              <w:rPr>
                <w:rFonts w:ascii="Times New Roman" w:hAnsi="Times New Roman" w:eastAsia="微软雅黑" w:cs="Times New Roman"/>
              </w:rPr>
            </w:pPr>
            <w:r>
              <w:rPr>
                <w:rFonts w:hint="default" w:ascii="Times New Roman" w:hAnsi="Times New Roman" w:eastAsia="微软雅黑" w:cs="Times New Roman"/>
              </w:rPr>
              <w:t>存款和其他类型关联交易</w:t>
            </w:r>
          </w:p>
        </w:tc>
        <w:tc>
          <w:tcPr>
            <w:tcW w:w="3402" w:type="dxa"/>
            <w:vAlign w:val="center"/>
          </w:tcPr>
          <w:p>
            <w:pPr>
              <w:spacing w:after="0" w:line="580" w:lineRule="exact"/>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380.33</w:t>
            </w:r>
          </w:p>
        </w:tc>
      </w:tr>
    </w:tbl>
    <w:p>
      <w:pPr>
        <w:spacing w:line="580" w:lineRule="exact"/>
        <w:ind w:firstLine="0" w:firstLineChars="0"/>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 xml:space="preserve">        </w:t>
      </w:r>
    </w:p>
    <w:p>
      <w:pPr>
        <w:shd w:val="clear"/>
        <w:spacing w:after="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 协议存款、协定存款、定期存款业务原则上以签订协议时的存入本金及利息计算关联交易金额。授信类关联交易的金额数据为当季发生额。资产转移类、服务类、其他的关联交易金额为交易发生额。</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特此公告。</w:t>
      </w:r>
    </w:p>
    <w:p>
      <w:pPr>
        <w:shd w:val="clear" w:color="auto" w:fill="FFFFFF"/>
        <w:spacing w:after="0" w:line="580" w:lineRule="exact"/>
        <w:ind w:firstLine="5320"/>
        <w:jc w:val="right"/>
        <w:rPr>
          <w:rFonts w:hint="default" w:ascii="Times New Roman" w:hAnsi="Times New Roman" w:eastAsia="微软雅黑" w:cs="Times New Roman"/>
          <w:sz w:val="24"/>
          <w:szCs w:val="24"/>
          <w:lang w:eastAsia="zh-CN"/>
        </w:rPr>
      </w:pPr>
    </w:p>
    <w:p>
      <w:pPr>
        <w:shd w:val="clear" w:color="auto" w:fill="FFFFFF"/>
        <w:spacing w:after="0" w:line="580" w:lineRule="exact"/>
        <w:ind w:firstLine="560"/>
        <w:jc w:val="right"/>
        <w:rPr>
          <w:rFonts w:hint="default" w:ascii="Times New Roman" w:hAnsi="Times New Roman" w:eastAsia="仿宋_GB2312" w:cs="Times New Roman"/>
          <w:sz w:val="32"/>
          <w:szCs w:val="32"/>
          <w:lang w:val="en-US" w:eastAsia="zh-CN"/>
        </w:rPr>
      </w:pPr>
      <w:r>
        <w:rPr>
          <w:rFonts w:hint="default" w:ascii="Times New Roman" w:hAnsi="Times New Roman" w:eastAsia="微软雅黑" w:cs="Times New Roman"/>
          <w:sz w:val="24"/>
          <w:szCs w:val="24"/>
          <w:lang w:val="en-US" w:eastAsia="zh-CN"/>
        </w:rPr>
        <w:t xml:space="preserve">                  </w:t>
      </w:r>
      <w:r>
        <w:rPr>
          <w:rFonts w:hint="default" w:ascii="Times New Roman" w:hAnsi="Times New Roman" w:eastAsia="仿宋_GB2312" w:cs="Times New Roman"/>
          <w:sz w:val="32"/>
          <w:szCs w:val="32"/>
          <w:lang w:val="en-US" w:eastAsia="zh-CN"/>
        </w:rPr>
        <w:t xml:space="preserve">  </w:t>
      </w:r>
    </w:p>
    <w:p>
      <w:pPr>
        <w:shd w:val="clear" w:color="auto" w:fill="FFFFFF"/>
        <w:spacing w:after="0" w:line="580" w:lineRule="exact"/>
        <w:ind w:firstLine="56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贵州瓮安农村商业银行股份有限公司</w:t>
      </w:r>
      <w:r>
        <w:rPr>
          <w:rFonts w:hint="default" w:ascii="Times New Roman" w:hAnsi="Times New Roman" w:eastAsia="仿宋_GB2312" w:cs="Times New Roman"/>
          <w:sz w:val="32"/>
          <w:szCs w:val="32"/>
        </w:rPr>
        <w:t> </w:t>
      </w:r>
    </w:p>
    <w:p>
      <w:pPr>
        <w:shd w:val="clear" w:color="auto" w:fill="FFFFFF"/>
        <w:spacing w:after="0" w:line="580" w:lineRule="exact"/>
        <w:ind w:firstLine="4800" w:firstLineChars="1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88"/>
    <w:rsid w:val="001609F7"/>
    <w:rsid w:val="00165614"/>
    <w:rsid w:val="002537EA"/>
    <w:rsid w:val="002C3C88"/>
    <w:rsid w:val="003926BB"/>
    <w:rsid w:val="0040007F"/>
    <w:rsid w:val="0049199B"/>
    <w:rsid w:val="004C3949"/>
    <w:rsid w:val="0051448E"/>
    <w:rsid w:val="007B7091"/>
    <w:rsid w:val="007C5E7F"/>
    <w:rsid w:val="008620B8"/>
    <w:rsid w:val="0087251D"/>
    <w:rsid w:val="00A15557"/>
    <w:rsid w:val="00A7220C"/>
    <w:rsid w:val="00B93B7F"/>
    <w:rsid w:val="00C21250"/>
    <w:rsid w:val="00CB5126"/>
    <w:rsid w:val="00CF6C8B"/>
    <w:rsid w:val="00E50C1F"/>
    <w:rsid w:val="00E60A41"/>
    <w:rsid w:val="00ED0982"/>
    <w:rsid w:val="00EE6999"/>
    <w:rsid w:val="00EF401A"/>
    <w:rsid w:val="00F76994"/>
    <w:rsid w:val="00FE333B"/>
    <w:rsid w:val="03FD775B"/>
    <w:rsid w:val="0650539E"/>
    <w:rsid w:val="125C37E7"/>
    <w:rsid w:val="25842536"/>
    <w:rsid w:val="2B6071A3"/>
    <w:rsid w:val="35A66678"/>
    <w:rsid w:val="39DB6EA3"/>
    <w:rsid w:val="41C55020"/>
    <w:rsid w:val="43CC07DE"/>
    <w:rsid w:val="4D6845F9"/>
    <w:rsid w:val="4EF629B0"/>
    <w:rsid w:val="57BC11B6"/>
    <w:rsid w:val="59445CA4"/>
    <w:rsid w:val="597A477B"/>
    <w:rsid w:val="745D4645"/>
    <w:rsid w:val="75392CAE"/>
    <w:rsid w:val="7A42386B"/>
    <w:rsid w:val="7DBFF38E"/>
    <w:rsid w:val="F96CFFE4"/>
    <w:rsid w:val="F97FF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320"/>
        <w:tab w:val="right" w:pos="8640"/>
      </w:tabs>
      <w:spacing w:after="0" w:line="240" w:lineRule="auto"/>
    </w:pPr>
  </w:style>
  <w:style w:type="paragraph" w:styleId="3">
    <w:name w:val="header"/>
    <w:basedOn w:val="1"/>
    <w:link w:val="7"/>
    <w:unhideWhenUsed/>
    <w:qFormat/>
    <w:uiPriority w:val="99"/>
    <w:pPr>
      <w:tabs>
        <w:tab w:val="center" w:pos="4320"/>
        <w:tab w:val="right" w:pos="8640"/>
      </w:tabs>
      <w:spacing w:after="0" w:line="240" w:lineRule="auto"/>
    </w:p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style>
  <w:style w:type="character" w:customStyle="1" w:styleId="8">
    <w:name w:val="页脚 字符"/>
    <w:basedOn w:val="6"/>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KPMG</Company>
  <Pages>1</Pages>
  <Words>51</Words>
  <Characters>293</Characters>
  <Lines>2</Lines>
  <Paragraphs>1</Paragraphs>
  <TotalTime>11</TotalTime>
  <ScaleCrop>false</ScaleCrop>
  <LinksUpToDate>false</LinksUpToDate>
  <CharactersWithSpaces>343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2024-02-01T18:40:00Z</dcterms:created>
  <dc:creator>Shi, Sandra S.N. (BJ/RC)</dc:creator>
  <cp:lastModifiedBy>I〜DOSE</cp:lastModifiedBy>
  <dcterms:modified xsi:type="dcterms:W3CDTF">2025-01-23T02:56:09Z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71987CEB3EFDC612F9EC8E675A3D4A7D</vt:lpwstr>
  </property>
</Properties>
</file>