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清镇农商银行公证服务采购项目</w:t>
      </w:r>
    </w:p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单一来源采购公示</w:t>
      </w:r>
    </w:p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一、项目信息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采购人：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贵州清镇农村商业银行股份有限公司</w:t>
      </w:r>
    </w:p>
    <w:p>
      <w:pPr>
        <w:widowControl w:val="0"/>
        <w:wordWrap/>
        <w:adjustRightInd/>
        <w:snapToGrid/>
        <w:spacing w:before="0" w:after="0" w:line="660" w:lineRule="exact"/>
        <w:ind w:left="640" w:leftChars="0" w:right="0" w:hanging="640" w:hanging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项目名称：清镇农商银行公证服务采购项目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采用单一来源采购方式的原因及相关说明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我行于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日与贵州省永道金服企业管理有限公司、贵州省贵阳市诚信公证处签订《公证法律服务合作协议》；于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日与贵州红星金服资产管理有限公司、贵州省贵阳市诚信公证处、贵州省安顺市求实公证处签订《公证法律服务合作协议》。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结合实际情况，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贵州省永道金服企业管理有限公司、贵州红星金服资产管理有限公司已停止提供服务，当前合作业务已由我行全面自主管理。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当前实际情况分析，因原首次授信公证服务由贵州省贵阳市诚信公证处、贵州省安顺市求实公证处提供，基于赋予强制执行公证业务连续性需要，同时保证能有效出具《执行证书》，根据单一来源采购之规定，“必须保证原有采购项目一致性或服务配套的要求，需再次向原供应商采购的可采用单一来源方式采购。”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本项目符合单一来源一致性或服务配套要求，故采用单一来源方式向贵州省贵阳市诚信公证处、贵州省安顺市求实公证处采购公证服务。期限三年。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拟定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供应商信息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贵州省贵阳市诚信公证处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贵阳市观山湖区西南国际商贸城杭州路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号广场水晶楼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号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贵州省安顺市求实公证处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安顺市西秀区弘扬路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号司法局一楼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公示期限</w:t>
      </w:r>
    </w:p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公示期限不得少于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个工作日）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四、采购人联系方式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名称：贵州清镇农村商业银行股份有限公司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地址：贵州省清镇市青龙街道办事处云岭东路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联系方式：集采办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0851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82600367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3360" w:firstLineChars="10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贵州清镇农商银行股份有限公司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4160" w:firstLineChars="13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9C0002"/>
    <w:rsid w:val="247E1050"/>
    <w:rsid w:val="251B6343"/>
    <w:rsid w:val="26322709"/>
    <w:rsid w:val="2F0174A2"/>
    <w:rsid w:val="3BAA1E8D"/>
    <w:rsid w:val="3DF61B9D"/>
    <w:rsid w:val="44455558"/>
    <w:rsid w:val="4E2545B7"/>
    <w:rsid w:val="4F727B30"/>
    <w:rsid w:val="506A1F65"/>
    <w:rsid w:val="53C562F2"/>
    <w:rsid w:val="5B233D07"/>
    <w:rsid w:val="5DA2682E"/>
    <w:rsid w:val="669E5B28"/>
    <w:rsid w:val="6E6B2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uiPriority w:val="0"/>
    <w:pPr>
      <w:ind w:firstLine="20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85</Words>
  <Characters>491</Characters>
  <Lines>4</Lines>
  <Paragraphs>1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2023-12-28T02:43:00Z</dcterms:created>
  <dc:creator>吴均</dc:creator>
  <cp:lastModifiedBy>106623-董婧玮</cp:lastModifiedBy>
  <cp:lastPrinted>2024-12-12T10:07:00Z</cp:lastPrinted>
  <dcterms:modified xsi:type="dcterms:W3CDTF">2024-12-13T02:23:40Z</dcterms:modified>
  <dc:title>清镇农商银行云岭街支行营业办公房屋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