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微软简仿宋" w:hAnsi="微软简仿宋" w:eastAsia="微软简仿宋" w:cs="微软简仿宋"/>
          <w:b/>
          <w:bCs/>
          <w:i w:val="0"/>
          <w:iCs w:val="0"/>
          <w:color w:val="000000"/>
          <w:kern w:val="0"/>
          <w:sz w:val="32"/>
          <w:szCs w:val="32"/>
          <w:highlight w:val="none"/>
          <w:u w:val="none"/>
          <w:lang w:val="en-US" w:eastAsia="zh-CN" w:bidi="ar"/>
        </w:rPr>
      </w:pPr>
      <w:r>
        <w:rPr>
          <w:rFonts w:hint="eastAsia" w:ascii="微软简仿宋" w:hAnsi="微软简仿宋" w:eastAsia="微软简仿宋" w:cs="微软简仿宋"/>
          <w:b/>
          <w:bCs/>
          <w:i w:val="0"/>
          <w:iCs w:val="0"/>
          <w:color w:val="000000"/>
          <w:kern w:val="0"/>
          <w:sz w:val="32"/>
          <w:szCs w:val="32"/>
          <w:highlight w:val="none"/>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Cs w:val="0"/>
          <w:sz w:val="44"/>
          <w:szCs w:val="44"/>
          <w:lang w:val="en-US" w:eastAsia="zh-CN"/>
        </w:rPr>
      </w:pPr>
      <w:r>
        <w:rPr>
          <w:rFonts w:hint="eastAsia" w:ascii="方正小标宋简体" w:hAnsi="方正小标宋简体" w:eastAsia="方正小标宋简体" w:cs="方正小标宋简体"/>
          <w:bCs w:val="0"/>
          <w:sz w:val="44"/>
          <w:szCs w:val="44"/>
          <w:lang w:val="en-US" w:eastAsia="zh-CN"/>
        </w:rPr>
        <w:t>网间数据摆渡系统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val="0"/>
          <w:sz w:val="44"/>
          <w:szCs w:val="44"/>
          <w:lang w:val="en-US" w:eastAsia="zh-CN"/>
        </w:rPr>
      </w:pPr>
      <w:bookmarkStart w:id="1" w:name="_GoBack"/>
      <w:bookmarkEnd w:id="1"/>
      <w:r>
        <w:rPr>
          <w:rFonts w:hint="eastAsia" w:ascii="方正小标宋简体" w:hAnsi="方正小标宋简体" w:eastAsia="方正小标宋简体" w:cs="方正小标宋简体"/>
          <w:bCs w:val="0"/>
          <w:sz w:val="44"/>
          <w:szCs w:val="44"/>
          <w:lang w:val="en-US" w:eastAsia="zh-CN"/>
        </w:rPr>
        <w:t>技术方案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val="0"/>
          <w:sz w:val="44"/>
          <w:szCs w:val="44"/>
          <w:lang w:val="en-US" w:eastAsia="zh-CN"/>
        </w:rPr>
      </w:pPr>
    </w:p>
    <w:p/>
    <w:p>
      <w:r>
        <w:br w:type="page"/>
      </w:r>
    </w:p>
    <w:p>
      <w:pPr>
        <w:ind w:left="482" w:firstLine="0" w:firstLineChars="0"/>
        <w:rPr>
          <w:rFonts w:hint="eastAsia"/>
          <w:b/>
          <w:bCs/>
          <w:color w:val="auto"/>
        </w:rPr>
      </w:pPr>
    </w:p>
    <w:p>
      <w:pPr>
        <w:numPr>
          <w:ilvl w:val="0"/>
          <w:numId w:val="0"/>
        </w:numPr>
        <w:spacing w:line="56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rPr>
        <w:t>一、</w:t>
      </w:r>
      <w:r>
        <w:rPr>
          <w:rFonts w:hint="eastAsia" w:ascii="黑体" w:hAnsi="黑体" w:eastAsia="黑体" w:cs="Times New Roman"/>
          <w:sz w:val="32"/>
          <w:szCs w:val="32"/>
          <w:lang w:val="en-US" w:eastAsia="zh-CN"/>
        </w:rPr>
        <w:t>项目介绍</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我社拟采购网间数据摆渡系统，该系统用于在内网和外网之间进行数据传输和审计，保障内网数据安全，杜绝U盘携带病毒进入内网的风险，预防内网数据泄露。现需采购一套专用设备和管理系统。</w:t>
      </w:r>
    </w:p>
    <w:p>
      <w:pPr>
        <w:spacing w:line="560" w:lineRule="exact"/>
        <w:ind w:firstLine="640" w:firstLineChars="200"/>
        <w:outlineLvl w:val="0"/>
        <w:rPr>
          <w:rFonts w:hint="eastAsia" w:ascii="黑体" w:hAnsi="黑体" w:eastAsia="黑体" w:cs="Times New Roman"/>
          <w:sz w:val="32"/>
          <w:szCs w:val="32"/>
          <w:lang w:val="en-US" w:eastAsia="zh-CN"/>
        </w:rPr>
      </w:pPr>
      <w:bookmarkStart w:id="0" w:name="_Toc60758346"/>
      <w:r>
        <w:rPr>
          <w:rFonts w:hint="eastAsia" w:ascii="黑体" w:hAnsi="黑体" w:eastAsia="黑体" w:cs="Times New Roman"/>
          <w:sz w:val="32"/>
          <w:szCs w:val="32"/>
          <w:lang w:val="en-US" w:eastAsia="zh-CN"/>
        </w:rPr>
        <w:t>二、技术要求</w:t>
      </w:r>
      <w:bookmarkEnd w:id="0"/>
      <w:r>
        <w:rPr>
          <w:rFonts w:hint="eastAsia" w:ascii="黑体" w:hAnsi="黑体" w:eastAsia="黑体" w:cs="Times New Roman"/>
          <w:sz w:val="32"/>
          <w:szCs w:val="32"/>
          <w:lang w:val="en-US" w:eastAsia="zh-CN"/>
        </w:rPr>
        <w:t>或标准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r>
              <w:rPr>
                <w:rFonts w:hint="eastAsia"/>
                <w:lang w:val="en-US" w:eastAsia="zh-CN"/>
              </w:rPr>
              <w:t>技术标准</w:t>
            </w:r>
          </w:p>
        </w:tc>
        <w:tc>
          <w:tcPr>
            <w:tcW w:w="7268" w:type="dxa"/>
          </w:tcPr>
          <w:p>
            <w:pPr>
              <w:numPr>
                <w:ilvl w:val="0"/>
                <w:numId w:val="0"/>
              </w:numPr>
              <w:bidi w:val="0"/>
              <w:ind w:leftChars="0"/>
              <w:rPr>
                <w:rFonts w:hint="default"/>
                <w:vertAlign w:val="baseline"/>
                <w:lang w:val="en-US" w:eastAsia="zh-CN"/>
              </w:rPr>
            </w:pPr>
            <w:r>
              <w:rPr>
                <w:rFonts w:hint="eastAsia"/>
                <w:lang w:val="en-US" w:eastAsia="zh-CN"/>
              </w:rPr>
              <w:t>1.系统运行环境兼容Centos、Redhat、Suse、麒麟、统信等Linux平台，采用多节点冗余架构设计，支持分布式部署，系统采用微服务架构，功能模块可按需选配；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pStyle w:val="2"/>
              <w:rPr>
                <w:rFonts w:hint="default"/>
                <w:vertAlign w:val="baseline"/>
                <w:lang w:val="en-US" w:eastAsia="zh-CN"/>
              </w:rPr>
            </w:pPr>
            <w:r>
              <w:rPr>
                <w:rFonts w:hint="eastAsia"/>
                <w:lang w:val="en-US" w:eastAsia="zh-CN"/>
              </w:rPr>
              <w:t>2.系统可同时使用和管理多种存储设备,支持将NAS作为存储后端，可支持NFS协议;同时也支持通用SAS/SATA/iSCSI/FC接口的存储设备、支持常见的主流分布式文件系统（如GlusterFS、Ceph、HDFS等）、支持常见的EMC ECS /IBM COS /阿里云/腾讯云主流对象存储系统、存储容量和性能可横向扩展，支持通用磁带和磁带库驱动管理以及光盘库管理，以上存储设备要求接入即用，无需对接开发；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pStyle w:val="2"/>
              <w:rPr>
                <w:rFonts w:hint="default"/>
                <w:vertAlign w:val="baseline"/>
                <w:lang w:val="en-US" w:eastAsia="zh-CN"/>
              </w:rPr>
            </w:pPr>
            <w:r>
              <w:rPr>
                <w:rFonts w:hint="eastAsia"/>
                <w:lang w:val="en-US" w:eastAsia="zh-CN"/>
              </w:rPr>
              <w:t>3.支持对个人、协作组、资料库文件配置数据生命周期，系统根据生命周期值按自定义的颜色来进行动态展示，如大于3天用绿色来展示，1-3天用黄色来展示，等于1天用红色来展示，过期文件自动清除到回收站。支持对单个协作组、资料库的独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pStyle w:val="2"/>
              <w:rPr>
                <w:rFonts w:hint="default"/>
                <w:vertAlign w:val="baseline"/>
                <w:lang w:val="en-US" w:eastAsia="zh-CN"/>
              </w:rPr>
            </w:pPr>
            <w:r>
              <w:rPr>
                <w:rFonts w:hint="eastAsia"/>
                <w:lang w:val="en-US" w:eastAsia="zh-CN"/>
              </w:rPr>
              <w:t>4.支持按空间分类管理用户个人文件、协作文件、公共文件、企业邮件、电子档案，各空间内的文件可按需提交流转，并支持对应的文件流审批；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numPr>
                <w:ilvl w:val="0"/>
                <w:numId w:val="0"/>
              </w:numPr>
              <w:bidi w:val="0"/>
              <w:ind w:leftChars="0"/>
              <w:rPr>
                <w:rFonts w:hint="default"/>
                <w:vertAlign w:val="baseline"/>
                <w:lang w:val="en-US" w:eastAsia="zh-CN"/>
              </w:rPr>
            </w:pPr>
            <w:r>
              <w:rPr>
                <w:rFonts w:hint="eastAsia"/>
                <w:lang w:val="en-US" w:eastAsia="zh-CN"/>
              </w:rPr>
              <w:t>5.用户可按需创建组织的内容协作空间，可邀请成员加入并管理成员的访问权限，群成员支持发起协同任务，选择协同任务涉及的文件、设置任务截止时间、选择参与成员、设置任务提醒时间和频度、填写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numPr>
                <w:ilvl w:val="0"/>
                <w:numId w:val="0"/>
              </w:numPr>
              <w:bidi w:val="0"/>
              <w:ind w:leftChars="0"/>
              <w:rPr>
                <w:rFonts w:hint="default"/>
                <w:vertAlign w:val="baseline"/>
                <w:lang w:val="en-US" w:eastAsia="zh-CN"/>
              </w:rPr>
            </w:pPr>
            <w:r>
              <w:rPr>
                <w:rFonts w:hint="eastAsia"/>
                <w:lang w:val="en-US" w:eastAsia="zh-CN"/>
              </w:rPr>
              <w:t>6.支持多管理员相制衡，包含系统管理员、资料库管理员和审计管理员角色，可通过审计管理员监督系统管理员，防止系统管理员因为权限过大的非法操作（截图证明，加盖厂家公章）；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numPr>
                <w:ilvl w:val="0"/>
                <w:numId w:val="0"/>
              </w:numPr>
              <w:bidi w:val="0"/>
              <w:ind w:leftChars="0"/>
              <w:rPr>
                <w:rFonts w:hint="default"/>
                <w:vertAlign w:val="baseline"/>
                <w:lang w:val="en-US" w:eastAsia="zh-CN"/>
              </w:rPr>
            </w:pPr>
            <w:r>
              <w:rPr>
                <w:rFonts w:hint="eastAsia"/>
                <w:lang w:val="en-US" w:eastAsia="zh-CN"/>
              </w:rPr>
              <w:t>7.支持通过资料库管理员管理维护本部门资料库或可指派专人对各个类别的资料库的文件进行更新与维护；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numPr>
                <w:ilvl w:val="0"/>
                <w:numId w:val="0"/>
              </w:numPr>
              <w:bidi w:val="0"/>
              <w:ind w:leftChars="0"/>
              <w:rPr>
                <w:rFonts w:hint="default"/>
                <w:vertAlign w:val="baseline"/>
                <w:lang w:val="en-US" w:eastAsia="zh-CN"/>
              </w:rPr>
            </w:pPr>
            <w:r>
              <w:rPr>
                <w:rFonts w:hint="eastAsia"/>
                <w:lang w:val="en-US" w:eastAsia="zh-CN"/>
              </w:rPr>
              <w:t>8.支持对文件内容的多版本记录，可随时下载历史版本，支持回滚到指定历史版本，并支持不同版本的内容比对，高亮显示内容差异，实现内容智能较对；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numPr>
                <w:ilvl w:val="0"/>
                <w:numId w:val="0"/>
              </w:numPr>
              <w:bidi w:val="0"/>
              <w:ind w:leftChars="0"/>
              <w:rPr>
                <w:rFonts w:hint="default"/>
                <w:vertAlign w:val="baseline"/>
                <w:lang w:val="en-US" w:eastAsia="zh-CN"/>
              </w:rPr>
            </w:pPr>
            <w:r>
              <w:rPr>
                <w:rFonts w:hint="eastAsia"/>
                <w:lang w:val="en-US" w:eastAsia="zh-CN"/>
              </w:rPr>
              <w:t>9.支持动态调整用户或部门的最大逻辑存储空间上限，可为资料库指定配额大小；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pStyle w:val="2"/>
              <w:rPr>
                <w:rFonts w:hint="default"/>
                <w:vertAlign w:val="baseline"/>
                <w:lang w:val="en-US" w:eastAsia="zh-CN"/>
              </w:rPr>
            </w:pPr>
            <w:r>
              <w:rPr>
                <w:rFonts w:hint="eastAsia"/>
                <w:lang w:val="en-US" w:eastAsia="zh-CN"/>
              </w:rPr>
              <w:t>10.支持文件删除进入回收站，可根据需要随时恢复回收站文件，有效防止用户误删除文件。支持二级回收站功能，一级回收站删除后的文件自动进入二级回收站，有效期内仍可恢复还原；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numPr>
                <w:ilvl w:val="0"/>
                <w:numId w:val="0"/>
              </w:numPr>
              <w:bidi w:val="0"/>
              <w:ind w:leftChars="0"/>
              <w:rPr>
                <w:rFonts w:hint="default"/>
                <w:vertAlign w:val="baseline"/>
                <w:lang w:val="en-US" w:eastAsia="zh-CN"/>
              </w:rPr>
            </w:pPr>
            <w:r>
              <w:rPr>
                <w:rFonts w:hint="eastAsia" w:ascii="宋体" w:hAnsi="宋体" w:eastAsia="宋体" w:cs="Times New Roman"/>
                <w:sz w:val="21"/>
                <w:szCs w:val="21"/>
                <w:lang w:val="en-US" w:eastAsia="zh-CN"/>
              </w:rPr>
              <w:t>11.支持冷介质光盘或WORM磁带存储归档，实现物理冷介质防篡改功能；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pStyle w:val="2"/>
              <w:rPr>
                <w:rFonts w:hint="default"/>
                <w:vertAlign w:val="baseline"/>
                <w:lang w:val="en-US" w:eastAsia="zh-CN"/>
              </w:rPr>
            </w:pPr>
            <w:r>
              <w:rPr>
                <w:rFonts w:hint="eastAsia"/>
                <w:vertAlign w:val="baseline"/>
                <w:lang w:val="en-US" w:eastAsia="zh-CN"/>
              </w:rPr>
              <w:t>12.满足运行系统软件配套的正版基础软件或授权许可；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pStyle w:val="2"/>
              <w:rPr>
                <w:rFonts w:hint="eastAsia" w:ascii="宋体" w:hAnsi="宋体" w:eastAsia="宋体" w:cs="Times New Roman"/>
                <w:sz w:val="21"/>
                <w:szCs w:val="21"/>
                <w:lang w:val="en-US" w:eastAsia="zh-CN"/>
              </w:rPr>
            </w:pPr>
            <w:r>
              <w:rPr>
                <w:rFonts w:hint="eastAsia"/>
                <w:vertAlign w:val="baseline"/>
                <w:lang w:val="en-US" w:eastAsia="zh-CN"/>
              </w:rPr>
              <w:t>13.硬件双电源冗余接入；单边存储空间不小于20T；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pStyle w:val="2"/>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14.产品具有中华人民共和国公安部颁发的《计算机信息系统安全专用产品销售许可证》或公安部计算机信息系统安全产品质量监督检验中心颁发的《网络安全专用产品安全检测证书》提供加盖厂商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int="default"/>
                <w:vertAlign w:val="baseline"/>
                <w:lang w:val="en-US" w:eastAsia="zh-CN"/>
              </w:rPr>
            </w:pPr>
          </w:p>
        </w:tc>
        <w:tc>
          <w:tcPr>
            <w:tcW w:w="7268" w:type="dxa"/>
          </w:tcPr>
          <w:p>
            <w:pPr>
              <w:numPr>
                <w:ilvl w:val="0"/>
                <w:numId w:val="0"/>
              </w:numPr>
              <w:bidi w:val="0"/>
              <w:ind w:leftChars="0"/>
              <w:rPr>
                <w:rFonts w:hint="default"/>
                <w:vertAlign w:val="baseline"/>
                <w:lang w:val="en-US" w:eastAsia="zh-CN"/>
              </w:rPr>
            </w:pPr>
            <w:r>
              <w:rPr>
                <w:rFonts w:hint="eastAsia" w:ascii="宋体" w:hAnsi="宋体" w:eastAsia="宋体" w:cs="Times New Roman"/>
                <w:sz w:val="21"/>
                <w:szCs w:val="21"/>
                <w:lang w:val="en-US" w:eastAsia="zh-CN"/>
              </w:rPr>
              <w:t>15.产品制造商具有中国电子工业标准化技术协会颁发的《ITSS信息技术服务标准符合性证书》运行维护5年以上，提供加盖厂商公章的证书复印件。</w:t>
            </w:r>
          </w:p>
        </w:tc>
      </w:tr>
    </w:tbl>
    <w:p>
      <w:pPr>
        <w:spacing w:line="560" w:lineRule="exact"/>
        <w:ind w:firstLine="640" w:firstLineChars="200"/>
        <w:outlineLvl w:val="0"/>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三、售后服务要求或标准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1.定期巡检硬件设施和管理软件，检查产品是否存在缺陷和漏洞，并及时修复，并提交巡检报告。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2.产品质保服务期内，必须提供7*24小时电话或远程技术服务，5*8小时现场技术服务。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lang w:val="en-US" w:eastAsia="zh-CN"/>
        </w:rPr>
      </w:pPr>
      <w:r>
        <w:rPr>
          <w:rFonts w:hint="eastAsia" w:ascii="仿宋_GB2312" w:hAnsi="Calibri" w:eastAsia="仿宋_GB2312" w:cs="Times New Roman"/>
          <w:sz w:val="24"/>
          <w:szCs w:val="24"/>
          <w:lang w:val="en-US" w:eastAsia="zh-CN"/>
        </w:rPr>
        <w:t>3.产品质保服务期不低于3年。</w:t>
      </w:r>
    </w:p>
    <w:sectPr>
      <w:foot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仿宋">
    <w:altName w:val="仿宋"/>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8377A"/>
    <w:multiLevelType w:val="multilevel"/>
    <w:tmpl w:val="54C8377A"/>
    <w:lvl w:ilvl="0" w:tentative="0">
      <w:start w:val="1"/>
      <w:numFmt w:val="chineseCountingThousand"/>
      <w:pStyle w:val="3"/>
      <w:suff w:val="space"/>
      <w:lvlText w:val="第%1条"/>
      <w:lvlJc w:val="left"/>
      <w:pPr>
        <w:ind w:left="2112" w:hanging="432"/>
      </w:pPr>
      <w:rPr>
        <w:rFonts w:hint="eastAsia"/>
      </w:rPr>
    </w:lvl>
    <w:lvl w:ilvl="1" w:tentative="0">
      <w:start w:val="1"/>
      <w:numFmt w:val="chineseCountingThousand"/>
      <w:pStyle w:val="4"/>
      <w:isLgl/>
      <w:suff w:val="space"/>
      <w:lvlText w:val="%1.%2"/>
      <w:lvlJc w:val="left"/>
      <w:pPr>
        <w:ind w:left="1206" w:hanging="576"/>
      </w:pPr>
      <w:rPr>
        <w:rFonts w:hint="eastAsia"/>
      </w:rPr>
    </w:lvl>
    <w:lvl w:ilvl="2" w:tentative="0">
      <w:start w:val="1"/>
      <w:numFmt w:val="decimal"/>
      <w:pStyle w:val="5"/>
      <w:isLgl/>
      <w:suff w:val="space"/>
      <w:lvlText w:val="%1.%2.%3"/>
      <w:lvlJc w:val="left"/>
      <w:pPr>
        <w:ind w:left="2970" w:hanging="720"/>
      </w:pPr>
      <w:rPr>
        <w:rFonts w:hint="eastAsia"/>
      </w:rPr>
    </w:lvl>
    <w:lvl w:ilvl="3" w:tentative="0">
      <w:start w:val="1"/>
      <w:numFmt w:val="decimal"/>
      <w:isLgl/>
      <w:suff w:val="space"/>
      <w:lvlText w:val="%2.%3.%4"/>
      <w:lvlJc w:val="left"/>
      <w:pPr>
        <w:ind w:left="3537" w:hanging="864"/>
      </w:pPr>
      <w:rPr>
        <w:rFonts w:hint="eastAsia" w:cs="Times New Roman"/>
        <w:b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2688" w:hanging="1008"/>
      </w:pPr>
      <w:rPr>
        <w:rFonts w:hint="eastAsia"/>
      </w:rPr>
    </w:lvl>
    <w:lvl w:ilvl="5" w:tentative="0">
      <w:start w:val="1"/>
      <w:numFmt w:val="decimal"/>
      <w:lvlText w:val="%1.%2.%3.%4.%5.%6"/>
      <w:lvlJc w:val="left"/>
      <w:pPr>
        <w:ind w:left="2832" w:hanging="1152"/>
      </w:pPr>
      <w:rPr>
        <w:rFonts w:hint="eastAsia"/>
      </w:rPr>
    </w:lvl>
    <w:lvl w:ilvl="6" w:tentative="0">
      <w:start w:val="1"/>
      <w:numFmt w:val="decimal"/>
      <w:lvlText w:val="%1.%2.%3.%4.%5.%6.%7"/>
      <w:lvlJc w:val="left"/>
      <w:pPr>
        <w:ind w:left="2976" w:hanging="1296"/>
      </w:pPr>
      <w:rPr>
        <w:rFonts w:hint="eastAsia"/>
      </w:rPr>
    </w:lvl>
    <w:lvl w:ilvl="7" w:tentative="0">
      <w:start w:val="1"/>
      <w:numFmt w:val="decimal"/>
      <w:lvlText w:val="%1.%2.%3.%4.%5.%6.%7.%8"/>
      <w:lvlJc w:val="left"/>
      <w:pPr>
        <w:ind w:left="3120" w:hanging="1440"/>
      </w:pPr>
      <w:rPr>
        <w:rFonts w:hint="eastAsia"/>
      </w:rPr>
    </w:lvl>
    <w:lvl w:ilvl="8" w:tentative="0">
      <w:start w:val="1"/>
      <w:numFmt w:val="decimal"/>
      <w:lvlText w:val="%1.%2.%3.%4.%5.%6.%7.%8.%9"/>
      <w:lvlJc w:val="left"/>
      <w:pPr>
        <w:ind w:left="326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40AA"/>
    <w:rsid w:val="01D35257"/>
    <w:rsid w:val="02AD58B6"/>
    <w:rsid w:val="02CE1877"/>
    <w:rsid w:val="032436E0"/>
    <w:rsid w:val="04D10B79"/>
    <w:rsid w:val="057834E2"/>
    <w:rsid w:val="0900328A"/>
    <w:rsid w:val="0AFC1F3D"/>
    <w:rsid w:val="0D9A27E5"/>
    <w:rsid w:val="0E313BE2"/>
    <w:rsid w:val="0E834DF9"/>
    <w:rsid w:val="11DF6871"/>
    <w:rsid w:val="13F80988"/>
    <w:rsid w:val="152A7575"/>
    <w:rsid w:val="16785B5E"/>
    <w:rsid w:val="167965AA"/>
    <w:rsid w:val="19A5390B"/>
    <w:rsid w:val="1B2532FC"/>
    <w:rsid w:val="1CA10506"/>
    <w:rsid w:val="1CEE3317"/>
    <w:rsid w:val="1CF51296"/>
    <w:rsid w:val="1DAB6C73"/>
    <w:rsid w:val="1DD20021"/>
    <w:rsid w:val="1F9057AC"/>
    <w:rsid w:val="1FBB1B2B"/>
    <w:rsid w:val="25986AB4"/>
    <w:rsid w:val="27482BF8"/>
    <w:rsid w:val="2C663FFB"/>
    <w:rsid w:val="30B21119"/>
    <w:rsid w:val="312F1A7B"/>
    <w:rsid w:val="350C4A1D"/>
    <w:rsid w:val="365A0EF9"/>
    <w:rsid w:val="3B1E4EAB"/>
    <w:rsid w:val="3C327EAA"/>
    <w:rsid w:val="3FAB2132"/>
    <w:rsid w:val="45421338"/>
    <w:rsid w:val="47F703C9"/>
    <w:rsid w:val="486C4969"/>
    <w:rsid w:val="4F3D48D1"/>
    <w:rsid w:val="4FC31B93"/>
    <w:rsid w:val="51D6529B"/>
    <w:rsid w:val="52260C11"/>
    <w:rsid w:val="546E76B9"/>
    <w:rsid w:val="562B3275"/>
    <w:rsid w:val="57FF23B2"/>
    <w:rsid w:val="5B7128E8"/>
    <w:rsid w:val="5B941CF1"/>
    <w:rsid w:val="5F51298D"/>
    <w:rsid w:val="615341A3"/>
    <w:rsid w:val="62520513"/>
    <w:rsid w:val="659B49EC"/>
    <w:rsid w:val="6C267D23"/>
    <w:rsid w:val="7091154E"/>
    <w:rsid w:val="70A9359A"/>
    <w:rsid w:val="72732E7D"/>
    <w:rsid w:val="7401203F"/>
    <w:rsid w:val="7C4330EA"/>
    <w:rsid w:val="7D4806F8"/>
    <w:rsid w:val="7EAE33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next w:val="1"/>
    <w:qFormat/>
    <w:uiPriority w:val="9"/>
    <w:pPr>
      <w:numPr>
        <w:ilvl w:val="0"/>
        <w:numId w:val="1"/>
      </w:numPr>
      <w:spacing w:line="360" w:lineRule="auto"/>
      <w:ind w:left="0" w:firstLine="480" w:firstLineChars="200"/>
      <w:jc w:val="both"/>
      <w:outlineLvl w:val="0"/>
    </w:pPr>
    <w:rPr>
      <w:rFonts w:ascii="宋体" w:hAnsi="宋体" w:eastAsia="黑体" w:cs="Times New Roman"/>
      <w:bCs/>
      <w:kern w:val="44"/>
      <w:sz w:val="24"/>
      <w:szCs w:val="32"/>
      <w:lang w:bidi="ar-SA"/>
    </w:rPr>
  </w:style>
  <w:style w:type="paragraph" w:styleId="4">
    <w:name w:val="heading 2"/>
    <w:next w:val="1"/>
    <w:link w:val="12"/>
    <w:qFormat/>
    <w:uiPriority w:val="9"/>
    <w:pPr>
      <w:numPr>
        <w:ilvl w:val="1"/>
        <w:numId w:val="1"/>
      </w:numPr>
      <w:spacing w:line="360" w:lineRule="auto"/>
      <w:ind w:left="0" w:firstLine="200" w:firstLineChars="200"/>
      <w:outlineLvl w:val="1"/>
    </w:pPr>
    <w:rPr>
      <w:rFonts w:ascii="宋体" w:hAnsi="宋体" w:eastAsia="宋体" w:cs="Times New Roman"/>
      <w:bCs/>
      <w:kern w:val="2"/>
      <w:sz w:val="24"/>
      <w:szCs w:val="30"/>
      <w:lang w:bidi="ar-SA"/>
    </w:rPr>
  </w:style>
  <w:style w:type="paragraph" w:styleId="5">
    <w:name w:val="heading 3"/>
    <w:next w:val="1"/>
    <w:qFormat/>
    <w:uiPriority w:val="99"/>
    <w:pPr>
      <w:numPr>
        <w:ilvl w:val="2"/>
        <w:numId w:val="1"/>
      </w:numPr>
      <w:spacing w:line="360" w:lineRule="auto"/>
      <w:outlineLvl w:val="2"/>
    </w:pPr>
    <w:rPr>
      <w:rFonts w:ascii="宋体" w:hAnsi="宋体" w:eastAsia="宋体" w:cs="Times New Roman"/>
      <w:bCs/>
      <w:kern w:val="2"/>
      <w:sz w:val="24"/>
      <w:szCs w:val="28"/>
      <w:lang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6">
    <w:name w:val="table of authorities"/>
    <w:basedOn w:val="1"/>
    <w:next w:val="1"/>
    <w:qFormat/>
    <w:uiPriority w:val="0"/>
    <w:pPr>
      <w:widowControl w:val="0"/>
      <w:spacing w:line="360" w:lineRule="auto"/>
      <w:ind w:left="420" w:leftChars="200"/>
      <w:jc w:val="both"/>
    </w:pPr>
    <w:rPr>
      <w:rFonts w:ascii="Calibri" w:hAnsi="Calibri"/>
      <w:b/>
      <w:kern w:val="2"/>
      <w:sz w:val="28"/>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4"/>
    <w:qFormat/>
    <w:uiPriority w:val="9"/>
    <w:rPr>
      <w:rFonts w:ascii="宋体" w:hAnsi="宋体" w:eastAsia="宋体" w:cs="Times New Roman"/>
      <w:bCs/>
      <w:kern w:val="2"/>
      <w:sz w:val="24"/>
      <w:szCs w:val="3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2023-10-25T13:45:00Z</dcterms:created>
  <dc:creator>zoroone</dc:creator>
  <cp:lastModifiedBy>125947-樊叶青</cp:lastModifiedBy>
  <dcterms:modified xsi:type="dcterms:W3CDTF">2024-11-28T11:57:25Z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